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1917" w14:textId="77777777" w:rsidR="007D7EEA" w:rsidRPr="00485272" w:rsidRDefault="00DD2A4D" w:rsidP="00485272">
      <w:pPr>
        <w:pStyle w:val="BlockText"/>
        <w:jc w:val="center"/>
        <w:rPr>
          <w:rFonts w:ascii="Arial" w:hAnsi="Arial" w:cs="Arial"/>
          <w:b/>
          <w:sz w:val="22"/>
          <w:szCs w:val="22"/>
        </w:rPr>
      </w:pPr>
      <w:r w:rsidRPr="00485272">
        <w:rPr>
          <w:rFonts w:ascii="Arial" w:hAnsi="Arial" w:cs="Arial"/>
          <w:b/>
          <w:sz w:val="22"/>
          <w:szCs w:val="22"/>
        </w:rPr>
        <w:t>OBSERVATIONS AND RECOMMENDATIONS</w:t>
      </w:r>
    </w:p>
    <w:p w14:paraId="5D355701" w14:textId="77777777" w:rsidR="007D7EEA" w:rsidRPr="00485272" w:rsidRDefault="007D7EEA" w:rsidP="00485272">
      <w:pPr>
        <w:spacing w:after="0" w:line="240" w:lineRule="auto"/>
        <w:contextualSpacing/>
        <w:jc w:val="center"/>
        <w:rPr>
          <w:rFonts w:ascii="Arial" w:hAnsi="Arial" w:cs="Arial"/>
          <w:b/>
          <w:bCs/>
        </w:rPr>
      </w:pPr>
    </w:p>
    <w:p w14:paraId="62579E6C" w14:textId="77777777" w:rsidR="007D7EEA" w:rsidRPr="00485272" w:rsidRDefault="007D7EEA" w:rsidP="00485272">
      <w:pPr>
        <w:spacing w:after="0" w:line="240" w:lineRule="auto"/>
        <w:contextualSpacing/>
        <w:jc w:val="center"/>
        <w:rPr>
          <w:rFonts w:ascii="Arial" w:hAnsi="Arial" w:cs="Arial"/>
          <w:b/>
          <w:bCs/>
        </w:rPr>
      </w:pPr>
    </w:p>
    <w:p w14:paraId="56658600" w14:textId="77777777" w:rsidR="007D7EEA" w:rsidRPr="00485272" w:rsidRDefault="00DD2A4D" w:rsidP="00485272">
      <w:pPr>
        <w:pStyle w:val="ListParagraph"/>
        <w:numPr>
          <w:ilvl w:val="0"/>
          <w:numId w:val="2"/>
        </w:numPr>
        <w:ind w:left="562" w:hanging="562"/>
        <w:contextualSpacing/>
        <w:rPr>
          <w:rFonts w:ascii="Arial" w:hAnsi="Arial" w:cs="Arial"/>
          <w:b/>
          <w:bCs/>
          <w:sz w:val="22"/>
          <w:szCs w:val="22"/>
        </w:rPr>
      </w:pPr>
      <w:r w:rsidRPr="00485272">
        <w:rPr>
          <w:rFonts w:ascii="Arial" w:hAnsi="Arial" w:cs="Arial"/>
          <w:b/>
          <w:bCs/>
          <w:sz w:val="22"/>
          <w:szCs w:val="22"/>
        </w:rPr>
        <w:t>Financial Audit</w:t>
      </w:r>
    </w:p>
    <w:p w14:paraId="0FD29601" w14:textId="77777777" w:rsidR="007D7EEA" w:rsidRPr="00485272" w:rsidRDefault="007D7EEA" w:rsidP="00485272">
      <w:pPr>
        <w:pStyle w:val="NormalWeb"/>
        <w:spacing w:before="0" w:beforeAutospacing="0" w:after="0" w:afterAutospacing="0"/>
        <w:jc w:val="both"/>
        <w:rPr>
          <w:rFonts w:ascii="Arial" w:hAnsi="Arial" w:cs="Arial"/>
          <w:sz w:val="22"/>
          <w:szCs w:val="22"/>
        </w:rPr>
      </w:pPr>
    </w:p>
    <w:p w14:paraId="1CD15C56" w14:textId="48A4EE38" w:rsidR="007D7EEA" w:rsidRPr="00BB0337" w:rsidRDefault="00DD2A4D" w:rsidP="00485272">
      <w:pPr>
        <w:pStyle w:val="NormalWeb"/>
        <w:numPr>
          <w:ilvl w:val="0"/>
          <w:numId w:val="3"/>
        </w:numPr>
        <w:spacing w:before="0" w:beforeAutospacing="0" w:after="0" w:afterAutospacing="0"/>
        <w:ind w:left="576" w:hanging="576"/>
        <w:jc w:val="both"/>
        <w:rPr>
          <w:rFonts w:ascii="Arial" w:hAnsi="Arial" w:cs="Arial"/>
          <w:b/>
          <w:sz w:val="22"/>
          <w:szCs w:val="22"/>
        </w:rPr>
      </w:pPr>
      <w:r w:rsidRPr="00BB0337">
        <w:rPr>
          <w:rFonts w:ascii="Arial" w:hAnsi="Arial" w:cs="Arial"/>
          <w:b/>
          <w:sz w:val="22"/>
          <w:szCs w:val="22"/>
        </w:rPr>
        <w:t>The going concern assumption was still used/adopted by Armed Forces of the Philippines Retirement and</w:t>
      </w:r>
      <w:r w:rsidR="00C13968" w:rsidRPr="00BB0337">
        <w:rPr>
          <w:rFonts w:ascii="Arial" w:hAnsi="Arial" w:cs="Arial"/>
          <w:b/>
          <w:sz w:val="22"/>
          <w:szCs w:val="22"/>
        </w:rPr>
        <w:t xml:space="preserve"> Separation Benefits (AFPRSBS</w:t>
      </w:r>
      <w:r w:rsidRPr="00BB0337">
        <w:rPr>
          <w:rFonts w:ascii="Arial" w:hAnsi="Arial" w:cs="Arial"/>
          <w:b/>
          <w:sz w:val="22"/>
          <w:szCs w:val="22"/>
        </w:rPr>
        <w:t>) as basis in the preparation of its financial statements (FS) for the year ended December 31, 2022,</w:t>
      </w:r>
      <w:r w:rsidR="0033234D" w:rsidRPr="00BB0337">
        <w:rPr>
          <w:rFonts w:ascii="Arial" w:hAnsi="Arial" w:cs="Arial"/>
          <w:b/>
          <w:sz w:val="22"/>
          <w:szCs w:val="22"/>
        </w:rPr>
        <w:t xml:space="preserve"> </w:t>
      </w:r>
      <w:r w:rsidRPr="00BB0337">
        <w:rPr>
          <w:rFonts w:ascii="Arial" w:hAnsi="Arial" w:cs="Arial"/>
          <w:b/>
          <w:sz w:val="22"/>
          <w:szCs w:val="22"/>
        </w:rPr>
        <w:t>and its comparative period despite its imminent liquidation pursuant to Memorandum Order (MO) No. 90</w:t>
      </w:r>
      <w:r w:rsidR="00F30B87" w:rsidRPr="00BB0337">
        <w:rPr>
          <w:rFonts w:ascii="Arial" w:hAnsi="Arial" w:cs="Arial"/>
          <w:b/>
          <w:sz w:val="22"/>
          <w:szCs w:val="22"/>
        </w:rPr>
        <w:t xml:space="preserve"> </w:t>
      </w:r>
      <w:r w:rsidRPr="00BB0337">
        <w:rPr>
          <w:rFonts w:ascii="Arial" w:hAnsi="Arial" w:cs="Arial"/>
          <w:b/>
          <w:sz w:val="22"/>
          <w:szCs w:val="22"/>
        </w:rPr>
        <w:t xml:space="preserve">which directs the abolition of the </w:t>
      </w:r>
      <w:r w:rsidR="000C5F71" w:rsidRPr="00BB0337">
        <w:rPr>
          <w:rFonts w:ascii="Arial" w:hAnsi="Arial" w:cs="Arial"/>
          <w:b/>
          <w:sz w:val="22"/>
          <w:szCs w:val="22"/>
        </w:rPr>
        <w:t>AFPRSBS</w:t>
      </w:r>
      <w:r w:rsidRPr="00BB0337">
        <w:rPr>
          <w:rFonts w:ascii="Arial" w:hAnsi="Arial" w:cs="Arial"/>
          <w:b/>
          <w:sz w:val="22"/>
          <w:szCs w:val="22"/>
        </w:rPr>
        <w:t xml:space="preserve"> and privatization of its subsidiaries. </w:t>
      </w:r>
      <w:r w:rsidR="0029761D" w:rsidRPr="00BB0337">
        <w:rPr>
          <w:rFonts w:ascii="Arial" w:hAnsi="Arial" w:cs="Arial"/>
          <w:b/>
          <w:sz w:val="22"/>
          <w:szCs w:val="22"/>
        </w:rPr>
        <w:t>T</w:t>
      </w:r>
      <w:r w:rsidRPr="00BB0337">
        <w:rPr>
          <w:rFonts w:ascii="Arial" w:hAnsi="Arial" w:cs="Arial"/>
          <w:b/>
          <w:sz w:val="22"/>
          <w:szCs w:val="22"/>
        </w:rPr>
        <w:t xml:space="preserve">he continued presentation and measurement of the account balances in this manner is not in consonance with the </w:t>
      </w:r>
      <w:r w:rsidR="008B3AA9" w:rsidRPr="00BB0337">
        <w:rPr>
          <w:rFonts w:ascii="Arial" w:hAnsi="Arial" w:cs="Arial"/>
          <w:b/>
          <w:sz w:val="22"/>
          <w:szCs w:val="22"/>
        </w:rPr>
        <w:t xml:space="preserve">Revised </w:t>
      </w:r>
      <w:r w:rsidRPr="00BB0337">
        <w:rPr>
          <w:rFonts w:ascii="Arial" w:hAnsi="Arial" w:cs="Arial"/>
          <w:b/>
          <w:sz w:val="22"/>
          <w:szCs w:val="22"/>
        </w:rPr>
        <w:t xml:space="preserve">Conceptual Framework for Financial Reporting (CFFR), Philippine Accounting Standards (PAS) 1, and PAS 10. </w:t>
      </w:r>
    </w:p>
    <w:p w14:paraId="26D01D05" w14:textId="77777777" w:rsidR="007D7EEA" w:rsidRPr="00BB0337" w:rsidRDefault="007D7EEA" w:rsidP="00485272">
      <w:pPr>
        <w:spacing w:after="0" w:line="240" w:lineRule="auto"/>
        <w:contextualSpacing/>
        <w:jc w:val="both"/>
        <w:rPr>
          <w:rFonts w:ascii="Arial" w:hAnsi="Arial" w:cs="Arial"/>
          <w:lang w:eastAsia="en-PH"/>
        </w:rPr>
      </w:pPr>
    </w:p>
    <w:p w14:paraId="18F61120" w14:textId="7A53C8DC" w:rsidR="007D7EEA" w:rsidRPr="00BB0337"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BB0337">
        <w:rPr>
          <w:rFonts w:ascii="Arial" w:hAnsi="Arial" w:cs="Arial"/>
          <w:sz w:val="22"/>
          <w:szCs w:val="22"/>
        </w:rPr>
        <w:t>Paragraph</w:t>
      </w:r>
      <w:r w:rsidRPr="00BB0337">
        <w:rPr>
          <w:rFonts w:ascii="Arial" w:hAnsi="Arial" w:cs="Arial"/>
          <w:sz w:val="22"/>
          <w:szCs w:val="22"/>
          <w:lang w:eastAsia="en-PH"/>
        </w:rPr>
        <w:t xml:space="preserve"> 3.9 of the </w:t>
      </w:r>
      <w:r w:rsidR="008B3AA9" w:rsidRPr="00BB0337">
        <w:rPr>
          <w:rFonts w:ascii="Arial" w:hAnsi="Arial" w:cs="Arial"/>
          <w:sz w:val="22"/>
          <w:szCs w:val="22"/>
          <w:lang w:eastAsia="en-PH"/>
        </w:rPr>
        <w:t xml:space="preserve">Revised </w:t>
      </w:r>
      <w:r w:rsidRPr="00BB0337">
        <w:rPr>
          <w:rFonts w:ascii="Arial" w:hAnsi="Arial" w:cs="Arial"/>
          <w:sz w:val="22"/>
          <w:szCs w:val="22"/>
          <w:lang w:eastAsia="en-PH"/>
        </w:rPr>
        <w:t>CFFR provides:</w:t>
      </w:r>
    </w:p>
    <w:p w14:paraId="32FBB6F7" w14:textId="77777777" w:rsidR="007D7EEA" w:rsidRPr="00485272" w:rsidRDefault="007D7EEA" w:rsidP="00485272">
      <w:pPr>
        <w:spacing w:line="240" w:lineRule="auto"/>
        <w:ind w:firstLine="720"/>
        <w:contextualSpacing/>
        <w:jc w:val="both"/>
        <w:rPr>
          <w:rFonts w:ascii="Arial" w:hAnsi="Arial" w:cs="Arial"/>
          <w:lang w:eastAsia="en-PH"/>
        </w:rPr>
      </w:pPr>
    </w:p>
    <w:p w14:paraId="7DA7005D" w14:textId="77777777" w:rsidR="007D7EEA" w:rsidRPr="00485272" w:rsidRDefault="00DD2A4D" w:rsidP="00485272">
      <w:pPr>
        <w:tabs>
          <w:tab w:val="left" w:pos="1080"/>
        </w:tabs>
        <w:spacing w:line="240" w:lineRule="auto"/>
        <w:ind w:left="1728" w:right="432"/>
        <w:contextualSpacing/>
        <w:jc w:val="both"/>
        <w:rPr>
          <w:rFonts w:ascii="Arial" w:hAnsi="Arial" w:cs="Arial"/>
          <w:lang w:eastAsia="en-PH"/>
        </w:rPr>
      </w:pPr>
      <w:r w:rsidRPr="00485272">
        <w:rPr>
          <w:rFonts w:ascii="Arial" w:hAnsi="Arial" w:cs="Arial"/>
          <w:i/>
          <w:lang w:eastAsia="en-PH"/>
        </w:rPr>
        <w:t xml:space="preserve">Financial statements are normally prepared on the assumption that the reporting entity is a going concern and will continue in operation for the foreseeable future. Hence, it is assumed that the entity has neither the intention nor the need to enter liquidation or to cease trading. </w:t>
      </w:r>
      <w:r w:rsidRPr="00485272">
        <w:rPr>
          <w:rFonts w:ascii="Arial" w:hAnsi="Arial" w:cs="Arial"/>
          <w:b/>
          <w:i/>
          <w:lang w:eastAsia="en-PH"/>
        </w:rPr>
        <w:t>If such an intention or need exists, the financial statements may have to be prepared on a different basis.</w:t>
      </w:r>
      <w:r w:rsidRPr="00485272">
        <w:rPr>
          <w:rFonts w:ascii="Arial" w:hAnsi="Arial" w:cs="Arial"/>
          <w:i/>
          <w:lang w:eastAsia="en-PH"/>
        </w:rPr>
        <w:t xml:space="preserve"> If so, the financial statements describe the basis used. </w:t>
      </w:r>
      <w:r w:rsidRPr="00485272">
        <w:rPr>
          <w:rFonts w:ascii="Arial" w:hAnsi="Arial" w:cs="Arial"/>
          <w:lang w:eastAsia="en-PH"/>
        </w:rPr>
        <w:t>(Emphasis supplied)</w:t>
      </w:r>
    </w:p>
    <w:p w14:paraId="0AC5D970" w14:textId="77777777" w:rsidR="007D7EEA" w:rsidRPr="00485272" w:rsidRDefault="007D7EEA" w:rsidP="00485272">
      <w:pPr>
        <w:spacing w:after="0" w:line="240" w:lineRule="auto"/>
        <w:ind w:firstLine="720"/>
        <w:contextualSpacing/>
        <w:jc w:val="both"/>
        <w:rPr>
          <w:rFonts w:ascii="Arial" w:hAnsi="Arial" w:cs="Arial"/>
          <w:lang w:eastAsia="en-PH"/>
        </w:rPr>
      </w:pPr>
    </w:p>
    <w:p w14:paraId="633355A8"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485272">
        <w:rPr>
          <w:rFonts w:ascii="Arial" w:hAnsi="Arial" w:cs="Arial"/>
          <w:sz w:val="22"/>
          <w:szCs w:val="22"/>
        </w:rPr>
        <w:t>Likewise</w:t>
      </w:r>
      <w:r w:rsidRPr="00485272">
        <w:rPr>
          <w:rFonts w:ascii="Arial" w:hAnsi="Arial" w:cs="Arial"/>
          <w:sz w:val="22"/>
          <w:szCs w:val="22"/>
          <w:lang w:eastAsia="en-PH"/>
        </w:rPr>
        <w:t>, Paragraphs 15 and 25 of PAS 1 on the Presentation of FS provide:</w:t>
      </w:r>
    </w:p>
    <w:p w14:paraId="436A022C" w14:textId="77777777" w:rsidR="007D7EEA" w:rsidRPr="00485272" w:rsidRDefault="007D7EEA" w:rsidP="00485272">
      <w:pPr>
        <w:spacing w:line="240" w:lineRule="auto"/>
        <w:contextualSpacing/>
        <w:jc w:val="both"/>
        <w:rPr>
          <w:rFonts w:ascii="Arial" w:hAnsi="Arial" w:cs="Arial"/>
          <w:lang w:eastAsia="en-PH"/>
        </w:rPr>
      </w:pPr>
    </w:p>
    <w:p w14:paraId="54E21A4A" w14:textId="77777777" w:rsidR="007D7EEA" w:rsidRPr="00485272" w:rsidRDefault="00DD2A4D" w:rsidP="00485272">
      <w:pPr>
        <w:tabs>
          <w:tab w:val="left" w:pos="1080"/>
        </w:tabs>
        <w:spacing w:line="240" w:lineRule="auto"/>
        <w:ind w:left="1728" w:right="432"/>
        <w:contextualSpacing/>
        <w:jc w:val="both"/>
        <w:rPr>
          <w:rFonts w:ascii="Arial" w:hAnsi="Arial" w:cs="Arial"/>
          <w:lang w:eastAsia="en-PH"/>
        </w:rPr>
      </w:pPr>
      <w:r w:rsidRPr="00485272">
        <w:rPr>
          <w:rFonts w:ascii="Arial" w:hAnsi="Arial" w:cs="Arial"/>
          <w:i/>
          <w:lang w:eastAsia="en-PH"/>
        </w:rPr>
        <w:t xml:space="preserve">15. The financial statements must </w:t>
      </w:r>
      <w:r w:rsidRPr="00485272">
        <w:rPr>
          <w:rFonts w:ascii="Arial" w:hAnsi="Arial" w:cs="Arial"/>
          <w:b/>
          <w:bCs/>
          <w:i/>
          <w:lang w:eastAsia="en-PH"/>
        </w:rPr>
        <w:t>present fairly</w:t>
      </w:r>
      <w:r w:rsidRPr="00485272">
        <w:rPr>
          <w:rFonts w:ascii="Arial" w:hAnsi="Arial" w:cs="Arial"/>
          <w:i/>
          <w:lang w:eastAsia="en-PH"/>
        </w:rPr>
        <w:t xml:space="preserve"> the financial position, financial performance and cash flows of an entity. </w:t>
      </w:r>
      <w:r w:rsidRPr="00485272">
        <w:rPr>
          <w:rFonts w:ascii="Arial" w:hAnsi="Arial" w:cs="Arial"/>
          <w:b/>
          <w:i/>
          <w:lang w:eastAsia="en-PH"/>
        </w:rPr>
        <w:t>Fair presentation requires the faithful representation of the effects of the transactions</w:t>
      </w:r>
      <w:r w:rsidRPr="00485272">
        <w:rPr>
          <w:rFonts w:ascii="Arial" w:hAnsi="Arial" w:cs="Arial"/>
          <w:i/>
          <w:lang w:eastAsia="en-PH"/>
        </w:rPr>
        <w:t>, other events and conditions in accordance with the definitions and recognition criteria for assets, liabilities, income and expenses set out in the Framework.</w:t>
      </w:r>
    </w:p>
    <w:p w14:paraId="01176D97" w14:textId="77777777" w:rsidR="007D7EEA" w:rsidRPr="00485272" w:rsidRDefault="007D7EEA" w:rsidP="00485272">
      <w:pPr>
        <w:tabs>
          <w:tab w:val="left" w:pos="1080"/>
        </w:tabs>
        <w:spacing w:line="240" w:lineRule="auto"/>
        <w:ind w:left="1728" w:right="432"/>
        <w:contextualSpacing/>
        <w:jc w:val="both"/>
        <w:rPr>
          <w:rFonts w:ascii="Arial" w:hAnsi="Arial" w:cs="Arial"/>
          <w:i/>
          <w:lang w:eastAsia="en-PH"/>
        </w:rPr>
      </w:pPr>
    </w:p>
    <w:p w14:paraId="7AD3F220" w14:textId="77777777" w:rsidR="007D7EEA" w:rsidRPr="00485272" w:rsidRDefault="00DD2A4D" w:rsidP="00485272">
      <w:pPr>
        <w:tabs>
          <w:tab w:val="left" w:pos="1080"/>
        </w:tabs>
        <w:spacing w:line="240" w:lineRule="auto"/>
        <w:ind w:left="1728" w:right="432"/>
        <w:contextualSpacing/>
        <w:jc w:val="both"/>
        <w:rPr>
          <w:rFonts w:ascii="Arial" w:hAnsi="Arial" w:cs="Arial"/>
          <w:i/>
          <w:lang w:eastAsia="en-PH"/>
        </w:rPr>
      </w:pPr>
      <w:r w:rsidRPr="00485272">
        <w:rPr>
          <w:rFonts w:ascii="Arial" w:hAnsi="Arial" w:cs="Arial"/>
          <w:i/>
          <w:lang w:eastAsia="en-PH"/>
        </w:rPr>
        <w:t xml:space="preserve">Xxx </w:t>
      </w:r>
    </w:p>
    <w:p w14:paraId="2FFC9F47" w14:textId="77777777" w:rsidR="007D7EEA" w:rsidRPr="00485272" w:rsidRDefault="007D7EEA" w:rsidP="00485272">
      <w:pPr>
        <w:tabs>
          <w:tab w:val="left" w:pos="1080"/>
        </w:tabs>
        <w:spacing w:line="240" w:lineRule="auto"/>
        <w:ind w:left="1728" w:right="432"/>
        <w:contextualSpacing/>
        <w:jc w:val="both"/>
        <w:rPr>
          <w:rFonts w:ascii="Arial" w:hAnsi="Arial" w:cs="Arial"/>
          <w:i/>
          <w:lang w:eastAsia="en-PH"/>
        </w:rPr>
      </w:pPr>
    </w:p>
    <w:p w14:paraId="09772A28" w14:textId="77777777" w:rsidR="007D7EEA" w:rsidRPr="00485272" w:rsidRDefault="00DD2A4D" w:rsidP="00485272">
      <w:pPr>
        <w:tabs>
          <w:tab w:val="left" w:pos="1080"/>
        </w:tabs>
        <w:spacing w:line="240" w:lineRule="auto"/>
        <w:ind w:left="1728" w:right="432"/>
        <w:contextualSpacing/>
        <w:jc w:val="both"/>
        <w:rPr>
          <w:rFonts w:ascii="Arial" w:hAnsi="Arial" w:cs="Arial"/>
          <w:i/>
          <w:lang w:eastAsia="en-PH"/>
        </w:rPr>
      </w:pPr>
      <w:r w:rsidRPr="00485272">
        <w:rPr>
          <w:rFonts w:ascii="Arial" w:hAnsi="Arial" w:cs="Arial"/>
          <w:i/>
          <w:lang w:eastAsia="en-PH"/>
        </w:rPr>
        <w:t>25. When preparing financial statements, management shall make an assessment of an entity’s ability to continue as a going concern</w:t>
      </w:r>
      <w:r w:rsidRPr="00485272">
        <w:rPr>
          <w:rFonts w:ascii="Arial" w:hAnsi="Arial" w:cs="Arial"/>
          <w:b/>
          <w:i/>
          <w:lang w:eastAsia="en-PH"/>
        </w:rPr>
        <w:t>. An entity shall prepare financial statements on a going concern basis unless management either intends to liquidate the entity or to cease trading, or has no realistic alternative but to do so</w:t>
      </w:r>
      <w:r w:rsidRPr="00485272">
        <w:rPr>
          <w:rFonts w:ascii="Arial" w:hAnsi="Arial" w:cs="Arial"/>
          <w:i/>
          <w:lang w:eastAsia="en-PH"/>
        </w:rPr>
        <w:t xml:space="preserve">. When management is aware, in making its assessment, of material uncertainties related to events or conditions that may cast significant doubt upon the entity’s ability to continue as a going concern, the entity shall disclose those uncertainties. When an entity does not prepare financial statements on a going concern basis, it shall disclose that fact, together with the basis on which it prepared the financial statements and the reason why the entity is not regarded as a going concern. </w:t>
      </w:r>
      <w:r w:rsidRPr="00485272">
        <w:rPr>
          <w:rFonts w:ascii="Arial" w:hAnsi="Arial" w:cs="Arial"/>
          <w:lang w:eastAsia="en-PH"/>
        </w:rPr>
        <w:t>(Emphasis supplied)</w:t>
      </w:r>
    </w:p>
    <w:p w14:paraId="3B98FF52" w14:textId="77777777" w:rsidR="007D7EEA" w:rsidRPr="00485272" w:rsidRDefault="007D7EEA" w:rsidP="00485272">
      <w:pPr>
        <w:spacing w:after="0" w:line="240" w:lineRule="auto"/>
        <w:contextualSpacing/>
        <w:jc w:val="both"/>
        <w:rPr>
          <w:rFonts w:ascii="Arial" w:hAnsi="Arial" w:cs="Arial"/>
          <w:lang w:eastAsia="en-PH"/>
        </w:rPr>
      </w:pPr>
    </w:p>
    <w:p w14:paraId="7787CEDE"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485272">
        <w:rPr>
          <w:rFonts w:ascii="Arial" w:hAnsi="Arial" w:cs="Arial"/>
          <w:sz w:val="22"/>
          <w:szCs w:val="22"/>
        </w:rPr>
        <w:lastRenderedPageBreak/>
        <w:t>Moreover</w:t>
      </w:r>
      <w:r w:rsidRPr="00485272">
        <w:rPr>
          <w:rFonts w:ascii="Arial" w:hAnsi="Arial" w:cs="Arial"/>
          <w:sz w:val="22"/>
          <w:szCs w:val="22"/>
          <w:lang w:eastAsia="en-PH"/>
        </w:rPr>
        <w:t>, Paragraphs 14 and 15 of PAS 10 on Events After the Reporting Period provide:</w:t>
      </w:r>
    </w:p>
    <w:p w14:paraId="301811F0" w14:textId="77777777" w:rsidR="007D7EEA" w:rsidRPr="00485272" w:rsidRDefault="007D7EEA" w:rsidP="00485272">
      <w:pPr>
        <w:spacing w:after="0" w:line="240" w:lineRule="auto"/>
        <w:ind w:firstLine="810"/>
        <w:contextualSpacing/>
        <w:jc w:val="both"/>
        <w:rPr>
          <w:rFonts w:ascii="Arial" w:hAnsi="Arial" w:cs="Arial"/>
          <w:lang w:eastAsia="en-PH"/>
        </w:rPr>
      </w:pPr>
    </w:p>
    <w:p w14:paraId="2674DE42" w14:textId="77777777" w:rsidR="007D7EEA" w:rsidRPr="00485272" w:rsidRDefault="00DD2A4D" w:rsidP="00485272">
      <w:pPr>
        <w:tabs>
          <w:tab w:val="left" w:pos="1080"/>
        </w:tabs>
        <w:spacing w:after="0" w:line="240" w:lineRule="auto"/>
        <w:ind w:left="1728" w:right="432"/>
        <w:contextualSpacing/>
        <w:jc w:val="both"/>
        <w:rPr>
          <w:rFonts w:ascii="Arial" w:hAnsi="Arial" w:cs="Arial"/>
          <w:b/>
          <w:i/>
          <w:lang w:eastAsia="en-PH"/>
        </w:rPr>
      </w:pPr>
      <w:r w:rsidRPr="00485272">
        <w:rPr>
          <w:rFonts w:ascii="Arial" w:hAnsi="Arial" w:cs="Arial"/>
          <w:i/>
          <w:lang w:eastAsia="en-PH"/>
        </w:rPr>
        <w:t xml:space="preserve">14. </w:t>
      </w:r>
      <w:r w:rsidRPr="00485272">
        <w:rPr>
          <w:rFonts w:ascii="Arial" w:hAnsi="Arial" w:cs="Arial"/>
          <w:b/>
          <w:i/>
          <w:lang w:eastAsia="en-PH"/>
        </w:rPr>
        <w:t>An entity shall not prepare its financial statements on a going concern basis if management determines after the reporting period either that it intends to liquidate the entity or to cease trading, or that it has no realistic alternative but to do so.</w:t>
      </w:r>
    </w:p>
    <w:p w14:paraId="6C7F5B0C" w14:textId="77777777" w:rsidR="007D7EEA" w:rsidRPr="00485272" w:rsidRDefault="007D7EEA" w:rsidP="00485272">
      <w:pPr>
        <w:tabs>
          <w:tab w:val="left" w:pos="1080"/>
        </w:tabs>
        <w:spacing w:after="0" w:line="240" w:lineRule="auto"/>
        <w:ind w:left="1728" w:right="432"/>
        <w:contextualSpacing/>
        <w:jc w:val="both"/>
        <w:rPr>
          <w:rFonts w:ascii="Arial" w:hAnsi="Arial" w:cs="Arial"/>
          <w:i/>
          <w:lang w:eastAsia="en-PH"/>
        </w:rPr>
      </w:pPr>
    </w:p>
    <w:p w14:paraId="6CD4C9BA" w14:textId="77777777" w:rsidR="007D7EEA" w:rsidRPr="00485272" w:rsidRDefault="00DD2A4D" w:rsidP="00485272">
      <w:pPr>
        <w:tabs>
          <w:tab w:val="left" w:pos="1080"/>
        </w:tabs>
        <w:spacing w:after="0" w:line="240" w:lineRule="auto"/>
        <w:ind w:left="1728" w:right="432"/>
        <w:contextualSpacing/>
        <w:jc w:val="both"/>
        <w:rPr>
          <w:rFonts w:ascii="Arial" w:hAnsi="Arial" w:cs="Arial"/>
          <w:lang w:eastAsia="en-PH"/>
        </w:rPr>
      </w:pPr>
      <w:r w:rsidRPr="00485272">
        <w:rPr>
          <w:rFonts w:ascii="Arial" w:hAnsi="Arial" w:cs="Arial"/>
          <w:i/>
          <w:lang w:eastAsia="en-PH"/>
        </w:rPr>
        <w:t xml:space="preserve">15. Deterioration in operating results and financial position after the reporting period may indicate a need to consider whether the going concern is still appropriate. If the going concern assumption is no longer appropriate, the effect is so pervasive that this Standard requires a fundamental change in the basis of accounting, rather than an adjustment to the amounts recognized within the original basis of accounting. </w:t>
      </w:r>
      <w:r w:rsidRPr="00485272">
        <w:rPr>
          <w:rFonts w:ascii="Arial" w:hAnsi="Arial" w:cs="Arial"/>
          <w:lang w:eastAsia="en-PH"/>
        </w:rPr>
        <w:t>(Emphasis supplied)</w:t>
      </w:r>
    </w:p>
    <w:p w14:paraId="3A4BD3D7" w14:textId="77777777" w:rsidR="007D7EEA" w:rsidRPr="00485272" w:rsidRDefault="007D7EEA" w:rsidP="00485272">
      <w:pPr>
        <w:tabs>
          <w:tab w:val="left" w:pos="1080"/>
        </w:tabs>
        <w:spacing w:after="0" w:line="240" w:lineRule="auto"/>
        <w:ind w:left="1080" w:right="567"/>
        <w:contextualSpacing/>
        <w:jc w:val="both"/>
        <w:rPr>
          <w:rFonts w:ascii="Arial" w:hAnsi="Arial" w:cs="Arial"/>
          <w:i/>
          <w:lang w:eastAsia="en-PH"/>
        </w:rPr>
      </w:pPr>
    </w:p>
    <w:p w14:paraId="0A0AAEE8"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In the review of the FS for the year ended December 31, 2022, the Audit Team observed that the going concern assumption was still used in the preparation of the AFPRSBS FS despite the issuance of MO No. 90, series of 2016, directing its abolition.</w:t>
      </w:r>
    </w:p>
    <w:p w14:paraId="56E4BEEA" w14:textId="77777777" w:rsidR="007D7EEA" w:rsidRPr="00485272" w:rsidRDefault="007D7EEA" w:rsidP="00485272">
      <w:pPr>
        <w:spacing w:after="0" w:line="240" w:lineRule="auto"/>
        <w:jc w:val="both"/>
        <w:rPr>
          <w:rFonts w:ascii="Arial" w:hAnsi="Arial" w:cs="Arial"/>
        </w:rPr>
      </w:pPr>
    </w:p>
    <w:p w14:paraId="207CFF89"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Under Governance Commission for GOCCs (GCG) Memorandum Circular (MC) No. 2015-03 dated April 8, 2015, which sets the guidelines covering the merger or abolition/dissolution of a government-owned and/or controlled corporations (GOCCs), the term “abolition” under Section 5(a) of Republic Act (RA) No. 10149 is a generic term that lawfully covers the following legal processes:</w:t>
      </w:r>
    </w:p>
    <w:p w14:paraId="7663ED27" w14:textId="77777777" w:rsidR="007D7EEA" w:rsidRPr="00485272" w:rsidRDefault="007D7EEA" w:rsidP="00485272">
      <w:pPr>
        <w:spacing w:after="0" w:line="240" w:lineRule="auto"/>
        <w:ind w:firstLine="720"/>
        <w:jc w:val="both"/>
        <w:rPr>
          <w:rFonts w:ascii="Arial" w:hAnsi="Arial" w:cs="Arial"/>
        </w:rPr>
      </w:pPr>
    </w:p>
    <w:p w14:paraId="728DEED2" w14:textId="77777777" w:rsidR="007D7EEA" w:rsidRPr="00485272" w:rsidRDefault="00DD2A4D" w:rsidP="00485272">
      <w:pPr>
        <w:pStyle w:val="ListParagraph"/>
        <w:numPr>
          <w:ilvl w:val="0"/>
          <w:numId w:val="4"/>
        </w:numPr>
        <w:ind w:left="1620"/>
        <w:jc w:val="both"/>
        <w:rPr>
          <w:rFonts w:ascii="Arial" w:hAnsi="Arial" w:cs="Arial"/>
          <w:sz w:val="22"/>
          <w:szCs w:val="22"/>
        </w:rPr>
      </w:pPr>
      <w:r w:rsidRPr="00485272">
        <w:rPr>
          <w:rFonts w:ascii="Arial" w:hAnsi="Arial" w:cs="Arial"/>
          <w:i/>
          <w:sz w:val="22"/>
          <w:szCs w:val="22"/>
        </w:rPr>
        <w:t>Dissolution</w:t>
      </w:r>
      <w:r w:rsidRPr="00485272">
        <w:rPr>
          <w:rFonts w:ascii="Arial" w:hAnsi="Arial" w:cs="Arial"/>
          <w:sz w:val="22"/>
          <w:szCs w:val="22"/>
        </w:rPr>
        <w:t xml:space="preserve">, which is the point in time when a GOCC </w:t>
      </w:r>
      <w:r w:rsidRPr="00485272">
        <w:rPr>
          <w:rFonts w:ascii="Arial" w:hAnsi="Arial" w:cs="Arial"/>
          <w:b/>
          <w:bCs/>
          <w:sz w:val="22"/>
          <w:szCs w:val="22"/>
        </w:rPr>
        <w:t xml:space="preserve">ceases to exist as a going concern </w:t>
      </w:r>
      <w:r w:rsidRPr="00485272">
        <w:rPr>
          <w:rFonts w:ascii="Arial" w:hAnsi="Arial" w:cs="Arial"/>
          <w:sz w:val="22"/>
          <w:szCs w:val="22"/>
        </w:rPr>
        <w:t>or for pursuit of its business purpose, and its juridical capacity remains only for purposes of winding-down its affairs and the liquidation of its assets.  The date of dissolution shall be effective upon the issuance of the President’s approval of the GCG’s recommendation to abolish a GOCC. (Emphasis supplied)</w:t>
      </w:r>
    </w:p>
    <w:p w14:paraId="4A0FDFA8" w14:textId="77777777" w:rsidR="007D7EEA" w:rsidRPr="00485272" w:rsidRDefault="007D7EEA" w:rsidP="00485272">
      <w:pPr>
        <w:pStyle w:val="ListParagraph"/>
        <w:ind w:left="1620"/>
        <w:jc w:val="both"/>
        <w:rPr>
          <w:rFonts w:ascii="Arial" w:hAnsi="Arial" w:cs="Arial"/>
          <w:sz w:val="22"/>
          <w:szCs w:val="22"/>
        </w:rPr>
      </w:pPr>
    </w:p>
    <w:p w14:paraId="5E040320" w14:textId="77777777" w:rsidR="007D7EEA" w:rsidRPr="00485272" w:rsidRDefault="00DD2A4D" w:rsidP="00485272">
      <w:pPr>
        <w:pStyle w:val="ListParagraph"/>
        <w:numPr>
          <w:ilvl w:val="0"/>
          <w:numId w:val="4"/>
        </w:numPr>
        <w:ind w:left="1620"/>
        <w:jc w:val="both"/>
        <w:rPr>
          <w:rFonts w:ascii="Arial" w:hAnsi="Arial" w:cs="Arial"/>
          <w:sz w:val="22"/>
          <w:szCs w:val="22"/>
        </w:rPr>
      </w:pPr>
      <w:r w:rsidRPr="00485272">
        <w:rPr>
          <w:rFonts w:ascii="Arial" w:hAnsi="Arial" w:cs="Arial"/>
          <w:sz w:val="22"/>
          <w:szCs w:val="22"/>
        </w:rPr>
        <w:t>Liquidation, which takes place immediately after dissolution involves, but is not limited to, the settlement and adjustment of claims against the GOCC, payment of its just debts, and collecting all that is due the corporation.  In no case shall the period of Liquidation of a GOCC exceed three (3) years pursuant to the Corporation Code.</w:t>
      </w:r>
    </w:p>
    <w:p w14:paraId="5AF8CD52" w14:textId="77777777" w:rsidR="007D7EEA" w:rsidRPr="00485272" w:rsidRDefault="007D7EEA" w:rsidP="00485272">
      <w:pPr>
        <w:spacing w:after="0" w:line="240" w:lineRule="auto"/>
        <w:jc w:val="both"/>
        <w:rPr>
          <w:rFonts w:ascii="Arial" w:hAnsi="Arial" w:cs="Arial"/>
        </w:rPr>
      </w:pPr>
    </w:p>
    <w:p w14:paraId="15E9B5CF"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In relation thereto, the same Circular also provides that in abolishing a chartered GOCC, the point of abolition takes effect upon the approval of the President of the recommendation of GCG to abolish the GOCCs through the issuance of an Executive Order (EO). Likewise, the issuance of the EO c</w:t>
      </w:r>
      <w:r w:rsidR="00F30B87" w:rsidRPr="00485272">
        <w:rPr>
          <w:rFonts w:ascii="Arial" w:hAnsi="Arial" w:cs="Arial"/>
          <w:sz w:val="22"/>
          <w:szCs w:val="22"/>
        </w:rPr>
        <w:t>ause</w:t>
      </w:r>
      <w:r w:rsidRPr="00485272">
        <w:rPr>
          <w:rFonts w:ascii="Arial" w:hAnsi="Arial" w:cs="Arial"/>
          <w:sz w:val="22"/>
          <w:szCs w:val="22"/>
        </w:rPr>
        <w:t xml:space="preserve">s the formal dissolution of the GOCC, which thereafter ceases to exist as a going concern, and trigger the process of liquidation of its business enterprise. The abolished GOCC shall be liquidated in accordance with the terms and conditions provided for in the EO which seeks to safeguard the assets, business enterprise, programs and activities of the abolished GOCC </w:t>
      </w:r>
      <w:r w:rsidRPr="00485272">
        <w:rPr>
          <w:rFonts w:ascii="Arial" w:hAnsi="Arial" w:cs="Arial"/>
          <w:sz w:val="22"/>
          <w:szCs w:val="22"/>
        </w:rPr>
        <w:lastRenderedPageBreak/>
        <w:t>under the terms and procedures for the best interests of the GOCC’s stakeholders.</w:t>
      </w:r>
    </w:p>
    <w:p w14:paraId="41F072B5" w14:textId="77777777" w:rsidR="007D7EEA" w:rsidRPr="00485272" w:rsidRDefault="007D7EEA" w:rsidP="00485272">
      <w:pPr>
        <w:spacing w:after="0" w:line="240" w:lineRule="auto"/>
        <w:jc w:val="both"/>
        <w:rPr>
          <w:rFonts w:ascii="Arial" w:hAnsi="Arial" w:cs="Arial"/>
        </w:rPr>
      </w:pPr>
    </w:p>
    <w:p w14:paraId="406D5F8C" w14:textId="7B4D9D0D"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Moreover, it is worth noting that under the </w:t>
      </w:r>
      <w:r w:rsidR="008B3AA9" w:rsidRPr="00485272">
        <w:rPr>
          <w:rFonts w:ascii="Arial" w:hAnsi="Arial" w:cs="Arial"/>
          <w:sz w:val="22"/>
          <w:szCs w:val="22"/>
        </w:rPr>
        <w:t xml:space="preserve">Revised </w:t>
      </w:r>
      <w:r w:rsidRPr="00485272">
        <w:rPr>
          <w:rFonts w:ascii="Arial" w:hAnsi="Arial" w:cs="Arial"/>
          <w:sz w:val="22"/>
          <w:szCs w:val="22"/>
        </w:rPr>
        <w:t>CFFR, FS are normally prepared on the assumption that an entity is a going concern and will continue in operation for the foreseeable future.  In addition, as mentioned earlier under Paragraph 25 of PAS 1, the FS shall be prepared on a going concern basis unless Management either intends to liquidate the entity or to cease trading or has no realistic alternative but to do so.  Hence, it is assumed that the entity has neither the intention nor the need to liquidate or curtail materially the scale of its operations. If such an intention or need exists, the FS will have to be prepared on a basis which is other than a going concern basis, sometimes referred to as a liquidation basis and, if so, the basis is disclosed.</w:t>
      </w:r>
    </w:p>
    <w:p w14:paraId="3EF756E0" w14:textId="77777777" w:rsidR="007D7EEA" w:rsidRPr="00485272" w:rsidRDefault="007D7EEA" w:rsidP="00485272">
      <w:pPr>
        <w:spacing w:after="0" w:line="240" w:lineRule="auto"/>
        <w:ind w:firstLine="720"/>
        <w:jc w:val="both"/>
        <w:rPr>
          <w:rFonts w:ascii="Arial" w:hAnsi="Arial" w:cs="Arial"/>
        </w:rPr>
      </w:pPr>
    </w:p>
    <w:p w14:paraId="31CCA11F"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A clear reading of the Notes to FS particularly Note 2 thereof disclosed that the AFPRSBS has still adopted the going concern assumption and will continue operating in the normal course of business, and do not include any adjustment relating to the recoverability of asset carrying values or the amount of liabilities that might result in the AFPRSBS’ inability to continue its operations in the normal course of business.  Hence, the FS are still prepared under the going concern basis.</w:t>
      </w:r>
    </w:p>
    <w:p w14:paraId="124E029F" w14:textId="77777777" w:rsidR="007D7EEA" w:rsidRPr="00485272" w:rsidRDefault="007D7EEA" w:rsidP="00485272">
      <w:pPr>
        <w:spacing w:after="0" w:line="240" w:lineRule="auto"/>
        <w:ind w:firstLine="720"/>
        <w:jc w:val="both"/>
        <w:rPr>
          <w:rFonts w:ascii="Arial" w:hAnsi="Arial" w:cs="Arial"/>
        </w:rPr>
      </w:pPr>
    </w:p>
    <w:p w14:paraId="55C757DD"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However, the assumption stated in the immediately preceding paragraph is negated when MO No. 90 was issued effectively abolishing the AFPRSBS.  Apparently, the issuance of MO No. 90 c</w:t>
      </w:r>
      <w:r w:rsidR="00250CBF" w:rsidRPr="00485272">
        <w:rPr>
          <w:rFonts w:ascii="Arial" w:hAnsi="Arial" w:cs="Arial"/>
          <w:sz w:val="22"/>
          <w:szCs w:val="22"/>
        </w:rPr>
        <w:t>ause</w:t>
      </w:r>
      <w:r w:rsidRPr="00485272">
        <w:rPr>
          <w:rFonts w:ascii="Arial" w:hAnsi="Arial" w:cs="Arial"/>
          <w:sz w:val="22"/>
          <w:szCs w:val="22"/>
        </w:rPr>
        <w:t xml:space="preserve">s the formal dissolution of AFPRSBS, which thereafter effectively ceases as a going concern, and trigger the process of liquidation of its normal course of business. Specifically, MO No. 90 enumerated that the AFPRSBS Board shall act as a Board of Liquidators (BOL), to which they are directed to act, such as, but not limited to the following: </w:t>
      </w:r>
    </w:p>
    <w:p w14:paraId="5B82ABC6" w14:textId="77777777" w:rsidR="007D7EEA" w:rsidRPr="00485272" w:rsidRDefault="007D7EEA" w:rsidP="00485272">
      <w:pPr>
        <w:spacing w:after="0" w:line="240" w:lineRule="auto"/>
        <w:ind w:firstLine="720"/>
        <w:jc w:val="both"/>
        <w:rPr>
          <w:rFonts w:ascii="Arial" w:hAnsi="Arial" w:cs="Arial"/>
        </w:rPr>
      </w:pPr>
    </w:p>
    <w:p w14:paraId="3F04B9C0" w14:textId="77777777" w:rsidR="007D7EEA" w:rsidRPr="00485272" w:rsidRDefault="00DD2A4D" w:rsidP="00485272">
      <w:pPr>
        <w:pStyle w:val="ListParagraph"/>
        <w:numPr>
          <w:ilvl w:val="0"/>
          <w:numId w:val="5"/>
        </w:numPr>
        <w:ind w:left="1620"/>
        <w:jc w:val="both"/>
        <w:rPr>
          <w:rFonts w:ascii="Arial" w:hAnsi="Arial" w:cs="Arial"/>
          <w:sz w:val="22"/>
          <w:szCs w:val="22"/>
        </w:rPr>
      </w:pPr>
      <w:r w:rsidRPr="00485272">
        <w:rPr>
          <w:rFonts w:ascii="Arial" w:hAnsi="Arial" w:cs="Arial"/>
          <w:sz w:val="22"/>
          <w:szCs w:val="22"/>
        </w:rPr>
        <w:t>Cease collecting members’ contributions (MCs) and accrual of interest thereon;</w:t>
      </w:r>
    </w:p>
    <w:p w14:paraId="3356C707" w14:textId="77777777" w:rsidR="007D7EEA" w:rsidRPr="00485272" w:rsidRDefault="00DD2A4D" w:rsidP="00485272">
      <w:pPr>
        <w:pStyle w:val="ListParagraph"/>
        <w:numPr>
          <w:ilvl w:val="0"/>
          <w:numId w:val="5"/>
        </w:numPr>
        <w:ind w:left="1620"/>
        <w:jc w:val="both"/>
        <w:rPr>
          <w:rFonts w:ascii="Arial" w:hAnsi="Arial" w:cs="Arial"/>
          <w:sz w:val="22"/>
          <w:szCs w:val="22"/>
        </w:rPr>
      </w:pPr>
      <w:r w:rsidRPr="00485272">
        <w:rPr>
          <w:rFonts w:ascii="Arial" w:hAnsi="Arial" w:cs="Arial"/>
          <w:sz w:val="22"/>
          <w:szCs w:val="22"/>
        </w:rPr>
        <w:t xml:space="preserve">Collect all indebtedness due to the AFPRSBS; </w:t>
      </w:r>
    </w:p>
    <w:p w14:paraId="231E2DF0" w14:textId="77777777" w:rsidR="007D7EEA" w:rsidRPr="00485272" w:rsidRDefault="00DD2A4D" w:rsidP="00485272">
      <w:pPr>
        <w:pStyle w:val="ListParagraph"/>
        <w:numPr>
          <w:ilvl w:val="0"/>
          <w:numId w:val="5"/>
        </w:numPr>
        <w:ind w:left="1620"/>
        <w:jc w:val="both"/>
        <w:rPr>
          <w:rFonts w:ascii="Arial" w:hAnsi="Arial" w:cs="Arial"/>
          <w:sz w:val="22"/>
          <w:szCs w:val="22"/>
        </w:rPr>
      </w:pPr>
      <w:r w:rsidRPr="00485272">
        <w:rPr>
          <w:rFonts w:ascii="Arial" w:hAnsi="Arial" w:cs="Arial"/>
          <w:sz w:val="22"/>
          <w:szCs w:val="22"/>
        </w:rPr>
        <w:t>Enter contracts for the following purpose:</w:t>
      </w:r>
    </w:p>
    <w:p w14:paraId="57D51439" w14:textId="77777777" w:rsidR="007D7EEA" w:rsidRPr="00485272" w:rsidRDefault="007D7EEA" w:rsidP="00485272">
      <w:pPr>
        <w:pStyle w:val="ListParagraph"/>
        <w:ind w:left="1440"/>
        <w:jc w:val="both"/>
        <w:rPr>
          <w:rFonts w:ascii="Arial" w:hAnsi="Arial" w:cs="Arial"/>
          <w:sz w:val="22"/>
          <w:szCs w:val="22"/>
        </w:rPr>
      </w:pPr>
    </w:p>
    <w:p w14:paraId="2475A5DA" w14:textId="77777777" w:rsidR="007D7EEA" w:rsidRPr="00485272" w:rsidRDefault="00DD2A4D" w:rsidP="00485272">
      <w:pPr>
        <w:pStyle w:val="ListParagraph"/>
        <w:numPr>
          <w:ilvl w:val="1"/>
          <w:numId w:val="5"/>
        </w:numPr>
        <w:ind w:left="1980"/>
        <w:jc w:val="both"/>
        <w:rPr>
          <w:rFonts w:ascii="Arial" w:hAnsi="Arial" w:cs="Arial"/>
          <w:sz w:val="22"/>
          <w:szCs w:val="22"/>
        </w:rPr>
      </w:pPr>
      <w:r w:rsidRPr="00485272">
        <w:rPr>
          <w:rFonts w:ascii="Arial" w:hAnsi="Arial" w:cs="Arial"/>
          <w:sz w:val="22"/>
          <w:szCs w:val="22"/>
        </w:rPr>
        <w:t>Sell all its real estate assets, such as, but not limited to, subdivision lots, house and lots, memorial lots, raw lands and all acquired assets in accordance with the existing internal policies of AFPRSBS;</w:t>
      </w:r>
    </w:p>
    <w:p w14:paraId="50685930" w14:textId="77777777" w:rsidR="007D7EEA" w:rsidRPr="00485272" w:rsidRDefault="00DD2A4D" w:rsidP="00485272">
      <w:pPr>
        <w:pStyle w:val="ListParagraph"/>
        <w:numPr>
          <w:ilvl w:val="1"/>
          <w:numId w:val="5"/>
        </w:numPr>
        <w:ind w:left="1980"/>
        <w:jc w:val="both"/>
        <w:rPr>
          <w:rFonts w:ascii="Arial" w:hAnsi="Arial" w:cs="Arial"/>
          <w:sz w:val="22"/>
          <w:szCs w:val="22"/>
        </w:rPr>
      </w:pPr>
      <w:r w:rsidRPr="00485272">
        <w:rPr>
          <w:rFonts w:ascii="Arial" w:hAnsi="Arial" w:cs="Arial"/>
          <w:sz w:val="22"/>
          <w:szCs w:val="22"/>
        </w:rPr>
        <w:t>Sell its golf and country club shares, and all other personal properties;</w:t>
      </w:r>
    </w:p>
    <w:p w14:paraId="4E325ABB" w14:textId="77777777" w:rsidR="007D7EEA" w:rsidRPr="00485272" w:rsidRDefault="00DD2A4D" w:rsidP="00485272">
      <w:pPr>
        <w:pStyle w:val="ListParagraph"/>
        <w:numPr>
          <w:ilvl w:val="1"/>
          <w:numId w:val="5"/>
        </w:numPr>
        <w:ind w:left="1980"/>
        <w:jc w:val="both"/>
        <w:rPr>
          <w:rFonts w:ascii="Arial" w:hAnsi="Arial" w:cs="Arial"/>
          <w:sz w:val="22"/>
          <w:szCs w:val="22"/>
        </w:rPr>
      </w:pPr>
      <w:r w:rsidRPr="00485272">
        <w:rPr>
          <w:rFonts w:ascii="Arial" w:hAnsi="Arial" w:cs="Arial"/>
          <w:sz w:val="22"/>
          <w:szCs w:val="22"/>
        </w:rPr>
        <w:t>Manage, preserve and maintain its buildings, facilities and equipment in line with the winding down activities;</w:t>
      </w:r>
    </w:p>
    <w:p w14:paraId="7CCF9F08" w14:textId="77777777" w:rsidR="007D7EEA" w:rsidRPr="00485272" w:rsidRDefault="00DD2A4D" w:rsidP="00485272">
      <w:pPr>
        <w:pStyle w:val="ListParagraph"/>
        <w:numPr>
          <w:ilvl w:val="1"/>
          <w:numId w:val="5"/>
        </w:numPr>
        <w:ind w:left="1980"/>
        <w:jc w:val="both"/>
        <w:rPr>
          <w:rFonts w:ascii="Arial" w:hAnsi="Arial" w:cs="Arial"/>
          <w:sz w:val="22"/>
          <w:szCs w:val="22"/>
        </w:rPr>
      </w:pPr>
      <w:r w:rsidRPr="00485272">
        <w:rPr>
          <w:rFonts w:ascii="Arial" w:hAnsi="Arial" w:cs="Arial"/>
          <w:sz w:val="22"/>
          <w:szCs w:val="22"/>
        </w:rPr>
        <w:t>Complete deliverables to subdivisions, and turn over completed subdivisions to LGUs and homeowners’ association; and</w:t>
      </w:r>
    </w:p>
    <w:p w14:paraId="4414F3B6" w14:textId="77777777" w:rsidR="007D7EEA" w:rsidRPr="00485272" w:rsidRDefault="00DD2A4D" w:rsidP="00485272">
      <w:pPr>
        <w:pStyle w:val="ListParagraph"/>
        <w:numPr>
          <w:ilvl w:val="1"/>
          <w:numId w:val="5"/>
        </w:numPr>
        <w:ind w:left="1980"/>
        <w:jc w:val="both"/>
        <w:rPr>
          <w:rFonts w:ascii="Arial" w:hAnsi="Arial" w:cs="Arial"/>
          <w:sz w:val="22"/>
          <w:szCs w:val="22"/>
        </w:rPr>
      </w:pPr>
      <w:r w:rsidRPr="00485272">
        <w:rPr>
          <w:rFonts w:ascii="Arial" w:hAnsi="Arial" w:cs="Arial"/>
          <w:sz w:val="22"/>
          <w:szCs w:val="22"/>
        </w:rPr>
        <w:t>Maintenance and preservation of existing projects and properties, including security services, insurance, etc.</w:t>
      </w:r>
    </w:p>
    <w:p w14:paraId="72D6660E" w14:textId="77777777" w:rsidR="007D7EEA" w:rsidRPr="00485272" w:rsidRDefault="007D7EEA" w:rsidP="00485272">
      <w:pPr>
        <w:spacing w:after="0" w:line="240" w:lineRule="auto"/>
        <w:ind w:firstLine="720"/>
        <w:jc w:val="both"/>
        <w:rPr>
          <w:rFonts w:ascii="Arial" w:hAnsi="Arial" w:cs="Arial"/>
        </w:rPr>
      </w:pPr>
    </w:p>
    <w:p w14:paraId="2616183B" w14:textId="0544F200"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The preceding enumerated activities must be undertaken by the BOL to liquidate the </w:t>
      </w:r>
      <w:r w:rsidR="000C5F71">
        <w:rPr>
          <w:rFonts w:ascii="Arial" w:hAnsi="Arial" w:cs="Arial"/>
          <w:sz w:val="22"/>
          <w:szCs w:val="22"/>
        </w:rPr>
        <w:t>AFPRSBS</w:t>
      </w:r>
      <w:r w:rsidRPr="00485272">
        <w:rPr>
          <w:rFonts w:ascii="Arial" w:hAnsi="Arial" w:cs="Arial"/>
          <w:sz w:val="22"/>
          <w:szCs w:val="22"/>
        </w:rPr>
        <w:t xml:space="preserve">.  Thus, the preparation of the FS under the going concern assumption finds no basis due to the issuance of MO No. 90. </w:t>
      </w:r>
    </w:p>
    <w:p w14:paraId="452DA3B2"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lastRenderedPageBreak/>
        <w:t>Consequently, AFPRSBS should have prepared its FS under the liquidation basis from the time of the effectivity of MO No. 90 on April 8, 2016 considering that its dissolution and liquidation becomes apparent and imminent.</w:t>
      </w:r>
    </w:p>
    <w:p w14:paraId="02EDAB13" w14:textId="77777777" w:rsidR="007D7EEA" w:rsidRPr="00485272" w:rsidRDefault="007D7EEA" w:rsidP="00485272">
      <w:pPr>
        <w:spacing w:after="0" w:line="240" w:lineRule="auto"/>
        <w:ind w:firstLine="720"/>
        <w:jc w:val="both"/>
        <w:rPr>
          <w:rFonts w:ascii="Arial" w:hAnsi="Arial" w:cs="Arial"/>
        </w:rPr>
      </w:pPr>
    </w:p>
    <w:p w14:paraId="72C8AF59"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In like manner, the AFPRSBS should have disclosed, as to the basis of accounting in a set of FS prepared, a basis other than the going concern and make an explicit and unreserved statement of compliance with Philippine Financial Reporting Standards (PFRS) in the Notes to FS.</w:t>
      </w:r>
    </w:p>
    <w:p w14:paraId="17FBD310" w14:textId="77777777" w:rsidR="007D7EEA" w:rsidRPr="00485272" w:rsidRDefault="007D7EEA" w:rsidP="00485272">
      <w:pPr>
        <w:spacing w:after="0" w:line="240" w:lineRule="auto"/>
        <w:ind w:firstLine="720"/>
        <w:jc w:val="both"/>
        <w:rPr>
          <w:rFonts w:ascii="Arial" w:hAnsi="Arial" w:cs="Arial"/>
        </w:rPr>
      </w:pPr>
    </w:p>
    <w:p w14:paraId="32DCBC3E"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Under Philippine Interpretations Committee Question and Answer No. 2009-01, FS prepared on a basis other than going concern can be considered compliant with PFRS if the FS comply with all the requirements of PFRSs, including the relevant PFRS guidance for the measurement of assets, liabilities and equity and recognition of income, expenses, gains and losses. </w:t>
      </w:r>
    </w:p>
    <w:p w14:paraId="592E6F89" w14:textId="77777777" w:rsidR="007D7EEA" w:rsidRPr="00485272" w:rsidRDefault="007D7EEA" w:rsidP="00485272">
      <w:pPr>
        <w:pStyle w:val="NormalWeb"/>
        <w:spacing w:before="0" w:beforeAutospacing="0" w:after="0" w:afterAutospacing="0"/>
        <w:ind w:left="792"/>
        <w:jc w:val="both"/>
        <w:rPr>
          <w:rFonts w:ascii="Arial" w:hAnsi="Arial" w:cs="Arial"/>
          <w:sz w:val="22"/>
          <w:szCs w:val="22"/>
        </w:rPr>
      </w:pPr>
    </w:p>
    <w:p w14:paraId="6579D2E1"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Furthermore, appropriate disclosures in accordance with Paragraph 25 of PAS 1 should be made to describe the basis of accounting and its impact on the accounting policies selected. PAS 1 requires the following disclosures:</w:t>
      </w:r>
    </w:p>
    <w:p w14:paraId="0D9BE219" w14:textId="77777777" w:rsidR="007D7EEA" w:rsidRPr="00485272" w:rsidRDefault="007D7EEA" w:rsidP="00485272">
      <w:pPr>
        <w:spacing w:after="0" w:line="240" w:lineRule="auto"/>
        <w:ind w:firstLine="720"/>
        <w:jc w:val="both"/>
        <w:rPr>
          <w:rFonts w:ascii="Arial" w:hAnsi="Arial" w:cs="Arial"/>
        </w:rPr>
      </w:pPr>
    </w:p>
    <w:p w14:paraId="303DA330" w14:textId="77777777" w:rsidR="007D7EEA" w:rsidRPr="00485272" w:rsidRDefault="00DD2A4D" w:rsidP="00485272">
      <w:pPr>
        <w:pStyle w:val="ListParagraph"/>
        <w:numPr>
          <w:ilvl w:val="0"/>
          <w:numId w:val="6"/>
        </w:numPr>
        <w:ind w:left="1620"/>
        <w:jc w:val="both"/>
        <w:rPr>
          <w:rFonts w:ascii="Arial" w:hAnsi="Arial" w:cs="Arial"/>
          <w:sz w:val="22"/>
          <w:szCs w:val="22"/>
        </w:rPr>
      </w:pPr>
      <w:r w:rsidRPr="00485272">
        <w:rPr>
          <w:rFonts w:ascii="Arial" w:hAnsi="Arial" w:cs="Arial"/>
          <w:sz w:val="22"/>
          <w:szCs w:val="22"/>
        </w:rPr>
        <w:t>The fact that the FS are not prepared on a going concern basis;</w:t>
      </w:r>
    </w:p>
    <w:p w14:paraId="47AA3491" w14:textId="77777777" w:rsidR="007D7EEA" w:rsidRPr="00485272" w:rsidRDefault="00DD2A4D" w:rsidP="00485272">
      <w:pPr>
        <w:pStyle w:val="ListParagraph"/>
        <w:numPr>
          <w:ilvl w:val="0"/>
          <w:numId w:val="6"/>
        </w:numPr>
        <w:ind w:left="1620"/>
        <w:jc w:val="both"/>
        <w:rPr>
          <w:rFonts w:ascii="Arial" w:hAnsi="Arial" w:cs="Arial"/>
          <w:sz w:val="22"/>
          <w:szCs w:val="22"/>
        </w:rPr>
      </w:pPr>
      <w:r w:rsidRPr="00485272">
        <w:rPr>
          <w:rFonts w:ascii="Arial" w:hAnsi="Arial" w:cs="Arial"/>
          <w:sz w:val="22"/>
          <w:szCs w:val="22"/>
        </w:rPr>
        <w:t>The basis on which the FS are prepared; and</w:t>
      </w:r>
    </w:p>
    <w:p w14:paraId="67AF6721" w14:textId="77777777" w:rsidR="007D7EEA" w:rsidRPr="00485272" w:rsidRDefault="00DD2A4D" w:rsidP="00485272">
      <w:pPr>
        <w:pStyle w:val="ListParagraph"/>
        <w:numPr>
          <w:ilvl w:val="0"/>
          <w:numId w:val="6"/>
        </w:numPr>
        <w:ind w:left="1620"/>
        <w:jc w:val="both"/>
        <w:rPr>
          <w:rFonts w:ascii="Arial" w:hAnsi="Arial" w:cs="Arial"/>
          <w:sz w:val="22"/>
          <w:szCs w:val="22"/>
        </w:rPr>
      </w:pPr>
      <w:r w:rsidRPr="00485272">
        <w:rPr>
          <w:rFonts w:ascii="Arial" w:hAnsi="Arial" w:cs="Arial"/>
          <w:sz w:val="22"/>
          <w:szCs w:val="22"/>
        </w:rPr>
        <w:t>The reason why the entity is not regarded as a going concern.</w:t>
      </w:r>
    </w:p>
    <w:p w14:paraId="4F144FA1" w14:textId="77777777" w:rsidR="007D7EEA" w:rsidRPr="00485272" w:rsidRDefault="007D7EEA" w:rsidP="00485272">
      <w:pPr>
        <w:spacing w:after="0" w:line="240" w:lineRule="auto"/>
        <w:ind w:firstLine="720"/>
        <w:jc w:val="both"/>
        <w:rPr>
          <w:rFonts w:ascii="Arial" w:hAnsi="Arial" w:cs="Arial"/>
        </w:rPr>
      </w:pPr>
    </w:p>
    <w:p w14:paraId="593FA9E1" w14:textId="77777777" w:rsidR="007D7EEA" w:rsidRPr="00485272" w:rsidRDefault="00DD2A4D"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Foregoing considered, the continued presentation, recognition and subsequent measurement of assets and liabilities under the going concern assumption affects the fair presentation of the FS which may not assist the users of those FS in their assessment of the amount of cash or other assets that they might reasonably expect to receive after the liquidation process is completed. </w:t>
      </w:r>
    </w:p>
    <w:p w14:paraId="7A650722" w14:textId="77777777" w:rsidR="007D7EEA" w:rsidRPr="00485272" w:rsidRDefault="007D7EEA" w:rsidP="00485272">
      <w:pPr>
        <w:spacing w:after="0" w:line="240" w:lineRule="auto"/>
        <w:ind w:firstLine="720"/>
        <w:jc w:val="both"/>
        <w:rPr>
          <w:rFonts w:ascii="Arial" w:eastAsia="SimSun" w:hAnsi="Arial" w:cs="Arial"/>
          <w:b/>
          <w:color w:val="C00000"/>
          <w:lang w:eastAsia="zh-CN"/>
        </w:rPr>
      </w:pPr>
    </w:p>
    <w:p w14:paraId="10CFA0DC" w14:textId="77777777"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b/>
          <w:sz w:val="22"/>
          <w:szCs w:val="22"/>
        </w:rPr>
      </w:pPr>
      <w:r w:rsidRPr="00485272">
        <w:rPr>
          <w:rFonts w:ascii="Arial" w:hAnsi="Arial" w:cs="Arial"/>
          <w:b/>
          <w:sz w:val="22"/>
          <w:szCs w:val="22"/>
        </w:rPr>
        <w:t>We recommended that Management:</w:t>
      </w:r>
    </w:p>
    <w:p w14:paraId="085AD4FE" w14:textId="77777777" w:rsidR="007D7EEA" w:rsidRPr="00485272" w:rsidRDefault="007D7EEA" w:rsidP="00485272">
      <w:pPr>
        <w:pStyle w:val="NormalWeb"/>
        <w:spacing w:before="0" w:beforeAutospacing="0" w:after="0" w:afterAutospacing="0"/>
        <w:ind w:left="1170"/>
        <w:jc w:val="both"/>
        <w:rPr>
          <w:rFonts w:ascii="Arial" w:hAnsi="Arial" w:cs="Arial"/>
          <w:b/>
          <w:sz w:val="22"/>
          <w:szCs w:val="22"/>
        </w:rPr>
      </w:pPr>
    </w:p>
    <w:p w14:paraId="1FA9C92D" w14:textId="77777777" w:rsidR="007D7EEA" w:rsidRPr="00485272" w:rsidRDefault="00DD2A4D" w:rsidP="00485272">
      <w:pPr>
        <w:numPr>
          <w:ilvl w:val="0"/>
          <w:numId w:val="8"/>
        </w:numPr>
        <w:spacing w:after="0" w:line="240" w:lineRule="auto"/>
        <w:ind w:left="1656"/>
        <w:jc w:val="both"/>
        <w:rPr>
          <w:rFonts w:ascii="Arial" w:hAnsi="Arial" w:cs="Arial"/>
          <w:b/>
        </w:rPr>
      </w:pPr>
      <w:r w:rsidRPr="00485272">
        <w:rPr>
          <w:rFonts w:ascii="Arial" w:hAnsi="Arial" w:cs="Arial"/>
          <w:b/>
        </w:rPr>
        <w:t>Prepare the FS and its comparative period using the liquidation basis of accounting; and</w:t>
      </w:r>
    </w:p>
    <w:p w14:paraId="4F977FF7" w14:textId="77777777" w:rsidR="007D7EEA" w:rsidRPr="00485272" w:rsidRDefault="007D7EEA" w:rsidP="00485272">
      <w:pPr>
        <w:spacing w:after="0" w:line="240" w:lineRule="auto"/>
        <w:ind w:left="1656"/>
        <w:jc w:val="both"/>
        <w:rPr>
          <w:rFonts w:ascii="Arial" w:hAnsi="Arial" w:cs="Arial"/>
          <w:b/>
        </w:rPr>
      </w:pPr>
    </w:p>
    <w:p w14:paraId="0214FE8D" w14:textId="77777777" w:rsidR="007D7EEA" w:rsidRPr="00485272" w:rsidRDefault="00DD2A4D" w:rsidP="00485272">
      <w:pPr>
        <w:numPr>
          <w:ilvl w:val="0"/>
          <w:numId w:val="8"/>
        </w:numPr>
        <w:spacing w:after="0" w:line="240" w:lineRule="auto"/>
        <w:ind w:left="1656"/>
        <w:jc w:val="both"/>
        <w:rPr>
          <w:rFonts w:ascii="Arial" w:hAnsi="Arial" w:cs="Arial"/>
          <w:b/>
        </w:rPr>
      </w:pPr>
      <w:r w:rsidRPr="00485272">
        <w:rPr>
          <w:rFonts w:ascii="Arial" w:hAnsi="Arial" w:cs="Arial"/>
          <w:b/>
          <w:lang w:val="en-GB" w:eastAsia="en-GB"/>
        </w:rPr>
        <w:t>Make appropriate disclosures in the Notes to FS taking into consideration the provisions under Paragraph 25 of PAS 1.</w:t>
      </w:r>
    </w:p>
    <w:p w14:paraId="7A761633" w14:textId="77777777" w:rsidR="007D7EEA" w:rsidRPr="00485272" w:rsidRDefault="007D7EEA" w:rsidP="00485272">
      <w:pPr>
        <w:spacing w:after="0" w:line="240" w:lineRule="auto"/>
        <w:jc w:val="both"/>
        <w:rPr>
          <w:rFonts w:ascii="Arial" w:hAnsi="Arial" w:cs="Arial"/>
          <w:b/>
        </w:rPr>
      </w:pPr>
    </w:p>
    <w:p w14:paraId="1F3E9E77" w14:textId="77777777"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sz w:val="22"/>
          <w:szCs w:val="22"/>
          <w:lang w:val="en-PH"/>
        </w:rPr>
      </w:pPr>
      <w:r w:rsidRPr="00485272">
        <w:rPr>
          <w:rFonts w:ascii="Arial" w:hAnsi="Arial" w:cs="Arial"/>
          <w:sz w:val="22"/>
          <w:szCs w:val="22"/>
          <w:lang w:val="en-PH"/>
        </w:rPr>
        <w:t>The Management commented that:</w:t>
      </w:r>
    </w:p>
    <w:p w14:paraId="4051F00E" w14:textId="77777777" w:rsidR="007D7EEA" w:rsidRPr="00485272" w:rsidRDefault="007D7EEA" w:rsidP="00485272">
      <w:pPr>
        <w:pStyle w:val="NormalWeb"/>
        <w:spacing w:before="0" w:beforeAutospacing="0" w:after="0" w:afterAutospacing="0"/>
        <w:ind w:left="1267"/>
        <w:jc w:val="both"/>
        <w:rPr>
          <w:rFonts w:ascii="Arial" w:hAnsi="Arial" w:cs="Arial"/>
          <w:sz w:val="22"/>
          <w:szCs w:val="22"/>
          <w:lang w:val="en-PH"/>
        </w:rPr>
      </w:pPr>
    </w:p>
    <w:p w14:paraId="2273251A" w14:textId="77777777"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lang w:val="en-PH"/>
        </w:rPr>
      </w:pPr>
      <w:r w:rsidRPr="00485272">
        <w:rPr>
          <w:rFonts w:ascii="Arial" w:hAnsi="Arial" w:cs="Arial"/>
          <w:sz w:val="22"/>
          <w:szCs w:val="22"/>
          <w:lang w:val="en-PH"/>
        </w:rPr>
        <w:t xml:space="preserve">MO No. 90 was issued primarily due to the depletion of its Retained Earnings. Likewise, as provided in the same order, </w:t>
      </w:r>
      <w:r w:rsidRPr="00485272">
        <w:rPr>
          <w:rFonts w:ascii="Arial" w:hAnsi="Arial" w:cs="Arial"/>
          <w:sz w:val="22"/>
          <w:szCs w:val="22"/>
        </w:rPr>
        <w:t>the</w:t>
      </w:r>
      <w:r w:rsidRPr="00485272">
        <w:rPr>
          <w:rFonts w:ascii="Arial" w:hAnsi="Arial" w:cs="Arial"/>
          <w:sz w:val="22"/>
          <w:szCs w:val="22"/>
          <w:lang w:val="en-PH"/>
        </w:rPr>
        <w:t xml:space="preserve"> GCG recommended the abolition of AFPRSBS, and upon approval of the President of the Philippines, GCG will implement such abolition unless another agency is otherwise designated;</w:t>
      </w:r>
    </w:p>
    <w:p w14:paraId="36630C05" w14:textId="77777777" w:rsidR="007D7EEA" w:rsidRPr="00485272" w:rsidRDefault="007D7EEA" w:rsidP="00485272">
      <w:pPr>
        <w:pStyle w:val="NormalWeb"/>
        <w:spacing w:before="0" w:beforeAutospacing="0" w:after="0" w:afterAutospacing="0"/>
        <w:ind w:left="1276"/>
        <w:jc w:val="both"/>
        <w:rPr>
          <w:rFonts w:ascii="Arial" w:hAnsi="Arial" w:cs="Arial"/>
          <w:sz w:val="22"/>
          <w:szCs w:val="22"/>
          <w:lang w:val="en-PH"/>
        </w:rPr>
      </w:pPr>
    </w:p>
    <w:p w14:paraId="10D0F0CA" w14:textId="6B8EE2BF"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lang w:val="en-PH"/>
        </w:rPr>
      </w:pPr>
      <w:r w:rsidRPr="00485272">
        <w:rPr>
          <w:rFonts w:ascii="Arial" w:hAnsi="Arial" w:cs="Arial"/>
          <w:sz w:val="22"/>
          <w:szCs w:val="22"/>
          <w:lang w:val="en-PH"/>
        </w:rPr>
        <w:t xml:space="preserve">The thrust of the </w:t>
      </w:r>
      <w:r w:rsidR="000C5F71">
        <w:rPr>
          <w:rFonts w:ascii="Arial" w:hAnsi="Arial" w:cs="Arial"/>
          <w:sz w:val="22"/>
          <w:szCs w:val="22"/>
          <w:lang w:val="en-PH"/>
        </w:rPr>
        <w:t>AFPRSBS</w:t>
      </w:r>
      <w:r w:rsidR="000C5F71" w:rsidRPr="00485272">
        <w:rPr>
          <w:rFonts w:ascii="Arial" w:hAnsi="Arial" w:cs="Arial"/>
          <w:sz w:val="22"/>
          <w:szCs w:val="22"/>
          <w:lang w:val="en-PH"/>
        </w:rPr>
        <w:t xml:space="preserve"> </w:t>
      </w:r>
      <w:r w:rsidRPr="00485272">
        <w:rPr>
          <w:rFonts w:ascii="Arial" w:hAnsi="Arial" w:cs="Arial"/>
          <w:sz w:val="22"/>
          <w:szCs w:val="22"/>
          <w:lang w:val="en-PH"/>
        </w:rPr>
        <w:t xml:space="preserve">now is to transfer all its remaining assets to an entity that will be identified by its supervising agency, the Department of National Defense (DND).  A proposal to transfer the remaining assets of AFPRSBS to another entity is being drafted and will be submitted to </w:t>
      </w:r>
      <w:r w:rsidRPr="00485272">
        <w:rPr>
          <w:rFonts w:ascii="Arial" w:hAnsi="Arial" w:cs="Arial"/>
          <w:sz w:val="22"/>
          <w:szCs w:val="22"/>
          <w:lang w:val="en-PH"/>
        </w:rPr>
        <w:lastRenderedPageBreak/>
        <w:t>the AFPRSBS BOL for its approval and endorsement to the approving authority.</w:t>
      </w:r>
    </w:p>
    <w:p w14:paraId="3AB2281C" w14:textId="77777777" w:rsidR="007D7EEA" w:rsidRPr="00485272" w:rsidRDefault="007D7EEA" w:rsidP="00485272">
      <w:pPr>
        <w:pStyle w:val="NormalWeb"/>
        <w:spacing w:before="0" w:beforeAutospacing="0" w:after="0" w:afterAutospacing="0"/>
        <w:ind w:left="1701"/>
        <w:jc w:val="both"/>
        <w:rPr>
          <w:rFonts w:ascii="Arial" w:hAnsi="Arial" w:cs="Arial"/>
          <w:sz w:val="22"/>
          <w:szCs w:val="22"/>
          <w:lang w:val="en-PH"/>
        </w:rPr>
      </w:pPr>
    </w:p>
    <w:p w14:paraId="5FB992E3" w14:textId="77777777"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lang w:val="en-PH"/>
        </w:rPr>
      </w:pPr>
      <w:r w:rsidRPr="00485272">
        <w:rPr>
          <w:rFonts w:ascii="Arial" w:hAnsi="Arial" w:cs="Arial"/>
          <w:sz w:val="22"/>
          <w:szCs w:val="22"/>
          <w:lang w:val="en-PH"/>
        </w:rPr>
        <w:t>Furthermore, the Accounting Standards Update No. 2013-07 issued in April 2013 provides for the guidelines in the Liquidation Basis of Accounting.  The update was issued to clarify when an entity should apply the liquidation basis of accounting.</w:t>
      </w:r>
    </w:p>
    <w:p w14:paraId="6D44EAB3" w14:textId="77777777" w:rsidR="007D7EEA" w:rsidRPr="00485272" w:rsidRDefault="007D7EEA" w:rsidP="00485272">
      <w:pPr>
        <w:pStyle w:val="NormalWeb"/>
        <w:spacing w:before="0" w:beforeAutospacing="0" w:after="0" w:afterAutospacing="0"/>
        <w:ind w:left="1701"/>
        <w:jc w:val="both"/>
        <w:rPr>
          <w:rFonts w:ascii="Arial" w:hAnsi="Arial" w:cs="Arial"/>
          <w:sz w:val="22"/>
          <w:szCs w:val="22"/>
          <w:lang w:val="en-PH"/>
        </w:rPr>
      </w:pPr>
    </w:p>
    <w:p w14:paraId="07ECC5E0" w14:textId="77777777"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lang w:val="en-PH"/>
        </w:rPr>
      </w:pPr>
      <w:r w:rsidRPr="00485272">
        <w:rPr>
          <w:rFonts w:ascii="Arial" w:hAnsi="Arial" w:cs="Arial"/>
          <w:sz w:val="22"/>
          <w:szCs w:val="22"/>
          <w:lang w:val="en-PH"/>
        </w:rPr>
        <w:t>Based on the said reference, liquidation is imminent when the likelihood is remote that the entity will return from liquidation and either:</w:t>
      </w:r>
    </w:p>
    <w:p w14:paraId="216FC4C5" w14:textId="77777777" w:rsidR="007D7EEA" w:rsidRPr="00485272" w:rsidRDefault="007D7EEA" w:rsidP="00485272">
      <w:pPr>
        <w:pStyle w:val="NormalWeb"/>
        <w:spacing w:before="0" w:beforeAutospacing="0" w:after="0" w:afterAutospacing="0"/>
        <w:ind w:left="1296"/>
        <w:jc w:val="both"/>
        <w:rPr>
          <w:rFonts w:ascii="Arial" w:hAnsi="Arial" w:cs="Arial"/>
          <w:sz w:val="22"/>
          <w:szCs w:val="22"/>
        </w:rPr>
      </w:pPr>
    </w:p>
    <w:p w14:paraId="57DC7B5A" w14:textId="77777777" w:rsidR="007D7EEA" w:rsidRPr="00485272" w:rsidRDefault="00DD2A4D" w:rsidP="00485272">
      <w:pPr>
        <w:pStyle w:val="NormalWeb"/>
        <w:numPr>
          <w:ilvl w:val="0"/>
          <w:numId w:val="12"/>
        </w:numPr>
        <w:spacing w:before="0" w:beforeAutospacing="0" w:after="0" w:afterAutospacing="0"/>
        <w:ind w:left="2127" w:hanging="284"/>
        <w:jc w:val="both"/>
        <w:rPr>
          <w:rFonts w:ascii="Arial" w:hAnsi="Arial" w:cs="Arial"/>
          <w:sz w:val="22"/>
          <w:szCs w:val="22"/>
        </w:rPr>
      </w:pPr>
      <w:r w:rsidRPr="00485272">
        <w:rPr>
          <w:rFonts w:ascii="Arial" w:hAnsi="Arial" w:cs="Arial"/>
          <w:sz w:val="22"/>
          <w:szCs w:val="22"/>
        </w:rPr>
        <w:t>A plan for liquidation is approved by the person or persons with the authority to make such a plan effective and the likelihood is remote that the execution of the plan will be blocked by other parties; or</w:t>
      </w:r>
    </w:p>
    <w:p w14:paraId="407517F8" w14:textId="77777777" w:rsidR="007D7EEA" w:rsidRPr="00485272" w:rsidRDefault="007D7EEA" w:rsidP="00485272">
      <w:pPr>
        <w:pStyle w:val="NormalWeb"/>
        <w:spacing w:before="0" w:beforeAutospacing="0" w:after="0" w:afterAutospacing="0"/>
        <w:ind w:left="1843" w:hanging="567"/>
        <w:jc w:val="both"/>
        <w:rPr>
          <w:rFonts w:ascii="Arial" w:hAnsi="Arial" w:cs="Arial"/>
          <w:sz w:val="22"/>
          <w:szCs w:val="22"/>
        </w:rPr>
      </w:pPr>
    </w:p>
    <w:p w14:paraId="67254AA0" w14:textId="639DB04C" w:rsidR="007D7EEA" w:rsidRPr="00485272" w:rsidRDefault="00DD2A4D" w:rsidP="00485272">
      <w:pPr>
        <w:pStyle w:val="NormalWeb"/>
        <w:numPr>
          <w:ilvl w:val="0"/>
          <w:numId w:val="12"/>
        </w:numPr>
        <w:spacing w:before="0" w:beforeAutospacing="0" w:after="0" w:afterAutospacing="0"/>
        <w:ind w:left="2127" w:hanging="284"/>
        <w:jc w:val="both"/>
        <w:rPr>
          <w:rFonts w:ascii="Arial" w:hAnsi="Arial" w:cs="Arial"/>
          <w:sz w:val="22"/>
          <w:szCs w:val="22"/>
        </w:rPr>
      </w:pPr>
      <w:r w:rsidRPr="00485272">
        <w:rPr>
          <w:rFonts w:ascii="Arial" w:hAnsi="Arial" w:cs="Arial"/>
          <w:sz w:val="22"/>
          <w:szCs w:val="22"/>
        </w:rPr>
        <w:t>A plan for liquidation is being imposed by other forces (e.g. involuntary bankruptcy).</w:t>
      </w:r>
    </w:p>
    <w:p w14:paraId="1CACCB8C" w14:textId="77777777" w:rsidR="007D7EEA" w:rsidRPr="00485272" w:rsidRDefault="007D7EEA" w:rsidP="00485272">
      <w:pPr>
        <w:pStyle w:val="ListParagraph"/>
        <w:rPr>
          <w:rFonts w:ascii="Arial" w:hAnsi="Arial" w:cs="Arial"/>
          <w:sz w:val="22"/>
          <w:szCs w:val="22"/>
        </w:rPr>
      </w:pPr>
    </w:p>
    <w:p w14:paraId="2C097128" w14:textId="6204644C"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rPr>
      </w:pPr>
      <w:r w:rsidRPr="00485272">
        <w:rPr>
          <w:rFonts w:ascii="Arial" w:hAnsi="Arial" w:cs="Arial"/>
          <w:sz w:val="22"/>
          <w:szCs w:val="22"/>
        </w:rPr>
        <w:t xml:space="preserve">The first criterion cannot be considered as fully applicable to the </w:t>
      </w:r>
      <w:r w:rsidR="000C5F71">
        <w:rPr>
          <w:rFonts w:ascii="Arial" w:hAnsi="Arial" w:cs="Arial"/>
          <w:sz w:val="22"/>
          <w:szCs w:val="22"/>
        </w:rPr>
        <w:t>AFPRSBS</w:t>
      </w:r>
      <w:r w:rsidRPr="00485272">
        <w:rPr>
          <w:rFonts w:ascii="Arial" w:hAnsi="Arial" w:cs="Arial"/>
          <w:sz w:val="22"/>
          <w:szCs w:val="22"/>
        </w:rPr>
        <w:t xml:space="preserve">.  Although its </w:t>
      </w:r>
      <w:r w:rsidRPr="00485272">
        <w:rPr>
          <w:rFonts w:ascii="Arial" w:hAnsi="Arial" w:cs="Arial"/>
          <w:sz w:val="22"/>
          <w:szCs w:val="22"/>
          <w:lang w:val="en-PH"/>
        </w:rPr>
        <w:t>abolition</w:t>
      </w:r>
      <w:r w:rsidRPr="00485272">
        <w:rPr>
          <w:rFonts w:ascii="Arial" w:hAnsi="Arial" w:cs="Arial"/>
          <w:sz w:val="22"/>
          <w:szCs w:val="22"/>
        </w:rPr>
        <w:t xml:space="preserve"> was already approved per MO No. 90 of 2016, the last </w:t>
      </w:r>
      <w:r w:rsidRPr="00485272">
        <w:rPr>
          <w:rFonts w:ascii="Arial" w:hAnsi="Arial" w:cs="Arial"/>
          <w:sz w:val="22"/>
          <w:szCs w:val="22"/>
          <w:lang w:val="en-PH"/>
        </w:rPr>
        <w:t>whereas</w:t>
      </w:r>
      <w:r w:rsidRPr="00485272">
        <w:rPr>
          <w:rFonts w:ascii="Arial" w:hAnsi="Arial" w:cs="Arial"/>
          <w:sz w:val="22"/>
          <w:szCs w:val="22"/>
        </w:rPr>
        <w:t xml:space="preserve"> clause of the said memo still allows for the stoppage of the implementation when another agency is designated.  The second criterion does not also apply to </w:t>
      </w:r>
      <w:r w:rsidR="000C5F71">
        <w:rPr>
          <w:rFonts w:ascii="Arial" w:hAnsi="Arial" w:cs="Arial"/>
          <w:sz w:val="22"/>
          <w:szCs w:val="22"/>
        </w:rPr>
        <w:t>AFPRSBS</w:t>
      </w:r>
      <w:r w:rsidRPr="00485272">
        <w:rPr>
          <w:rFonts w:ascii="Arial" w:hAnsi="Arial" w:cs="Arial"/>
          <w:sz w:val="22"/>
          <w:szCs w:val="22"/>
        </w:rPr>
        <w:t xml:space="preserve"> since it is not bankrupt as shown in its latest FS.</w:t>
      </w:r>
    </w:p>
    <w:p w14:paraId="0146E753"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p>
    <w:p w14:paraId="1824FBD3" w14:textId="5D88927F"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rPr>
      </w:pPr>
      <w:r w:rsidRPr="00485272">
        <w:rPr>
          <w:rFonts w:ascii="Arial" w:hAnsi="Arial" w:cs="Arial"/>
          <w:sz w:val="22"/>
          <w:szCs w:val="22"/>
        </w:rPr>
        <w:t xml:space="preserve">Moreover, the liquidation of the </w:t>
      </w:r>
      <w:r w:rsidR="000C5F71">
        <w:rPr>
          <w:rFonts w:ascii="Arial" w:hAnsi="Arial" w:cs="Arial"/>
          <w:sz w:val="22"/>
          <w:szCs w:val="22"/>
        </w:rPr>
        <w:t>AFPRSBS</w:t>
      </w:r>
      <w:r w:rsidRPr="00485272">
        <w:rPr>
          <w:rFonts w:ascii="Arial" w:hAnsi="Arial" w:cs="Arial"/>
          <w:sz w:val="22"/>
          <w:szCs w:val="22"/>
        </w:rPr>
        <w:t xml:space="preserve"> is not imminent at this time considering </w:t>
      </w:r>
      <w:r w:rsidRPr="00485272">
        <w:rPr>
          <w:rFonts w:ascii="Arial" w:hAnsi="Arial" w:cs="Arial"/>
          <w:sz w:val="22"/>
          <w:szCs w:val="22"/>
          <w:lang w:val="en-PH"/>
        </w:rPr>
        <w:t>the</w:t>
      </w:r>
      <w:r w:rsidRPr="00485272">
        <w:rPr>
          <w:rFonts w:ascii="Arial" w:hAnsi="Arial" w:cs="Arial"/>
          <w:sz w:val="22"/>
          <w:szCs w:val="22"/>
        </w:rPr>
        <w:t xml:space="preserve"> plan to transfer its remaining assets to another entity.  The manner of transfer is still for decision which can also be in the form of merger.</w:t>
      </w:r>
    </w:p>
    <w:p w14:paraId="5DDD889F"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p>
    <w:p w14:paraId="16CF1F3B" w14:textId="5B68F8A3" w:rsidR="007D7EEA" w:rsidRPr="00485272" w:rsidRDefault="00DD2A4D" w:rsidP="00485272">
      <w:pPr>
        <w:pStyle w:val="NormalWeb"/>
        <w:numPr>
          <w:ilvl w:val="3"/>
          <w:numId w:val="10"/>
        </w:numPr>
        <w:spacing w:before="0" w:beforeAutospacing="0" w:after="0" w:afterAutospacing="0"/>
        <w:ind w:left="1701" w:hanging="425"/>
        <w:jc w:val="both"/>
        <w:rPr>
          <w:rFonts w:ascii="Arial" w:hAnsi="Arial" w:cs="Arial"/>
          <w:sz w:val="22"/>
          <w:szCs w:val="22"/>
        </w:rPr>
      </w:pPr>
      <w:r w:rsidRPr="00485272">
        <w:rPr>
          <w:rFonts w:ascii="Arial" w:hAnsi="Arial" w:cs="Arial"/>
          <w:sz w:val="22"/>
          <w:szCs w:val="22"/>
        </w:rPr>
        <w:t xml:space="preserve">Thus, the </w:t>
      </w:r>
      <w:r w:rsidR="000C5F71">
        <w:rPr>
          <w:rFonts w:ascii="Arial" w:hAnsi="Arial" w:cs="Arial"/>
          <w:sz w:val="22"/>
          <w:szCs w:val="22"/>
        </w:rPr>
        <w:t>AFPRSBS</w:t>
      </w:r>
      <w:r w:rsidRPr="00485272">
        <w:rPr>
          <w:rFonts w:ascii="Arial" w:hAnsi="Arial" w:cs="Arial"/>
          <w:sz w:val="22"/>
          <w:szCs w:val="22"/>
        </w:rPr>
        <w:t xml:space="preserve"> </w:t>
      </w:r>
      <w:r w:rsidRPr="00485272">
        <w:rPr>
          <w:rFonts w:ascii="Arial" w:hAnsi="Arial" w:cs="Arial"/>
          <w:sz w:val="22"/>
          <w:szCs w:val="22"/>
          <w:lang w:val="en-PH"/>
        </w:rPr>
        <w:t>believes</w:t>
      </w:r>
      <w:r w:rsidRPr="00485272">
        <w:rPr>
          <w:rFonts w:ascii="Arial" w:hAnsi="Arial" w:cs="Arial"/>
          <w:sz w:val="22"/>
          <w:szCs w:val="22"/>
        </w:rPr>
        <w:t xml:space="preserve"> that the preparation of the FS can still be made in the going concern assumption.</w:t>
      </w:r>
    </w:p>
    <w:p w14:paraId="22EDE5F7"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p>
    <w:p w14:paraId="1B9BEBCE" w14:textId="77777777"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As a rejoinder, the Audit Team would like to emphasize the importance of presenting the FS under a basis other than the going concern to fairly present not only the results of operations but also its current financial condition.</w:t>
      </w:r>
    </w:p>
    <w:p w14:paraId="47B204B8" w14:textId="77777777" w:rsidR="007D7EEA" w:rsidRPr="00485272" w:rsidRDefault="00DD2A4D" w:rsidP="00485272">
      <w:pPr>
        <w:pStyle w:val="NormalWeb"/>
        <w:spacing w:before="0" w:beforeAutospacing="0" w:after="0" w:afterAutospacing="0"/>
        <w:ind w:left="1260"/>
        <w:jc w:val="both"/>
        <w:rPr>
          <w:rFonts w:ascii="Arial" w:hAnsi="Arial" w:cs="Arial"/>
          <w:sz w:val="22"/>
          <w:szCs w:val="22"/>
        </w:rPr>
      </w:pPr>
      <w:r w:rsidRPr="00485272">
        <w:rPr>
          <w:rFonts w:ascii="Arial" w:hAnsi="Arial" w:cs="Arial"/>
          <w:sz w:val="22"/>
          <w:szCs w:val="22"/>
        </w:rPr>
        <w:t xml:space="preserve"> </w:t>
      </w:r>
    </w:p>
    <w:p w14:paraId="136BDA3E" w14:textId="4F6F4DAF"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We reiterate that MO No. 90 is straightforward in declaring the abolition of the </w:t>
      </w:r>
      <w:r w:rsidR="000C5F71">
        <w:rPr>
          <w:rFonts w:ascii="Arial" w:hAnsi="Arial" w:cs="Arial"/>
          <w:sz w:val="22"/>
          <w:szCs w:val="22"/>
        </w:rPr>
        <w:t>AFPRSBS</w:t>
      </w:r>
      <w:r w:rsidRPr="00485272">
        <w:rPr>
          <w:rFonts w:ascii="Arial" w:hAnsi="Arial" w:cs="Arial"/>
          <w:sz w:val="22"/>
          <w:szCs w:val="22"/>
        </w:rPr>
        <w:t xml:space="preserve"> which negates the assumption of the Management that it is still operating under a going concern.  As can be gleaned from the provisions of MO No. 90, it clearly and unequivocally declared that the </w:t>
      </w:r>
      <w:r w:rsidR="000C5F71">
        <w:rPr>
          <w:rFonts w:ascii="Arial" w:hAnsi="Arial" w:cs="Arial"/>
          <w:sz w:val="22"/>
          <w:szCs w:val="22"/>
        </w:rPr>
        <w:t>AFPRSBS</w:t>
      </w:r>
      <w:r w:rsidRPr="00485272">
        <w:rPr>
          <w:rFonts w:ascii="Arial" w:hAnsi="Arial" w:cs="Arial"/>
          <w:sz w:val="22"/>
          <w:szCs w:val="22"/>
        </w:rPr>
        <w:t xml:space="preserve"> is already abolished.  More so, the said order also provides for its winding down and liquidation. </w:t>
      </w:r>
    </w:p>
    <w:p w14:paraId="2BA0365F"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p>
    <w:p w14:paraId="3C5296AE" w14:textId="6A620DC3"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Likewise, the first criteria as provided in Accounting Standards Update No. 2013-07 is fully applicable to the </w:t>
      </w:r>
      <w:r w:rsidR="000C5F71">
        <w:rPr>
          <w:rFonts w:ascii="Arial" w:hAnsi="Arial" w:cs="Arial"/>
          <w:sz w:val="22"/>
          <w:szCs w:val="22"/>
        </w:rPr>
        <w:t>AFPRSBS</w:t>
      </w:r>
      <w:r w:rsidRPr="00485272">
        <w:rPr>
          <w:rFonts w:ascii="Arial" w:hAnsi="Arial" w:cs="Arial"/>
          <w:sz w:val="22"/>
          <w:szCs w:val="22"/>
        </w:rPr>
        <w:t xml:space="preserve"> since there is a Liquidation Plan (LP) approved by the GCG.  Moreover, the activities specified in MO No. 90 and LP in relation to winding down of the </w:t>
      </w:r>
      <w:r w:rsidR="000C5F71">
        <w:rPr>
          <w:rFonts w:ascii="Arial" w:hAnsi="Arial" w:cs="Arial"/>
          <w:sz w:val="22"/>
          <w:szCs w:val="22"/>
        </w:rPr>
        <w:t>AFPRSBS</w:t>
      </w:r>
      <w:r w:rsidRPr="00485272">
        <w:rPr>
          <w:rFonts w:ascii="Arial" w:hAnsi="Arial" w:cs="Arial"/>
          <w:sz w:val="22"/>
          <w:szCs w:val="22"/>
        </w:rPr>
        <w:t xml:space="preserve"> such as selling its real estate assets, ceasing of the collection and refunding of </w:t>
      </w:r>
      <w:r w:rsidR="004C5AFE" w:rsidRPr="00485272">
        <w:rPr>
          <w:rFonts w:ascii="Arial" w:hAnsi="Arial" w:cs="Arial"/>
          <w:sz w:val="22"/>
          <w:szCs w:val="22"/>
        </w:rPr>
        <w:t>MCs</w:t>
      </w:r>
      <w:r w:rsidRPr="00485272">
        <w:rPr>
          <w:rFonts w:ascii="Arial" w:hAnsi="Arial" w:cs="Arial"/>
          <w:sz w:val="22"/>
          <w:szCs w:val="22"/>
        </w:rPr>
        <w:t xml:space="preserve"> are already being made by the Management. Foregoing considered, until MO No. 90 is repealed and/or amended, the mandate of abolishing the </w:t>
      </w:r>
      <w:r w:rsidR="000C5F71">
        <w:rPr>
          <w:rFonts w:ascii="Arial" w:hAnsi="Arial" w:cs="Arial"/>
          <w:sz w:val="22"/>
          <w:szCs w:val="22"/>
        </w:rPr>
        <w:t>AFPRSBS</w:t>
      </w:r>
      <w:r w:rsidRPr="00485272">
        <w:rPr>
          <w:rFonts w:ascii="Arial" w:hAnsi="Arial" w:cs="Arial"/>
          <w:sz w:val="22"/>
          <w:szCs w:val="22"/>
        </w:rPr>
        <w:t xml:space="preserve"> and its </w:t>
      </w:r>
      <w:r w:rsidRPr="00485272">
        <w:rPr>
          <w:rFonts w:ascii="Arial" w:hAnsi="Arial" w:cs="Arial"/>
          <w:sz w:val="22"/>
          <w:szCs w:val="22"/>
        </w:rPr>
        <w:lastRenderedPageBreak/>
        <w:t>eventual liquidation shall prevail.  Hence, there is no reason for the Management to assume that it is still operating under a going concern.</w:t>
      </w:r>
    </w:p>
    <w:p w14:paraId="476B6594" w14:textId="77777777" w:rsidR="007D7EEA" w:rsidRPr="00485272" w:rsidRDefault="007D7EEA" w:rsidP="00485272">
      <w:pPr>
        <w:pStyle w:val="NormalWeb"/>
        <w:spacing w:before="0" w:beforeAutospacing="0" w:after="0" w:afterAutospacing="0"/>
        <w:jc w:val="both"/>
        <w:rPr>
          <w:rFonts w:ascii="Arial" w:hAnsi="Arial" w:cs="Arial"/>
          <w:sz w:val="22"/>
          <w:szCs w:val="22"/>
        </w:rPr>
      </w:pPr>
    </w:p>
    <w:p w14:paraId="7E24CCD5" w14:textId="4EB6D6EB"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Moreover, the statement “unless another agency is otherwise designated” as provided in the last whereas clause of MO No. 90 pertains to the agency (other than GCG) that will implement and supervise the said abolition and does not refer to stoppage of the implementation of the said order.  A clear reading of the last whereas clause reveals that it is the GCG which is primarily tasked to carry out the abolition of the </w:t>
      </w:r>
      <w:r w:rsidR="000C5F71">
        <w:rPr>
          <w:rFonts w:ascii="Arial" w:hAnsi="Arial" w:cs="Arial"/>
          <w:sz w:val="22"/>
          <w:szCs w:val="22"/>
        </w:rPr>
        <w:t>AFPRSBS</w:t>
      </w:r>
      <w:r w:rsidRPr="00485272">
        <w:rPr>
          <w:rFonts w:ascii="Arial" w:hAnsi="Arial" w:cs="Arial"/>
          <w:sz w:val="22"/>
          <w:szCs w:val="22"/>
        </w:rPr>
        <w:t xml:space="preserve"> unless another agency is designated by the President to implement the provisions of MO No. 90.</w:t>
      </w:r>
    </w:p>
    <w:p w14:paraId="64D3010F"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p>
    <w:p w14:paraId="0DDC9C0E" w14:textId="77777777" w:rsidR="007D7EEA" w:rsidRPr="00485272" w:rsidRDefault="00DD2A4D" w:rsidP="00485272">
      <w:pPr>
        <w:pStyle w:val="NormalWeb"/>
        <w:numPr>
          <w:ilvl w:val="0"/>
          <w:numId w:val="7"/>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Foregoing considered, we maintain our recommendation that Management prepare the FS and its comparative period using the liquidation basis of accounting, and make appropriate disclosures in the Notes to FS as provided under Paragraph 25 of PAS 1.</w:t>
      </w:r>
    </w:p>
    <w:p w14:paraId="635B855F" w14:textId="77777777" w:rsidR="007D7EEA" w:rsidRPr="00485272" w:rsidRDefault="007D7EEA" w:rsidP="00485272">
      <w:pPr>
        <w:pStyle w:val="NormalWeb"/>
        <w:spacing w:before="0" w:beforeAutospacing="0" w:after="0" w:afterAutospacing="0"/>
        <w:ind w:left="540"/>
        <w:jc w:val="both"/>
        <w:rPr>
          <w:rFonts w:ascii="Arial" w:hAnsi="Arial" w:cs="Arial"/>
          <w:b/>
          <w:sz w:val="22"/>
          <w:szCs w:val="22"/>
        </w:rPr>
      </w:pPr>
    </w:p>
    <w:p w14:paraId="491887DF" w14:textId="77777777" w:rsidR="007D7EEA" w:rsidRPr="00485272" w:rsidRDefault="007D7EEA" w:rsidP="00485272">
      <w:pPr>
        <w:pStyle w:val="NormalWeb"/>
        <w:spacing w:before="0" w:beforeAutospacing="0" w:after="0" w:afterAutospacing="0"/>
        <w:ind w:left="540"/>
        <w:jc w:val="both"/>
        <w:rPr>
          <w:rFonts w:ascii="Arial" w:hAnsi="Arial" w:cs="Arial"/>
          <w:b/>
          <w:sz w:val="22"/>
          <w:szCs w:val="22"/>
        </w:rPr>
      </w:pPr>
    </w:p>
    <w:p w14:paraId="4D21413D" w14:textId="77777777" w:rsidR="00835757" w:rsidRPr="00485272" w:rsidRDefault="00835757" w:rsidP="00485272">
      <w:pPr>
        <w:pStyle w:val="NormalWeb"/>
        <w:numPr>
          <w:ilvl w:val="0"/>
          <w:numId w:val="3"/>
        </w:numPr>
        <w:spacing w:before="0" w:beforeAutospacing="0" w:after="0" w:afterAutospacing="0"/>
        <w:ind w:left="576" w:hanging="576"/>
        <w:jc w:val="both"/>
        <w:rPr>
          <w:rFonts w:ascii="Arial" w:hAnsi="Arial" w:cs="Arial"/>
          <w:b/>
          <w:sz w:val="22"/>
          <w:szCs w:val="22"/>
        </w:rPr>
      </w:pPr>
      <w:r w:rsidRPr="00485272">
        <w:rPr>
          <w:rFonts w:ascii="Arial" w:hAnsi="Arial" w:cs="Arial"/>
          <w:b/>
          <w:sz w:val="22"/>
          <w:szCs w:val="22"/>
        </w:rPr>
        <w:t xml:space="preserve">The FS of AFPRSBS and that of its </w:t>
      </w:r>
      <w:r w:rsidR="005E1B9B" w:rsidRPr="00485272">
        <w:rPr>
          <w:rFonts w:ascii="Arial" w:hAnsi="Arial" w:cs="Arial"/>
          <w:b/>
          <w:sz w:val="22"/>
          <w:szCs w:val="22"/>
        </w:rPr>
        <w:t xml:space="preserve">other </w:t>
      </w:r>
      <w:r w:rsidRPr="00485272">
        <w:rPr>
          <w:rFonts w:ascii="Arial" w:hAnsi="Arial" w:cs="Arial"/>
          <w:b/>
          <w:sz w:val="22"/>
          <w:szCs w:val="22"/>
        </w:rPr>
        <w:t>subsidiaries where it has investments totaling P</w:t>
      </w:r>
      <w:r w:rsidR="00E92860" w:rsidRPr="00485272">
        <w:rPr>
          <w:rFonts w:ascii="Arial" w:hAnsi="Arial" w:cs="Arial"/>
          <w:b/>
          <w:sz w:val="22"/>
          <w:szCs w:val="22"/>
        </w:rPr>
        <w:t xml:space="preserve">1.116 billion </w:t>
      </w:r>
      <w:r w:rsidRPr="00485272">
        <w:rPr>
          <w:rFonts w:ascii="Arial" w:hAnsi="Arial" w:cs="Arial"/>
          <w:b/>
          <w:sz w:val="22"/>
          <w:szCs w:val="22"/>
        </w:rPr>
        <w:t xml:space="preserve">were not consolidated.  Accordingly, the parent and subsidiary reciprocal account balances were not </w:t>
      </w:r>
      <w:r w:rsidR="005E1B9B" w:rsidRPr="00485272">
        <w:rPr>
          <w:rFonts w:ascii="Arial" w:hAnsi="Arial" w:cs="Arial"/>
          <w:b/>
          <w:sz w:val="22"/>
          <w:szCs w:val="22"/>
        </w:rPr>
        <w:t xml:space="preserve">all </w:t>
      </w:r>
      <w:r w:rsidRPr="00485272">
        <w:rPr>
          <w:rFonts w:ascii="Arial" w:hAnsi="Arial" w:cs="Arial"/>
          <w:b/>
          <w:sz w:val="22"/>
          <w:szCs w:val="22"/>
        </w:rPr>
        <w:t xml:space="preserve">eliminated, contrary to the pertinent provisions of PFRS 10 – </w:t>
      </w:r>
      <w:r w:rsidRPr="00BB0337">
        <w:rPr>
          <w:rFonts w:ascii="Arial" w:hAnsi="Arial" w:cs="Arial"/>
          <w:b/>
          <w:i/>
          <w:sz w:val="22"/>
          <w:szCs w:val="22"/>
        </w:rPr>
        <w:t>Consolidated Financial Statements</w:t>
      </w:r>
      <w:r w:rsidRPr="00485272">
        <w:rPr>
          <w:rFonts w:ascii="Arial" w:hAnsi="Arial" w:cs="Arial"/>
          <w:b/>
          <w:sz w:val="22"/>
          <w:szCs w:val="22"/>
        </w:rPr>
        <w:t>, thus, casting doubt on the reliability and accuracy of the financial condition and results of the operations of the AFPRSBS as at and for the year ended December 31, 2022.</w:t>
      </w:r>
    </w:p>
    <w:p w14:paraId="0FD0A917" w14:textId="77777777" w:rsidR="00835757" w:rsidRPr="00485272" w:rsidRDefault="00835757" w:rsidP="00485272">
      <w:pPr>
        <w:pStyle w:val="NormalWeb"/>
        <w:spacing w:before="0" w:beforeAutospacing="0" w:after="0" w:afterAutospacing="0"/>
        <w:jc w:val="both"/>
        <w:rPr>
          <w:rFonts w:ascii="Arial" w:hAnsi="Arial" w:cs="Arial"/>
          <w:b/>
          <w:sz w:val="22"/>
          <w:szCs w:val="22"/>
        </w:rPr>
      </w:pPr>
    </w:p>
    <w:p w14:paraId="52F3885C" w14:textId="4EE5F9E8"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This is a reiteration with modification</w:t>
      </w:r>
      <w:r w:rsidR="006F5114" w:rsidRPr="00485272">
        <w:rPr>
          <w:rFonts w:ascii="Arial" w:hAnsi="Arial" w:cs="Arial"/>
          <w:sz w:val="22"/>
          <w:szCs w:val="22"/>
        </w:rPr>
        <w:t>s</w:t>
      </w:r>
      <w:r w:rsidRPr="00485272">
        <w:rPr>
          <w:rFonts w:ascii="Arial" w:hAnsi="Arial" w:cs="Arial"/>
          <w:sz w:val="22"/>
          <w:szCs w:val="22"/>
        </w:rPr>
        <w:t xml:space="preserve"> of </w:t>
      </w:r>
      <w:r w:rsidR="004F0733" w:rsidRPr="00485272">
        <w:rPr>
          <w:rFonts w:ascii="Arial" w:hAnsi="Arial" w:cs="Arial"/>
          <w:sz w:val="22"/>
          <w:szCs w:val="22"/>
        </w:rPr>
        <w:t>prior years' (PY) Audit Observation (AO)</w:t>
      </w:r>
      <w:r w:rsidRPr="00485272">
        <w:rPr>
          <w:rFonts w:ascii="Arial" w:hAnsi="Arial" w:cs="Arial"/>
          <w:sz w:val="22"/>
          <w:szCs w:val="22"/>
        </w:rPr>
        <w:t xml:space="preserve"> as embodied in the </w:t>
      </w:r>
      <w:r w:rsidR="006F5114" w:rsidRPr="00485272">
        <w:rPr>
          <w:rFonts w:ascii="Arial" w:hAnsi="Arial" w:cs="Arial"/>
          <w:sz w:val="22"/>
          <w:szCs w:val="22"/>
        </w:rPr>
        <w:t>Calendar Years (</w:t>
      </w:r>
      <w:r w:rsidRPr="00485272">
        <w:rPr>
          <w:rFonts w:ascii="Arial" w:hAnsi="Arial" w:cs="Arial"/>
          <w:sz w:val="22"/>
          <w:szCs w:val="22"/>
        </w:rPr>
        <w:t>CY</w:t>
      </w:r>
      <w:r w:rsidR="006F5114" w:rsidRPr="00485272">
        <w:rPr>
          <w:rFonts w:ascii="Arial" w:hAnsi="Arial" w:cs="Arial"/>
          <w:sz w:val="22"/>
          <w:szCs w:val="22"/>
        </w:rPr>
        <w:t>s)</w:t>
      </w:r>
      <w:r w:rsidRPr="00485272">
        <w:rPr>
          <w:rFonts w:ascii="Arial" w:hAnsi="Arial" w:cs="Arial"/>
          <w:sz w:val="22"/>
          <w:szCs w:val="22"/>
        </w:rPr>
        <w:t xml:space="preserve"> 2018, 2020, and 2021 </w:t>
      </w:r>
      <w:r w:rsidR="004F0733" w:rsidRPr="00485272">
        <w:rPr>
          <w:rFonts w:ascii="Arial" w:hAnsi="Arial" w:cs="Arial"/>
          <w:sz w:val="22"/>
          <w:szCs w:val="22"/>
        </w:rPr>
        <w:t>Annual Audit Report (AAR)</w:t>
      </w:r>
      <w:r w:rsidRPr="00485272">
        <w:rPr>
          <w:rFonts w:ascii="Arial" w:hAnsi="Arial" w:cs="Arial"/>
          <w:sz w:val="22"/>
          <w:szCs w:val="22"/>
        </w:rPr>
        <w:t>.</w:t>
      </w:r>
    </w:p>
    <w:p w14:paraId="63C30351" w14:textId="77777777" w:rsidR="00835757" w:rsidRPr="00485272" w:rsidRDefault="00835757" w:rsidP="00485272">
      <w:pPr>
        <w:pStyle w:val="ListParagraph"/>
        <w:ind w:left="0" w:firstLine="709"/>
        <w:jc w:val="both"/>
        <w:rPr>
          <w:rFonts w:ascii="Arial" w:hAnsi="Arial" w:cs="Arial"/>
          <w:sz w:val="22"/>
          <w:szCs w:val="22"/>
        </w:rPr>
      </w:pPr>
      <w:r w:rsidRPr="00485272">
        <w:rPr>
          <w:rFonts w:ascii="Arial" w:hAnsi="Arial" w:cs="Arial"/>
          <w:sz w:val="22"/>
          <w:szCs w:val="22"/>
        </w:rPr>
        <w:t xml:space="preserve"> </w:t>
      </w:r>
    </w:p>
    <w:p w14:paraId="4B6328B8" w14:textId="77777777"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PFRS 10 – Consolidated Financial Statements sets the requirements for the preparation and presentation of consolidated FS, requiring entities to consolidate entities it controls provides:</w:t>
      </w:r>
    </w:p>
    <w:p w14:paraId="361E0312" w14:textId="77777777" w:rsidR="00835757" w:rsidRPr="00485272" w:rsidRDefault="00835757" w:rsidP="00485272">
      <w:pPr>
        <w:pStyle w:val="ListParagraph"/>
        <w:ind w:left="0" w:firstLine="709"/>
        <w:jc w:val="both"/>
        <w:rPr>
          <w:rFonts w:ascii="Arial" w:hAnsi="Arial" w:cs="Arial"/>
          <w:sz w:val="22"/>
          <w:szCs w:val="22"/>
        </w:rPr>
      </w:pPr>
    </w:p>
    <w:p w14:paraId="3868966B" w14:textId="77777777" w:rsidR="00835757" w:rsidRPr="00485272" w:rsidRDefault="00835757" w:rsidP="00485272">
      <w:pPr>
        <w:pStyle w:val="ListParagraph"/>
        <w:tabs>
          <w:tab w:val="left" w:pos="7513"/>
        </w:tabs>
        <w:ind w:left="1728" w:right="432"/>
        <w:jc w:val="both"/>
        <w:rPr>
          <w:rFonts w:ascii="Arial" w:hAnsi="Arial" w:cs="Arial"/>
          <w:i/>
          <w:sz w:val="22"/>
          <w:szCs w:val="22"/>
        </w:rPr>
      </w:pPr>
      <w:r w:rsidRPr="00485272">
        <w:rPr>
          <w:rFonts w:ascii="Arial" w:hAnsi="Arial" w:cs="Arial"/>
          <w:i/>
          <w:sz w:val="22"/>
          <w:szCs w:val="22"/>
        </w:rPr>
        <w:t>Paragraph 4 requires an entity that is a parent to present consolidated financial statements except if it meets all of the following conditions:</w:t>
      </w:r>
    </w:p>
    <w:p w14:paraId="1F5F4849" w14:textId="77777777" w:rsidR="00835757" w:rsidRPr="00485272" w:rsidRDefault="00835757" w:rsidP="00485272">
      <w:pPr>
        <w:pStyle w:val="ListParagraph"/>
        <w:tabs>
          <w:tab w:val="left" w:pos="1260"/>
          <w:tab w:val="left" w:pos="2160"/>
        </w:tabs>
        <w:ind w:left="2160" w:right="477"/>
        <w:jc w:val="both"/>
        <w:rPr>
          <w:rFonts w:ascii="Arial" w:hAnsi="Arial" w:cs="Arial"/>
          <w:i/>
          <w:sz w:val="22"/>
          <w:szCs w:val="22"/>
        </w:rPr>
      </w:pPr>
    </w:p>
    <w:p w14:paraId="2564E1F4" w14:textId="77777777" w:rsidR="00835757" w:rsidRPr="00485272" w:rsidRDefault="00835757" w:rsidP="00485272">
      <w:pPr>
        <w:pStyle w:val="ListParagraph"/>
        <w:numPr>
          <w:ilvl w:val="0"/>
          <w:numId w:val="27"/>
        </w:numPr>
        <w:ind w:left="2160" w:right="576" w:hanging="426"/>
        <w:contextualSpacing/>
        <w:jc w:val="both"/>
        <w:rPr>
          <w:rFonts w:ascii="Arial" w:hAnsi="Arial" w:cs="Arial"/>
          <w:i/>
          <w:sz w:val="22"/>
          <w:szCs w:val="22"/>
        </w:rPr>
      </w:pPr>
      <w:r w:rsidRPr="00485272">
        <w:rPr>
          <w:rFonts w:ascii="Arial" w:hAnsi="Arial" w:cs="Arial"/>
          <w:i/>
          <w:sz w:val="22"/>
          <w:szCs w:val="22"/>
        </w:rPr>
        <w:t>It is a wholly-owned subsidiary or is a partially-owned subsidiary of another entity and all its other owners, including those not otherwise entitled to vote, have been informed about, and do not object to, the parent not presenting consolidated financial statements;</w:t>
      </w:r>
    </w:p>
    <w:p w14:paraId="2A3D016B" w14:textId="77777777" w:rsidR="00835757" w:rsidRPr="00485272" w:rsidRDefault="00835757" w:rsidP="00485272">
      <w:pPr>
        <w:pStyle w:val="ListParagraph"/>
        <w:ind w:left="2160" w:right="576"/>
        <w:jc w:val="both"/>
        <w:rPr>
          <w:rFonts w:ascii="Arial" w:hAnsi="Arial" w:cs="Arial"/>
          <w:i/>
          <w:sz w:val="22"/>
          <w:szCs w:val="22"/>
        </w:rPr>
      </w:pPr>
    </w:p>
    <w:p w14:paraId="016C2D0F" w14:textId="77777777" w:rsidR="00835757" w:rsidRPr="00485272" w:rsidRDefault="00835757" w:rsidP="00485272">
      <w:pPr>
        <w:pStyle w:val="ListParagraph"/>
        <w:numPr>
          <w:ilvl w:val="0"/>
          <w:numId w:val="27"/>
        </w:numPr>
        <w:ind w:left="2160" w:right="576" w:hanging="426"/>
        <w:contextualSpacing/>
        <w:jc w:val="both"/>
        <w:rPr>
          <w:rFonts w:ascii="Arial" w:hAnsi="Arial" w:cs="Arial"/>
          <w:i/>
          <w:sz w:val="22"/>
          <w:szCs w:val="22"/>
        </w:rPr>
      </w:pPr>
      <w:r w:rsidRPr="00485272">
        <w:rPr>
          <w:rFonts w:ascii="Arial" w:hAnsi="Arial" w:cs="Arial"/>
          <w:i/>
          <w:sz w:val="22"/>
          <w:szCs w:val="22"/>
        </w:rPr>
        <w:t>Its debt or equity instruments are not traded in a public market (a domestic or foreign stock exchange or an over-the-counter market, including local and regional markets);</w:t>
      </w:r>
    </w:p>
    <w:p w14:paraId="2E093AFE" w14:textId="77777777" w:rsidR="00835757" w:rsidRPr="00485272" w:rsidRDefault="00835757" w:rsidP="00485272">
      <w:pPr>
        <w:pStyle w:val="ListParagraph"/>
        <w:ind w:left="2160" w:right="576"/>
        <w:jc w:val="both"/>
        <w:rPr>
          <w:rFonts w:ascii="Arial" w:hAnsi="Arial" w:cs="Arial"/>
          <w:i/>
          <w:sz w:val="22"/>
          <w:szCs w:val="22"/>
        </w:rPr>
      </w:pPr>
    </w:p>
    <w:p w14:paraId="3328F200" w14:textId="77777777" w:rsidR="00835757" w:rsidRPr="00485272" w:rsidRDefault="00835757" w:rsidP="00485272">
      <w:pPr>
        <w:pStyle w:val="ListParagraph"/>
        <w:numPr>
          <w:ilvl w:val="0"/>
          <w:numId w:val="27"/>
        </w:numPr>
        <w:ind w:left="2160" w:right="576" w:hanging="426"/>
        <w:contextualSpacing/>
        <w:jc w:val="both"/>
        <w:rPr>
          <w:rFonts w:ascii="Arial" w:hAnsi="Arial" w:cs="Arial"/>
          <w:i/>
          <w:sz w:val="22"/>
          <w:szCs w:val="22"/>
        </w:rPr>
      </w:pPr>
      <w:r w:rsidRPr="00485272">
        <w:rPr>
          <w:rFonts w:ascii="Arial" w:hAnsi="Arial" w:cs="Arial"/>
          <w:i/>
          <w:sz w:val="22"/>
          <w:szCs w:val="22"/>
        </w:rPr>
        <w:t xml:space="preserve">It did not file, nor is it in the process of filing, its financial statements with a securities commission or other regulatory </w:t>
      </w:r>
      <w:r w:rsidRPr="00485272">
        <w:rPr>
          <w:rFonts w:ascii="Arial" w:hAnsi="Arial" w:cs="Arial"/>
          <w:i/>
          <w:sz w:val="22"/>
          <w:szCs w:val="22"/>
        </w:rPr>
        <w:lastRenderedPageBreak/>
        <w:t>organization for the purpose of issuing any class of instruments in a public market; and</w:t>
      </w:r>
    </w:p>
    <w:p w14:paraId="44D8B32B" w14:textId="77777777" w:rsidR="00835757" w:rsidRPr="00485272" w:rsidRDefault="00835757" w:rsidP="00485272">
      <w:pPr>
        <w:pStyle w:val="ListParagraph"/>
        <w:ind w:left="2160" w:right="576"/>
        <w:jc w:val="both"/>
        <w:rPr>
          <w:rFonts w:ascii="Arial" w:hAnsi="Arial" w:cs="Arial"/>
          <w:i/>
          <w:sz w:val="22"/>
          <w:szCs w:val="22"/>
        </w:rPr>
      </w:pPr>
    </w:p>
    <w:p w14:paraId="485E4D8D" w14:textId="77777777" w:rsidR="00835757" w:rsidRPr="00485272" w:rsidRDefault="00835757" w:rsidP="00485272">
      <w:pPr>
        <w:pStyle w:val="ListParagraph"/>
        <w:numPr>
          <w:ilvl w:val="0"/>
          <w:numId w:val="27"/>
        </w:numPr>
        <w:ind w:left="2160" w:right="576" w:hanging="426"/>
        <w:contextualSpacing/>
        <w:jc w:val="both"/>
        <w:rPr>
          <w:rFonts w:ascii="Arial" w:hAnsi="Arial" w:cs="Arial"/>
          <w:i/>
          <w:sz w:val="22"/>
          <w:szCs w:val="22"/>
        </w:rPr>
      </w:pPr>
      <w:r w:rsidRPr="00485272">
        <w:rPr>
          <w:rFonts w:ascii="Arial" w:hAnsi="Arial" w:cs="Arial"/>
          <w:i/>
          <w:sz w:val="22"/>
          <w:szCs w:val="22"/>
        </w:rPr>
        <w:t>Its ultimate or any intermediate parent produces consolidated financial statements that are available for public use and comply with PFRSs.</w:t>
      </w:r>
    </w:p>
    <w:p w14:paraId="64D202F8" w14:textId="77777777" w:rsidR="00835757" w:rsidRPr="00485272" w:rsidRDefault="00835757" w:rsidP="00485272">
      <w:pPr>
        <w:pStyle w:val="ListParagraph"/>
        <w:ind w:left="2160" w:right="477"/>
        <w:jc w:val="both"/>
        <w:rPr>
          <w:rFonts w:ascii="Arial" w:hAnsi="Arial" w:cs="Arial"/>
          <w:i/>
          <w:sz w:val="22"/>
          <w:szCs w:val="22"/>
        </w:rPr>
      </w:pPr>
    </w:p>
    <w:p w14:paraId="67C8E1BF" w14:textId="77777777" w:rsidR="00835757" w:rsidRPr="00485272" w:rsidRDefault="00835757" w:rsidP="00485272">
      <w:pPr>
        <w:pStyle w:val="ListParagraph"/>
        <w:ind w:left="1728" w:right="432"/>
        <w:jc w:val="both"/>
        <w:rPr>
          <w:rFonts w:ascii="Arial" w:hAnsi="Arial" w:cs="Arial"/>
          <w:i/>
          <w:sz w:val="22"/>
          <w:szCs w:val="22"/>
        </w:rPr>
      </w:pPr>
      <w:r w:rsidRPr="00485272">
        <w:rPr>
          <w:rFonts w:ascii="Arial" w:hAnsi="Arial" w:cs="Arial"/>
          <w:i/>
          <w:sz w:val="22"/>
          <w:szCs w:val="22"/>
        </w:rPr>
        <w:t xml:space="preserve">Paragraphs 19 and 21 requires a parent to prepare consolidated financial statements using uniform accounting policies for like transactions and other events in similar circumstances and that in preparing consolidated financial statements, a parent shall: </w:t>
      </w:r>
    </w:p>
    <w:p w14:paraId="20894DAE" w14:textId="77777777" w:rsidR="00835757" w:rsidRPr="00485272" w:rsidRDefault="00835757" w:rsidP="00485272">
      <w:pPr>
        <w:pStyle w:val="ListParagraph"/>
        <w:tabs>
          <w:tab w:val="left" w:pos="720"/>
          <w:tab w:val="left" w:pos="2160"/>
        </w:tabs>
        <w:ind w:right="360"/>
        <w:jc w:val="both"/>
        <w:rPr>
          <w:rFonts w:ascii="Arial" w:hAnsi="Arial" w:cs="Arial"/>
          <w:i/>
          <w:sz w:val="22"/>
          <w:szCs w:val="22"/>
        </w:rPr>
      </w:pPr>
    </w:p>
    <w:p w14:paraId="4E75D843" w14:textId="77777777" w:rsidR="00835757" w:rsidRPr="00485272" w:rsidRDefault="00835757" w:rsidP="00485272">
      <w:pPr>
        <w:pStyle w:val="ListParagraph"/>
        <w:numPr>
          <w:ilvl w:val="0"/>
          <w:numId w:val="28"/>
        </w:numPr>
        <w:ind w:left="2160" w:right="576" w:hanging="426"/>
        <w:contextualSpacing/>
        <w:jc w:val="both"/>
        <w:rPr>
          <w:rFonts w:ascii="Arial" w:hAnsi="Arial" w:cs="Arial"/>
          <w:i/>
          <w:sz w:val="22"/>
          <w:szCs w:val="22"/>
        </w:rPr>
      </w:pPr>
      <w:r w:rsidRPr="00485272">
        <w:rPr>
          <w:rFonts w:ascii="Arial" w:hAnsi="Arial" w:cs="Arial"/>
          <w:i/>
          <w:sz w:val="22"/>
          <w:szCs w:val="22"/>
        </w:rPr>
        <w:t>Combine like items of assets, liabilities, equity, income, expenses and cash flows of the parent with those of its subsidiaries;</w:t>
      </w:r>
    </w:p>
    <w:p w14:paraId="19F66A31" w14:textId="77777777" w:rsidR="00835757" w:rsidRPr="00485272" w:rsidRDefault="00835757" w:rsidP="00485272">
      <w:pPr>
        <w:pStyle w:val="ListParagraph"/>
        <w:ind w:left="2160" w:right="576"/>
        <w:jc w:val="both"/>
        <w:rPr>
          <w:rFonts w:ascii="Arial" w:hAnsi="Arial" w:cs="Arial"/>
          <w:i/>
          <w:sz w:val="22"/>
          <w:szCs w:val="22"/>
        </w:rPr>
      </w:pPr>
    </w:p>
    <w:p w14:paraId="1D54AA34" w14:textId="77777777" w:rsidR="00835757" w:rsidRPr="00485272" w:rsidRDefault="00835757" w:rsidP="00485272">
      <w:pPr>
        <w:pStyle w:val="ListParagraph"/>
        <w:numPr>
          <w:ilvl w:val="0"/>
          <w:numId w:val="28"/>
        </w:numPr>
        <w:ind w:left="2160" w:right="576" w:hanging="426"/>
        <w:contextualSpacing/>
        <w:jc w:val="both"/>
        <w:rPr>
          <w:rFonts w:ascii="Arial" w:hAnsi="Arial" w:cs="Arial"/>
          <w:i/>
          <w:sz w:val="22"/>
          <w:szCs w:val="22"/>
        </w:rPr>
      </w:pPr>
      <w:r w:rsidRPr="00485272">
        <w:rPr>
          <w:rFonts w:ascii="Arial" w:hAnsi="Arial" w:cs="Arial"/>
          <w:i/>
          <w:sz w:val="22"/>
          <w:szCs w:val="22"/>
        </w:rPr>
        <w:t>Offset (eliminate) the carrying amount of the parent’s investment in each subsidiary and the parent’s portion of equity of each subsidiary; and</w:t>
      </w:r>
    </w:p>
    <w:p w14:paraId="54123C8B" w14:textId="77777777" w:rsidR="00835757" w:rsidRPr="00485272" w:rsidRDefault="00835757" w:rsidP="00485272">
      <w:pPr>
        <w:pStyle w:val="ListParagraph"/>
        <w:ind w:left="2160" w:right="576" w:hanging="426"/>
        <w:jc w:val="both"/>
        <w:rPr>
          <w:rFonts w:ascii="Arial" w:hAnsi="Arial" w:cs="Arial"/>
          <w:i/>
          <w:sz w:val="22"/>
          <w:szCs w:val="22"/>
        </w:rPr>
      </w:pPr>
    </w:p>
    <w:p w14:paraId="5AA98E6A" w14:textId="77777777" w:rsidR="00835757" w:rsidRPr="00485272" w:rsidRDefault="00835757" w:rsidP="00485272">
      <w:pPr>
        <w:pStyle w:val="ListParagraph"/>
        <w:numPr>
          <w:ilvl w:val="0"/>
          <w:numId w:val="28"/>
        </w:numPr>
        <w:ind w:left="2160" w:right="576" w:hanging="426"/>
        <w:contextualSpacing/>
        <w:jc w:val="both"/>
        <w:rPr>
          <w:rFonts w:ascii="Arial" w:hAnsi="Arial" w:cs="Arial"/>
          <w:i/>
          <w:sz w:val="22"/>
          <w:szCs w:val="22"/>
        </w:rPr>
      </w:pPr>
      <w:r w:rsidRPr="00485272">
        <w:rPr>
          <w:rFonts w:ascii="Arial" w:hAnsi="Arial" w:cs="Arial"/>
          <w:i/>
          <w:sz w:val="22"/>
          <w:szCs w:val="22"/>
        </w:rPr>
        <w:t>Eliminate in full intra-group assets and liabilities, equity, income, expenses and cash flows relating to transactions between entities of the group.  Xxx</w:t>
      </w:r>
    </w:p>
    <w:p w14:paraId="35C96441" w14:textId="77777777" w:rsidR="00835757" w:rsidRPr="00485272" w:rsidRDefault="00835757" w:rsidP="00485272">
      <w:pPr>
        <w:pStyle w:val="ListParagraph"/>
        <w:ind w:left="2160" w:right="477"/>
        <w:jc w:val="both"/>
        <w:rPr>
          <w:rFonts w:ascii="Arial" w:hAnsi="Arial" w:cs="Arial"/>
          <w:i/>
          <w:sz w:val="22"/>
          <w:szCs w:val="22"/>
        </w:rPr>
      </w:pPr>
    </w:p>
    <w:p w14:paraId="0A17F319" w14:textId="77777777" w:rsidR="00835757" w:rsidRPr="00485272" w:rsidRDefault="00835757" w:rsidP="00485272">
      <w:pPr>
        <w:pStyle w:val="ListParagraph"/>
        <w:ind w:left="1728" w:right="432"/>
        <w:jc w:val="both"/>
        <w:rPr>
          <w:rFonts w:ascii="Arial" w:hAnsi="Arial" w:cs="Arial"/>
          <w:i/>
          <w:sz w:val="22"/>
          <w:szCs w:val="22"/>
        </w:rPr>
      </w:pPr>
      <w:r w:rsidRPr="00485272">
        <w:rPr>
          <w:rFonts w:ascii="Arial" w:hAnsi="Arial" w:cs="Arial"/>
          <w:i/>
          <w:sz w:val="22"/>
          <w:szCs w:val="22"/>
        </w:rPr>
        <w:t xml:space="preserve">Paragraph 21 further provides that the financial statements of the parent and its subsidiaries used in the preparation of the consolidated financial statements shall have the same reporting date.  When the end of the reporting period of the parent is different from that of a subsidiary, the subsidiary prepares, for consolidation purposes, additional financial information as of the same date as the financial statements of the parent to enable the parent to consolidate the financial information of the subsidiary, unless it is impracticable to do so. </w:t>
      </w:r>
    </w:p>
    <w:p w14:paraId="53D5C59F" w14:textId="77777777" w:rsidR="00835757" w:rsidRPr="00485272" w:rsidRDefault="00835757" w:rsidP="00485272">
      <w:pPr>
        <w:pStyle w:val="ListParagraph"/>
        <w:ind w:left="1728" w:right="432"/>
        <w:jc w:val="both"/>
        <w:rPr>
          <w:rFonts w:ascii="Arial" w:hAnsi="Arial" w:cs="Arial"/>
          <w:i/>
          <w:sz w:val="22"/>
          <w:szCs w:val="22"/>
        </w:rPr>
      </w:pPr>
    </w:p>
    <w:p w14:paraId="4B0B3FCD" w14:textId="77777777" w:rsidR="00835757" w:rsidRPr="00485272" w:rsidRDefault="00835757" w:rsidP="00485272">
      <w:pPr>
        <w:pStyle w:val="ListParagraph"/>
        <w:ind w:left="1728" w:right="432"/>
        <w:jc w:val="both"/>
        <w:rPr>
          <w:rFonts w:ascii="Arial" w:hAnsi="Arial" w:cs="Arial"/>
          <w:i/>
          <w:sz w:val="22"/>
          <w:szCs w:val="22"/>
        </w:rPr>
      </w:pPr>
      <w:r w:rsidRPr="00485272">
        <w:rPr>
          <w:rFonts w:ascii="Arial" w:hAnsi="Arial" w:cs="Arial"/>
          <w:i/>
          <w:sz w:val="22"/>
          <w:szCs w:val="22"/>
        </w:rPr>
        <w:t>If it is impracticable to do so, the parent shall consolidate the financial information of the subsidiary using the most recent financial statements of the subsidiary adjusted for the effects of significant transactions or events that occur between the date of those financial statements and the date of the consolidated financial statements. In any case, the difference between the date of the subsidiary’s financial statements and that of the consolidated financial statements shall be no more than three months. Xxx</w:t>
      </w:r>
    </w:p>
    <w:p w14:paraId="099B698D" w14:textId="77777777" w:rsidR="00835757" w:rsidRPr="00485272" w:rsidRDefault="00835757" w:rsidP="00485272">
      <w:pPr>
        <w:spacing w:after="0" w:line="240" w:lineRule="auto"/>
        <w:ind w:left="720"/>
        <w:jc w:val="both"/>
        <w:rPr>
          <w:rFonts w:ascii="Arial" w:hAnsi="Arial" w:cs="Arial"/>
          <w:i/>
        </w:rPr>
      </w:pPr>
    </w:p>
    <w:p w14:paraId="2A2D040A" w14:textId="77777777"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As at December 31, 2022, the AFPRSBS has a total investment of P1.</w:t>
      </w:r>
      <w:r w:rsidR="00BB1C47" w:rsidRPr="00485272">
        <w:rPr>
          <w:rFonts w:ascii="Arial" w:hAnsi="Arial" w:cs="Arial"/>
          <w:sz w:val="22"/>
          <w:szCs w:val="22"/>
        </w:rPr>
        <w:t>116</w:t>
      </w:r>
      <w:r w:rsidRPr="00485272">
        <w:rPr>
          <w:rFonts w:ascii="Arial" w:hAnsi="Arial" w:cs="Arial"/>
          <w:sz w:val="22"/>
          <w:szCs w:val="22"/>
        </w:rPr>
        <w:t xml:space="preserve"> billion in stocks of its subsidiaries wherein the corresponding FS were not consolidated with the FS of AFPRSBS due to the non-submission of related reports from most of its subsidiaries which are already non-operating, while others are either subject to liquidation and/or for disposal. Details are presented in Table </w:t>
      </w:r>
      <w:r w:rsidR="00E77A3E" w:rsidRPr="00485272">
        <w:rPr>
          <w:rFonts w:ascii="Arial" w:hAnsi="Arial" w:cs="Arial"/>
          <w:sz w:val="22"/>
          <w:szCs w:val="22"/>
        </w:rPr>
        <w:t>2</w:t>
      </w:r>
      <w:r w:rsidRPr="00485272">
        <w:rPr>
          <w:rFonts w:ascii="Arial" w:hAnsi="Arial" w:cs="Arial"/>
          <w:sz w:val="22"/>
          <w:szCs w:val="22"/>
        </w:rPr>
        <w:t>.1.</w:t>
      </w:r>
    </w:p>
    <w:p w14:paraId="1C00C7DB" w14:textId="4DD67004" w:rsidR="00835757" w:rsidRPr="00485272" w:rsidRDefault="00835757" w:rsidP="00485272">
      <w:pPr>
        <w:pStyle w:val="ListParagraph"/>
        <w:ind w:left="0" w:firstLine="709"/>
        <w:jc w:val="both"/>
        <w:rPr>
          <w:rFonts w:ascii="Arial" w:hAnsi="Arial" w:cs="Arial"/>
          <w:sz w:val="22"/>
          <w:szCs w:val="22"/>
        </w:rPr>
      </w:pPr>
    </w:p>
    <w:p w14:paraId="31C115AF" w14:textId="369432F4" w:rsidR="008E03D7" w:rsidRPr="00485272" w:rsidRDefault="008E03D7" w:rsidP="00485272">
      <w:pPr>
        <w:pStyle w:val="ListParagraph"/>
        <w:ind w:left="0" w:firstLine="709"/>
        <w:jc w:val="both"/>
        <w:rPr>
          <w:rFonts w:ascii="Arial" w:hAnsi="Arial" w:cs="Arial"/>
          <w:sz w:val="22"/>
          <w:szCs w:val="22"/>
        </w:rPr>
      </w:pPr>
    </w:p>
    <w:p w14:paraId="64FFD654" w14:textId="77777777" w:rsidR="00835757" w:rsidRPr="00485272" w:rsidRDefault="00835757" w:rsidP="00485272">
      <w:pPr>
        <w:pStyle w:val="ListParagraph"/>
        <w:ind w:left="-90" w:right="-149"/>
        <w:jc w:val="center"/>
        <w:rPr>
          <w:rFonts w:ascii="Arial" w:hAnsi="Arial" w:cs="Arial"/>
          <w:b/>
          <w:bCs/>
          <w:sz w:val="22"/>
          <w:szCs w:val="22"/>
        </w:rPr>
      </w:pPr>
      <w:r w:rsidRPr="00485272">
        <w:rPr>
          <w:rFonts w:ascii="Arial" w:hAnsi="Arial" w:cs="Arial"/>
          <w:b/>
          <w:bCs/>
          <w:sz w:val="22"/>
          <w:szCs w:val="22"/>
        </w:rPr>
        <w:lastRenderedPageBreak/>
        <w:t xml:space="preserve">Table 2.1 – Schedule of AFPRSBS’ Subsidiaries </w:t>
      </w:r>
      <w:r w:rsidR="00A84B5A" w:rsidRPr="00485272">
        <w:rPr>
          <w:rFonts w:ascii="Arial" w:hAnsi="Arial" w:cs="Arial"/>
          <w:b/>
          <w:bCs/>
          <w:sz w:val="22"/>
          <w:szCs w:val="22"/>
        </w:rPr>
        <w:t>and their</w:t>
      </w:r>
      <w:r w:rsidRPr="00485272">
        <w:rPr>
          <w:rFonts w:ascii="Arial" w:hAnsi="Arial" w:cs="Arial"/>
          <w:b/>
          <w:bCs/>
          <w:sz w:val="22"/>
          <w:szCs w:val="22"/>
        </w:rPr>
        <w:t xml:space="preserve"> Status of Operation</w:t>
      </w:r>
      <w:r w:rsidR="00A84B5A" w:rsidRPr="00485272">
        <w:rPr>
          <w:rFonts w:ascii="Arial" w:hAnsi="Arial" w:cs="Arial"/>
          <w:b/>
          <w:bCs/>
          <w:sz w:val="22"/>
          <w:szCs w:val="22"/>
        </w:rPr>
        <w:t>s</w:t>
      </w:r>
    </w:p>
    <w:p w14:paraId="45CE3014" w14:textId="77777777" w:rsidR="00835757" w:rsidRPr="00485272" w:rsidRDefault="00835757" w:rsidP="00485272">
      <w:pPr>
        <w:pStyle w:val="ListParagraph"/>
        <w:ind w:left="-90"/>
        <w:jc w:val="center"/>
        <w:rPr>
          <w:rFonts w:ascii="Arial" w:hAnsi="Arial" w:cs="Arial"/>
          <w:b/>
          <w:bCs/>
          <w:sz w:val="22"/>
          <w:szCs w:val="22"/>
        </w:rPr>
      </w:pPr>
      <w:r w:rsidRPr="00485272">
        <w:rPr>
          <w:rFonts w:ascii="Arial" w:hAnsi="Arial" w:cs="Arial"/>
          <w:b/>
          <w:bCs/>
          <w:sz w:val="22"/>
          <w:szCs w:val="22"/>
        </w:rPr>
        <w:t>As at December 31, 2022</w:t>
      </w:r>
    </w:p>
    <w:p w14:paraId="121747C2" w14:textId="77777777" w:rsidR="00835757" w:rsidRPr="00485272" w:rsidRDefault="00835757" w:rsidP="00485272">
      <w:pPr>
        <w:pStyle w:val="ListParagraph"/>
        <w:ind w:left="540"/>
        <w:jc w:val="center"/>
        <w:rPr>
          <w:rFonts w:ascii="Arial" w:hAnsi="Arial" w:cs="Arial"/>
          <w:b/>
          <w:bCs/>
          <w:sz w:val="22"/>
          <w:szCs w:val="22"/>
        </w:rPr>
      </w:pPr>
    </w:p>
    <w:tbl>
      <w:tblPr>
        <w:tblStyle w:val="TableGrid"/>
        <w:tblW w:w="899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90"/>
        <w:gridCol w:w="90"/>
        <w:gridCol w:w="810"/>
        <w:gridCol w:w="1528"/>
        <w:gridCol w:w="272"/>
        <w:gridCol w:w="1168"/>
        <w:gridCol w:w="1440"/>
        <w:gridCol w:w="1350"/>
      </w:tblGrid>
      <w:tr w:rsidR="00071599" w:rsidRPr="007E6437" w14:paraId="1ECE5902" w14:textId="77777777" w:rsidTr="00F279FE">
        <w:trPr>
          <w:trHeight w:val="628"/>
          <w:tblHeader/>
        </w:trPr>
        <w:tc>
          <w:tcPr>
            <w:tcW w:w="2250" w:type="dxa"/>
            <w:tcBorders>
              <w:top w:val="single" w:sz="4" w:space="0" w:color="auto"/>
            </w:tcBorders>
            <w:vAlign w:val="center"/>
          </w:tcPr>
          <w:p w14:paraId="2228A4CF" w14:textId="77777777" w:rsidR="00071599" w:rsidRPr="007E6437" w:rsidRDefault="00071599" w:rsidP="00A84B5A">
            <w:pPr>
              <w:pStyle w:val="ListParagraph"/>
              <w:ind w:left="0" w:right="-108"/>
              <w:jc w:val="center"/>
              <w:rPr>
                <w:rFonts w:ascii="Arial" w:hAnsi="Arial" w:cs="Arial"/>
                <w:sz w:val="18"/>
                <w:szCs w:val="18"/>
              </w:rPr>
            </w:pPr>
            <w:r w:rsidRPr="007E6437">
              <w:rPr>
                <w:rFonts w:ascii="Arial" w:hAnsi="Arial" w:cs="Arial"/>
                <w:b/>
                <w:bCs/>
                <w:sz w:val="18"/>
                <w:szCs w:val="18"/>
              </w:rPr>
              <w:t xml:space="preserve">Subsidiaries </w:t>
            </w:r>
          </w:p>
        </w:tc>
        <w:tc>
          <w:tcPr>
            <w:tcW w:w="990" w:type="dxa"/>
            <w:gridSpan w:val="3"/>
            <w:tcBorders>
              <w:top w:val="single" w:sz="4" w:space="0" w:color="auto"/>
            </w:tcBorders>
            <w:vAlign w:val="center"/>
          </w:tcPr>
          <w:p w14:paraId="0C47700B" w14:textId="77777777" w:rsidR="00071599" w:rsidRPr="007E6437" w:rsidRDefault="00071599" w:rsidP="000D55C1">
            <w:pPr>
              <w:pStyle w:val="ListParagraph"/>
              <w:ind w:left="-108" w:right="-138"/>
              <w:jc w:val="center"/>
              <w:rPr>
                <w:rFonts w:ascii="Arial" w:hAnsi="Arial" w:cs="Arial"/>
                <w:sz w:val="18"/>
                <w:szCs w:val="18"/>
              </w:rPr>
            </w:pPr>
            <w:r w:rsidRPr="007E6437">
              <w:rPr>
                <w:rFonts w:ascii="Arial" w:hAnsi="Arial" w:cs="Arial"/>
                <w:b/>
                <w:bCs/>
                <w:sz w:val="18"/>
                <w:szCs w:val="18"/>
              </w:rPr>
              <w:t>Percentage of ownership</w:t>
            </w:r>
          </w:p>
        </w:tc>
        <w:tc>
          <w:tcPr>
            <w:tcW w:w="1528" w:type="dxa"/>
            <w:tcBorders>
              <w:top w:val="single" w:sz="4" w:space="0" w:color="auto"/>
            </w:tcBorders>
            <w:vAlign w:val="center"/>
          </w:tcPr>
          <w:p w14:paraId="2BA21D7B" w14:textId="77777777" w:rsidR="00071599" w:rsidRPr="007E6437" w:rsidRDefault="00071599" w:rsidP="000D55C1">
            <w:pPr>
              <w:pStyle w:val="ListParagraph"/>
              <w:tabs>
                <w:tab w:val="left" w:pos="720"/>
              </w:tabs>
              <w:ind w:left="0" w:right="29"/>
              <w:jc w:val="center"/>
              <w:rPr>
                <w:rFonts w:ascii="Arial" w:hAnsi="Arial" w:cs="Arial"/>
                <w:b/>
                <w:sz w:val="18"/>
                <w:szCs w:val="18"/>
              </w:rPr>
            </w:pPr>
            <w:r w:rsidRPr="007E6437">
              <w:rPr>
                <w:rFonts w:ascii="Arial" w:hAnsi="Arial" w:cs="Arial"/>
                <w:b/>
                <w:bCs/>
                <w:sz w:val="18"/>
                <w:szCs w:val="18"/>
              </w:rPr>
              <w:t xml:space="preserve">Status of operation </w:t>
            </w:r>
            <w:r w:rsidRPr="007E6437">
              <w:rPr>
                <w:rFonts w:ascii="Arial" w:hAnsi="Arial" w:cs="Arial"/>
                <w:b/>
                <w:bCs/>
                <w:sz w:val="18"/>
                <w:szCs w:val="18"/>
              </w:rPr>
              <w:br/>
              <w:t>(Per AFPRSBS)</w:t>
            </w:r>
          </w:p>
        </w:tc>
        <w:tc>
          <w:tcPr>
            <w:tcW w:w="1440" w:type="dxa"/>
            <w:gridSpan w:val="2"/>
            <w:tcBorders>
              <w:top w:val="single" w:sz="4" w:space="0" w:color="auto"/>
            </w:tcBorders>
            <w:vAlign w:val="center"/>
          </w:tcPr>
          <w:p w14:paraId="0551B61A" w14:textId="77777777" w:rsidR="00071599" w:rsidRPr="007E6437" w:rsidRDefault="00071599" w:rsidP="000D55C1">
            <w:pPr>
              <w:pStyle w:val="NoSpacing"/>
              <w:jc w:val="center"/>
              <w:rPr>
                <w:rFonts w:ascii="Arial" w:hAnsi="Arial" w:cs="Arial"/>
                <w:b/>
                <w:sz w:val="18"/>
                <w:szCs w:val="18"/>
              </w:rPr>
            </w:pPr>
            <w:r w:rsidRPr="007E6437">
              <w:rPr>
                <w:rFonts w:ascii="Arial" w:hAnsi="Arial" w:cs="Arial"/>
                <w:b/>
                <w:sz w:val="18"/>
                <w:szCs w:val="18"/>
              </w:rPr>
              <w:t>Cost of investment</w:t>
            </w:r>
          </w:p>
        </w:tc>
        <w:tc>
          <w:tcPr>
            <w:tcW w:w="1440" w:type="dxa"/>
            <w:tcBorders>
              <w:top w:val="single" w:sz="4" w:space="0" w:color="auto"/>
            </w:tcBorders>
            <w:vAlign w:val="center"/>
          </w:tcPr>
          <w:p w14:paraId="2AC3C2B0" w14:textId="77777777" w:rsidR="00071599" w:rsidRPr="007E6437" w:rsidRDefault="001C30FC" w:rsidP="000D55C1">
            <w:pPr>
              <w:pStyle w:val="NoSpacing"/>
              <w:jc w:val="center"/>
              <w:rPr>
                <w:rFonts w:ascii="Arial" w:hAnsi="Arial" w:cs="Arial"/>
                <w:b/>
                <w:bCs/>
                <w:color w:val="000000" w:themeColor="text1"/>
                <w:sz w:val="18"/>
                <w:szCs w:val="18"/>
              </w:rPr>
            </w:pPr>
            <w:r w:rsidRPr="007E6437">
              <w:rPr>
                <w:rFonts w:ascii="Arial" w:hAnsi="Arial" w:cs="Arial"/>
                <w:b/>
                <w:bCs/>
                <w:color w:val="000000" w:themeColor="text1"/>
                <w:sz w:val="18"/>
                <w:szCs w:val="18"/>
              </w:rPr>
              <w:t>Additions/ (Deductions)</w:t>
            </w:r>
            <w:r w:rsidR="00340393" w:rsidRPr="007E6437">
              <w:rPr>
                <w:rFonts w:ascii="Arial" w:hAnsi="Arial" w:cs="Arial"/>
                <w:b/>
                <w:bCs/>
                <w:color w:val="000000" w:themeColor="text1"/>
                <w:sz w:val="18"/>
                <w:szCs w:val="18"/>
              </w:rPr>
              <w:t>*</w:t>
            </w:r>
          </w:p>
        </w:tc>
        <w:tc>
          <w:tcPr>
            <w:tcW w:w="1350" w:type="dxa"/>
            <w:tcBorders>
              <w:top w:val="single" w:sz="4" w:space="0" w:color="auto"/>
            </w:tcBorders>
            <w:vAlign w:val="center"/>
          </w:tcPr>
          <w:p w14:paraId="3310991A" w14:textId="77777777" w:rsidR="00071599" w:rsidRPr="007E6437" w:rsidRDefault="00071599">
            <w:pPr>
              <w:pStyle w:val="NoSpacing"/>
              <w:jc w:val="center"/>
              <w:rPr>
                <w:rFonts w:ascii="Arial" w:hAnsi="Arial" w:cs="Arial"/>
                <w:b/>
                <w:sz w:val="18"/>
                <w:szCs w:val="18"/>
              </w:rPr>
            </w:pPr>
            <w:r w:rsidRPr="007E6437">
              <w:rPr>
                <w:rFonts w:ascii="Arial" w:hAnsi="Arial" w:cs="Arial"/>
                <w:b/>
                <w:bCs/>
                <w:color w:val="000000" w:themeColor="text1"/>
                <w:sz w:val="18"/>
                <w:szCs w:val="18"/>
              </w:rPr>
              <w:t>Carrying value as</w:t>
            </w:r>
            <w:r w:rsidR="00713F89" w:rsidRPr="007E6437">
              <w:rPr>
                <w:rStyle w:val="CommentReference"/>
                <w:rFonts w:ascii="Arial" w:hAnsi="Arial" w:cs="Arial"/>
                <w:sz w:val="18"/>
                <w:szCs w:val="18"/>
                <w:lang w:val="en-US" w:eastAsia="en-US"/>
              </w:rPr>
              <w:t xml:space="preserve"> </w:t>
            </w:r>
            <w:r w:rsidR="00713F89" w:rsidRPr="007E6437">
              <w:rPr>
                <w:rStyle w:val="CommentReference"/>
                <w:rFonts w:ascii="Arial" w:hAnsi="Arial" w:cs="Arial"/>
                <w:b/>
                <w:sz w:val="18"/>
                <w:szCs w:val="18"/>
                <w:lang w:val="en-US" w:eastAsia="en-US"/>
              </w:rPr>
              <w:t>at December 31, 2022</w:t>
            </w:r>
          </w:p>
        </w:tc>
      </w:tr>
      <w:tr w:rsidR="001C30FC" w:rsidRPr="007E6437" w14:paraId="5B3E0C6B" w14:textId="77777777" w:rsidTr="001304C2">
        <w:trPr>
          <w:trHeight w:val="20"/>
        </w:trPr>
        <w:tc>
          <w:tcPr>
            <w:tcW w:w="2250" w:type="dxa"/>
          </w:tcPr>
          <w:p w14:paraId="6D395E0B" w14:textId="79F45BBC"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Resources Investment House</w:t>
            </w:r>
          </w:p>
        </w:tc>
        <w:tc>
          <w:tcPr>
            <w:tcW w:w="990" w:type="dxa"/>
            <w:gridSpan w:val="3"/>
            <w:vAlign w:val="bottom"/>
          </w:tcPr>
          <w:p w14:paraId="4CD9AE4D"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100.00</w:t>
            </w:r>
          </w:p>
        </w:tc>
        <w:tc>
          <w:tcPr>
            <w:tcW w:w="1528" w:type="dxa"/>
            <w:vAlign w:val="bottom"/>
          </w:tcPr>
          <w:p w14:paraId="5600A5CD"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2004</w:t>
            </w:r>
          </w:p>
        </w:tc>
        <w:tc>
          <w:tcPr>
            <w:tcW w:w="1440" w:type="dxa"/>
            <w:gridSpan w:val="2"/>
            <w:vAlign w:val="bottom"/>
          </w:tcPr>
          <w:p w14:paraId="71E57D8A" w14:textId="77777777" w:rsidR="001C30FC" w:rsidRPr="007E6437" w:rsidRDefault="00013E62"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P </w:t>
            </w:r>
            <w:r w:rsidR="001C30FC" w:rsidRPr="007E6437">
              <w:rPr>
                <w:rFonts w:ascii="Arial" w:hAnsi="Arial" w:cs="Arial"/>
                <w:sz w:val="18"/>
                <w:szCs w:val="18"/>
              </w:rPr>
              <w:t xml:space="preserve">300,000,000 </w:t>
            </w:r>
          </w:p>
        </w:tc>
        <w:tc>
          <w:tcPr>
            <w:tcW w:w="1440" w:type="dxa"/>
            <w:vAlign w:val="bottom"/>
          </w:tcPr>
          <w:p w14:paraId="0C0E0FB2" w14:textId="77777777" w:rsidR="001C30FC" w:rsidRPr="007E6437" w:rsidRDefault="00013E62"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 xml:space="preserve">P </w:t>
            </w:r>
            <w:r w:rsidR="001C30FC" w:rsidRPr="007E6437">
              <w:rPr>
                <w:rFonts w:ascii="Arial" w:hAnsi="Arial" w:cs="Arial"/>
                <w:color w:val="000000"/>
                <w:sz w:val="18"/>
                <w:szCs w:val="18"/>
              </w:rPr>
              <w:t>(297,227,545)</w:t>
            </w:r>
          </w:p>
        </w:tc>
        <w:tc>
          <w:tcPr>
            <w:tcW w:w="1350" w:type="dxa"/>
            <w:vAlign w:val="bottom"/>
          </w:tcPr>
          <w:p w14:paraId="127CDD2F" w14:textId="49B183E0" w:rsidR="001C30FC" w:rsidRPr="007E6437" w:rsidRDefault="00013E62" w:rsidP="001304C2">
            <w:pPr>
              <w:pStyle w:val="ListParagraph"/>
              <w:tabs>
                <w:tab w:val="left" w:pos="2358"/>
                <w:tab w:val="left" w:pos="2448"/>
                <w:tab w:val="left" w:pos="2538"/>
              </w:tabs>
              <w:ind w:left="-144" w:right="-58"/>
              <w:jc w:val="right"/>
              <w:rPr>
                <w:rFonts w:ascii="Arial" w:hAnsi="Arial" w:cs="Arial"/>
                <w:sz w:val="18"/>
                <w:szCs w:val="18"/>
              </w:rPr>
            </w:pPr>
            <w:r w:rsidRPr="007E6437">
              <w:rPr>
                <w:rFonts w:ascii="Arial" w:hAnsi="Arial" w:cs="Arial"/>
                <w:sz w:val="18"/>
                <w:szCs w:val="18"/>
              </w:rPr>
              <w:t xml:space="preserve">P </w:t>
            </w:r>
            <w:r w:rsidR="007E6437">
              <w:rPr>
                <w:rFonts w:ascii="Arial" w:hAnsi="Arial" w:cs="Arial"/>
                <w:sz w:val="18"/>
                <w:szCs w:val="18"/>
              </w:rPr>
              <w:t xml:space="preserve">      </w:t>
            </w:r>
            <w:r w:rsidR="001C30FC" w:rsidRPr="007E6437">
              <w:rPr>
                <w:rFonts w:ascii="Arial" w:hAnsi="Arial" w:cs="Arial"/>
                <w:sz w:val="18"/>
                <w:szCs w:val="18"/>
              </w:rPr>
              <w:t>2,772,455</w:t>
            </w:r>
          </w:p>
        </w:tc>
      </w:tr>
      <w:tr w:rsidR="001C30FC" w:rsidRPr="007E6437" w14:paraId="7217E5B6" w14:textId="77777777" w:rsidTr="001304C2">
        <w:trPr>
          <w:trHeight w:val="20"/>
        </w:trPr>
        <w:tc>
          <w:tcPr>
            <w:tcW w:w="2250" w:type="dxa"/>
          </w:tcPr>
          <w:p w14:paraId="766F557C" w14:textId="236246C5"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RSBS Land Inc.</w:t>
            </w:r>
          </w:p>
        </w:tc>
        <w:tc>
          <w:tcPr>
            <w:tcW w:w="990" w:type="dxa"/>
            <w:gridSpan w:val="3"/>
            <w:vAlign w:val="bottom"/>
          </w:tcPr>
          <w:p w14:paraId="282F767A"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100.00</w:t>
            </w:r>
          </w:p>
        </w:tc>
        <w:tc>
          <w:tcPr>
            <w:tcW w:w="1528" w:type="dxa"/>
            <w:vAlign w:val="bottom"/>
          </w:tcPr>
          <w:p w14:paraId="3FE0E6AF"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2004</w:t>
            </w:r>
          </w:p>
        </w:tc>
        <w:tc>
          <w:tcPr>
            <w:tcW w:w="1440" w:type="dxa"/>
            <w:gridSpan w:val="2"/>
            <w:vAlign w:val="bottom"/>
          </w:tcPr>
          <w:p w14:paraId="31FEA28A"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70,000,000 </w:t>
            </w:r>
          </w:p>
        </w:tc>
        <w:tc>
          <w:tcPr>
            <w:tcW w:w="1440" w:type="dxa"/>
            <w:vAlign w:val="bottom"/>
          </w:tcPr>
          <w:p w14:paraId="10AE4F3E"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(69,733,205)</w:t>
            </w:r>
          </w:p>
        </w:tc>
        <w:tc>
          <w:tcPr>
            <w:tcW w:w="1350" w:type="dxa"/>
            <w:vAlign w:val="bottom"/>
          </w:tcPr>
          <w:p w14:paraId="0A22BF77"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266,795</w:t>
            </w:r>
          </w:p>
        </w:tc>
      </w:tr>
      <w:tr w:rsidR="001C30FC" w:rsidRPr="007E6437" w14:paraId="497DB686" w14:textId="77777777" w:rsidTr="001304C2">
        <w:trPr>
          <w:trHeight w:val="20"/>
        </w:trPr>
        <w:tc>
          <w:tcPr>
            <w:tcW w:w="2340" w:type="dxa"/>
            <w:gridSpan w:val="2"/>
          </w:tcPr>
          <w:p w14:paraId="19D45AC6" w14:textId="77777777"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 xml:space="preserve">Matrix Realty Development Corporation </w:t>
            </w:r>
          </w:p>
        </w:tc>
        <w:tc>
          <w:tcPr>
            <w:tcW w:w="900" w:type="dxa"/>
            <w:gridSpan w:val="2"/>
            <w:vAlign w:val="bottom"/>
          </w:tcPr>
          <w:p w14:paraId="02AB27E3" w14:textId="77777777" w:rsidR="001C30FC" w:rsidRPr="007E6437" w:rsidRDefault="001C30FC" w:rsidP="001304C2">
            <w:pPr>
              <w:pStyle w:val="ListParagraph"/>
              <w:ind w:left="-114" w:right="168"/>
              <w:jc w:val="right"/>
              <w:rPr>
                <w:rFonts w:ascii="Arial" w:hAnsi="Arial" w:cs="Arial"/>
                <w:sz w:val="18"/>
                <w:szCs w:val="18"/>
              </w:rPr>
            </w:pPr>
            <w:r w:rsidRPr="007E6437">
              <w:rPr>
                <w:rFonts w:ascii="Arial" w:hAnsi="Arial" w:cs="Arial"/>
                <w:sz w:val="18"/>
                <w:szCs w:val="18"/>
              </w:rPr>
              <w:t>100.00</w:t>
            </w:r>
          </w:p>
        </w:tc>
        <w:tc>
          <w:tcPr>
            <w:tcW w:w="1528" w:type="dxa"/>
            <w:vAlign w:val="bottom"/>
          </w:tcPr>
          <w:p w14:paraId="7B25EDA7"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2005</w:t>
            </w:r>
          </w:p>
        </w:tc>
        <w:tc>
          <w:tcPr>
            <w:tcW w:w="1440" w:type="dxa"/>
            <w:gridSpan w:val="2"/>
            <w:vAlign w:val="bottom"/>
          </w:tcPr>
          <w:p w14:paraId="791B16BA"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35,931,250 </w:t>
            </w:r>
          </w:p>
        </w:tc>
        <w:tc>
          <w:tcPr>
            <w:tcW w:w="1440" w:type="dxa"/>
            <w:vAlign w:val="bottom"/>
          </w:tcPr>
          <w:p w14:paraId="1F43E677"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(35,931,250)</w:t>
            </w:r>
          </w:p>
        </w:tc>
        <w:tc>
          <w:tcPr>
            <w:tcW w:w="1350" w:type="dxa"/>
            <w:vAlign w:val="bottom"/>
          </w:tcPr>
          <w:p w14:paraId="0AED37AE"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64766F07" w14:textId="77777777" w:rsidTr="001304C2">
        <w:trPr>
          <w:trHeight w:val="20"/>
        </w:trPr>
        <w:tc>
          <w:tcPr>
            <w:tcW w:w="2250" w:type="dxa"/>
          </w:tcPr>
          <w:p w14:paraId="76D001E0" w14:textId="77777777"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 xml:space="preserve">Fashion Link Corporation </w:t>
            </w:r>
          </w:p>
        </w:tc>
        <w:tc>
          <w:tcPr>
            <w:tcW w:w="990" w:type="dxa"/>
            <w:gridSpan w:val="3"/>
            <w:vAlign w:val="bottom"/>
          </w:tcPr>
          <w:p w14:paraId="24E4EE5B"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100.00</w:t>
            </w:r>
          </w:p>
        </w:tc>
        <w:tc>
          <w:tcPr>
            <w:tcW w:w="1528" w:type="dxa"/>
            <w:vAlign w:val="bottom"/>
          </w:tcPr>
          <w:p w14:paraId="7D98D5D2"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1998</w:t>
            </w:r>
          </w:p>
        </w:tc>
        <w:tc>
          <w:tcPr>
            <w:tcW w:w="1440" w:type="dxa"/>
            <w:gridSpan w:val="2"/>
            <w:vAlign w:val="bottom"/>
          </w:tcPr>
          <w:p w14:paraId="6B4FE567"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20,100,000 </w:t>
            </w:r>
          </w:p>
        </w:tc>
        <w:tc>
          <w:tcPr>
            <w:tcW w:w="1440" w:type="dxa"/>
            <w:vAlign w:val="bottom"/>
          </w:tcPr>
          <w:p w14:paraId="73209408"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(20,100,000)</w:t>
            </w:r>
          </w:p>
        </w:tc>
        <w:tc>
          <w:tcPr>
            <w:tcW w:w="1350" w:type="dxa"/>
            <w:vAlign w:val="bottom"/>
          </w:tcPr>
          <w:p w14:paraId="43DBDB3C"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52F4F70E" w14:textId="77777777" w:rsidTr="001304C2">
        <w:trPr>
          <w:trHeight w:val="20"/>
        </w:trPr>
        <w:tc>
          <w:tcPr>
            <w:tcW w:w="2430" w:type="dxa"/>
            <w:gridSpan w:val="3"/>
          </w:tcPr>
          <w:p w14:paraId="2E8E3E67" w14:textId="77777777" w:rsidR="001C30FC" w:rsidRPr="001304C2" w:rsidRDefault="001C30FC" w:rsidP="001304C2">
            <w:pPr>
              <w:tabs>
                <w:tab w:val="left" w:pos="343"/>
              </w:tabs>
              <w:spacing w:after="0"/>
              <w:ind w:left="216" w:right="-108" w:hanging="216"/>
              <w:rPr>
                <w:rFonts w:ascii="Arial" w:hAnsi="Arial" w:cs="Arial"/>
                <w:sz w:val="18"/>
                <w:szCs w:val="18"/>
              </w:rPr>
            </w:pPr>
            <w:proofErr w:type="spellStart"/>
            <w:r w:rsidRPr="001304C2">
              <w:rPr>
                <w:rFonts w:ascii="Arial" w:hAnsi="Arial" w:cs="Arial"/>
                <w:sz w:val="18"/>
                <w:szCs w:val="18"/>
              </w:rPr>
              <w:t>Globan</w:t>
            </w:r>
            <w:proofErr w:type="spellEnd"/>
            <w:r w:rsidRPr="001304C2">
              <w:rPr>
                <w:rFonts w:ascii="Arial" w:hAnsi="Arial" w:cs="Arial"/>
                <w:sz w:val="18"/>
                <w:szCs w:val="18"/>
              </w:rPr>
              <w:t xml:space="preserve"> Fruits and Development Corporation </w:t>
            </w:r>
          </w:p>
        </w:tc>
        <w:tc>
          <w:tcPr>
            <w:tcW w:w="810" w:type="dxa"/>
            <w:vAlign w:val="bottom"/>
          </w:tcPr>
          <w:p w14:paraId="21FCCD9C" w14:textId="77777777" w:rsidR="001C30FC" w:rsidRPr="007E6437" w:rsidRDefault="001C30FC" w:rsidP="001304C2">
            <w:pPr>
              <w:pStyle w:val="ListParagraph"/>
              <w:ind w:left="-198" w:right="144"/>
              <w:jc w:val="right"/>
              <w:rPr>
                <w:rFonts w:ascii="Arial" w:hAnsi="Arial" w:cs="Arial"/>
                <w:sz w:val="18"/>
                <w:szCs w:val="18"/>
              </w:rPr>
            </w:pPr>
            <w:r w:rsidRPr="007E6437">
              <w:rPr>
                <w:rFonts w:ascii="Arial" w:hAnsi="Arial" w:cs="Arial"/>
                <w:sz w:val="18"/>
                <w:szCs w:val="18"/>
              </w:rPr>
              <w:t>100.00</w:t>
            </w:r>
          </w:p>
        </w:tc>
        <w:tc>
          <w:tcPr>
            <w:tcW w:w="1528" w:type="dxa"/>
            <w:vAlign w:val="bottom"/>
          </w:tcPr>
          <w:p w14:paraId="7A68AB7E"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2003</w:t>
            </w:r>
          </w:p>
        </w:tc>
        <w:tc>
          <w:tcPr>
            <w:tcW w:w="1440" w:type="dxa"/>
            <w:gridSpan w:val="2"/>
            <w:vAlign w:val="bottom"/>
          </w:tcPr>
          <w:p w14:paraId="1C87E81A"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10,000,000 </w:t>
            </w:r>
          </w:p>
        </w:tc>
        <w:tc>
          <w:tcPr>
            <w:tcW w:w="1440" w:type="dxa"/>
            <w:vAlign w:val="bottom"/>
          </w:tcPr>
          <w:p w14:paraId="24DFF381"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(10,000,000)</w:t>
            </w:r>
          </w:p>
        </w:tc>
        <w:tc>
          <w:tcPr>
            <w:tcW w:w="1350" w:type="dxa"/>
            <w:vAlign w:val="bottom"/>
          </w:tcPr>
          <w:p w14:paraId="3E8D6F55"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47A5FE4B" w14:textId="77777777" w:rsidTr="001304C2">
        <w:trPr>
          <w:trHeight w:val="20"/>
        </w:trPr>
        <w:tc>
          <w:tcPr>
            <w:tcW w:w="2250" w:type="dxa"/>
          </w:tcPr>
          <w:p w14:paraId="1AB6B280" w14:textId="77777777"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 xml:space="preserve">RSBS Enterprises, Inc. </w:t>
            </w:r>
          </w:p>
        </w:tc>
        <w:tc>
          <w:tcPr>
            <w:tcW w:w="990" w:type="dxa"/>
            <w:gridSpan w:val="3"/>
            <w:vAlign w:val="bottom"/>
          </w:tcPr>
          <w:p w14:paraId="6DEA86E1"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100.00</w:t>
            </w:r>
          </w:p>
        </w:tc>
        <w:tc>
          <w:tcPr>
            <w:tcW w:w="1528" w:type="dxa"/>
            <w:vAlign w:val="bottom"/>
          </w:tcPr>
          <w:p w14:paraId="59455049"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2004</w:t>
            </w:r>
          </w:p>
        </w:tc>
        <w:tc>
          <w:tcPr>
            <w:tcW w:w="1440" w:type="dxa"/>
            <w:gridSpan w:val="2"/>
            <w:vAlign w:val="bottom"/>
          </w:tcPr>
          <w:p w14:paraId="5325E5BF"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2,500,000 </w:t>
            </w:r>
          </w:p>
        </w:tc>
        <w:tc>
          <w:tcPr>
            <w:tcW w:w="1440" w:type="dxa"/>
            <w:vAlign w:val="bottom"/>
          </w:tcPr>
          <w:p w14:paraId="6FEBB96F"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(2,500,000)</w:t>
            </w:r>
          </w:p>
        </w:tc>
        <w:tc>
          <w:tcPr>
            <w:tcW w:w="1350" w:type="dxa"/>
            <w:vAlign w:val="bottom"/>
          </w:tcPr>
          <w:p w14:paraId="4135CA7D"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619BB480" w14:textId="77777777" w:rsidTr="001304C2">
        <w:trPr>
          <w:trHeight w:val="20"/>
        </w:trPr>
        <w:tc>
          <w:tcPr>
            <w:tcW w:w="2250" w:type="dxa"/>
          </w:tcPr>
          <w:p w14:paraId="461957C4" w14:textId="77777777"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 xml:space="preserve">Veterans Electronics Communications, Inc. </w:t>
            </w:r>
          </w:p>
        </w:tc>
        <w:tc>
          <w:tcPr>
            <w:tcW w:w="990" w:type="dxa"/>
            <w:gridSpan w:val="3"/>
            <w:vAlign w:val="bottom"/>
          </w:tcPr>
          <w:p w14:paraId="5548CFD8"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90.65</w:t>
            </w:r>
          </w:p>
        </w:tc>
        <w:tc>
          <w:tcPr>
            <w:tcW w:w="1528" w:type="dxa"/>
            <w:vAlign w:val="bottom"/>
          </w:tcPr>
          <w:p w14:paraId="655A82E9"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1999</w:t>
            </w:r>
          </w:p>
        </w:tc>
        <w:tc>
          <w:tcPr>
            <w:tcW w:w="1440" w:type="dxa"/>
            <w:gridSpan w:val="2"/>
            <w:vAlign w:val="bottom"/>
          </w:tcPr>
          <w:p w14:paraId="5C5CFEA2"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126,738,598 </w:t>
            </w:r>
          </w:p>
        </w:tc>
        <w:tc>
          <w:tcPr>
            <w:tcW w:w="1440" w:type="dxa"/>
            <w:vAlign w:val="bottom"/>
          </w:tcPr>
          <w:p w14:paraId="76A16C75"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(126,738,598)</w:t>
            </w:r>
          </w:p>
        </w:tc>
        <w:tc>
          <w:tcPr>
            <w:tcW w:w="1350" w:type="dxa"/>
            <w:vAlign w:val="bottom"/>
          </w:tcPr>
          <w:p w14:paraId="29CABC04"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5B6DBEB4" w14:textId="77777777" w:rsidTr="001304C2">
        <w:trPr>
          <w:trHeight w:val="20"/>
        </w:trPr>
        <w:tc>
          <w:tcPr>
            <w:tcW w:w="2250" w:type="dxa"/>
          </w:tcPr>
          <w:p w14:paraId="2D68848B" w14:textId="77777777" w:rsidR="001C30FC" w:rsidRPr="001304C2" w:rsidRDefault="001C30FC" w:rsidP="001304C2">
            <w:pPr>
              <w:tabs>
                <w:tab w:val="left" w:pos="343"/>
              </w:tabs>
              <w:spacing w:after="0"/>
              <w:ind w:left="216" w:right="-108" w:hanging="216"/>
              <w:rPr>
                <w:rFonts w:ascii="Arial" w:hAnsi="Arial" w:cs="Arial"/>
                <w:sz w:val="18"/>
                <w:szCs w:val="18"/>
              </w:rPr>
            </w:pPr>
            <w:proofErr w:type="spellStart"/>
            <w:r w:rsidRPr="001304C2">
              <w:rPr>
                <w:rFonts w:ascii="Arial" w:hAnsi="Arial" w:cs="Arial"/>
                <w:sz w:val="18"/>
                <w:szCs w:val="18"/>
              </w:rPr>
              <w:t>Goodfit</w:t>
            </w:r>
            <w:proofErr w:type="spellEnd"/>
            <w:r w:rsidRPr="001304C2">
              <w:rPr>
                <w:rFonts w:ascii="Arial" w:hAnsi="Arial" w:cs="Arial"/>
                <w:sz w:val="18"/>
                <w:szCs w:val="18"/>
              </w:rPr>
              <w:t xml:space="preserve"> Manufacturing Corporation (GMC)</w:t>
            </w:r>
          </w:p>
        </w:tc>
        <w:tc>
          <w:tcPr>
            <w:tcW w:w="990" w:type="dxa"/>
            <w:gridSpan w:val="3"/>
            <w:vAlign w:val="bottom"/>
          </w:tcPr>
          <w:p w14:paraId="1DB18D82"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79.99</w:t>
            </w:r>
          </w:p>
        </w:tc>
        <w:tc>
          <w:tcPr>
            <w:tcW w:w="1528" w:type="dxa"/>
            <w:vAlign w:val="bottom"/>
          </w:tcPr>
          <w:p w14:paraId="3F8E72DE"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in 2004</w:t>
            </w:r>
          </w:p>
        </w:tc>
        <w:tc>
          <w:tcPr>
            <w:tcW w:w="1440" w:type="dxa"/>
            <w:gridSpan w:val="2"/>
            <w:vAlign w:val="bottom"/>
          </w:tcPr>
          <w:p w14:paraId="56D982CB"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25,556,920 </w:t>
            </w:r>
          </w:p>
        </w:tc>
        <w:tc>
          <w:tcPr>
            <w:tcW w:w="1440" w:type="dxa"/>
            <w:vAlign w:val="bottom"/>
          </w:tcPr>
          <w:p w14:paraId="717B7EE8"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(25,556,920)</w:t>
            </w:r>
          </w:p>
        </w:tc>
        <w:tc>
          <w:tcPr>
            <w:tcW w:w="1350" w:type="dxa"/>
            <w:vAlign w:val="bottom"/>
          </w:tcPr>
          <w:p w14:paraId="29C09054"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0C0CCDF9" w14:textId="77777777" w:rsidTr="001304C2">
        <w:trPr>
          <w:trHeight w:val="20"/>
        </w:trPr>
        <w:tc>
          <w:tcPr>
            <w:tcW w:w="2250" w:type="dxa"/>
          </w:tcPr>
          <w:p w14:paraId="1C39F794" w14:textId="77777777"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General Satellite Communications, Inc.</w:t>
            </w:r>
          </w:p>
        </w:tc>
        <w:tc>
          <w:tcPr>
            <w:tcW w:w="990" w:type="dxa"/>
            <w:gridSpan w:val="3"/>
            <w:vAlign w:val="bottom"/>
          </w:tcPr>
          <w:p w14:paraId="76DBA9BA"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62.00</w:t>
            </w:r>
          </w:p>
        </w:tc>
        <w:tc>
          <w:tcPr>
            <w:tcW w:w="1528" w:type="dxa"/>
            <w:vAlign w:val="bottom"/>
          </w:tcPr>
          <w:p w14:paraId="640B30EA"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Never operated/for write off</w:t>
            </w:r>
          </w:p>
        </w:tc>
        <w:tc>
          <w:tcPr>
            <w:tcW w:w="1440" w:type="dxa"/>
            <w:gridSpan w:val="2"/>
            <w:vAlign w:val="bottom"/>
          </w:tcPr>
          <w:p w14:paraId="1C607406"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2,906,238 </w:t>
            </w:r>
          </w:p>
        </w:tc>
        <w:tc>
          <w:tcPr>
            <w:tcW w:w="1440" w:type="dxa"/>
            <w:vAlign w:val="bottom"/>
          </w:tcPr>
          <w:p w14:paraId="3B4FDD0D" w14:textId="77777777" w:rsidR="001C30FC" w:rsidRPr="007E6437" w:rsidDel="00C7307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color w:val="000000"/>
                <w:sz w:val="18"/>
                <w:szCs w:val="18"/>
              </w:rPr>
              <w:t>(2,906,238)</w:t>
            </w:r>
          </w:p>
        </w:tc>
        <w:tc>
          <w:tcPr>
            <w:tcW w:w="1350" w:type="dxa"/>
            <w:vAlign w:val="bottom"/>
          </w:tcPr>
          <w:p w14:paraId="01E01185"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0</w:t>
            </w:r>
          </w:p>
        </w:tc>
      </w:tr>
      <w:tr w:rsidR="001C30FC" w:rsidRPr="007E6437" w14:paraId="00BA7E0F" w14:textId="77777777" w:rsidTr="001304C2">
        <w:trPr>
          <w:trHeight w:val="20"/>
        </w:trPr>
        <w:tc>
          <w:tcPr>
            <w:tcW w:w="2250" w:type="dxa"/>
          </w:tcPr>
          <w:p w14:paraId="624674D7" w14:textId="77777777" w:rsidR="001C30FC" w:rsidRPr="001304C2" w:rsidRDefault="001C30FC" w:rsidP="001304C2">
            <w:pPr>
              <w:tabs>
                <w:tab w:val="left" w:pos="343"/>
              </w:tabs>
              <w:spacing w:after="0"/>
              <w:ind w:left="216" w:right="-108" w:hanging="216"/>
              <w:rPr>
                <w:rFonts w:ascii="Arial" w:hAnsi="Arial" w:cs="Arial"/>
                <w:sz w:val="18"/>
                <w:szCs w:val="18"/>
              </w:rPr>
            </w:pPr>
            <w:r w:rsidRPr="001304C2">
              <w:rPr>
                <w:rFonts w:ascii="Arial" w:hAnsi="Arial" w:cs="Arial"/>
                <w:sz w:val="18"/>
                <w:szCs w:val="18"/>
              </w:rPr>
              <w:t>Bay Resources Development Corporation (BRADCO)</w:t>
            </w:r>
          </w:p>
        </w:tc>
        <w:tc>
          <w:tcPr>
            <w:tcW w:w="990" w:type="dxa"/>
            <w:gridSpan w:val="3"/>
            <w:vAlign w:val="bottom"/>
          </w:tcPr>
          <w:p w14:paraId="43FD5375"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50.00</w:t>
            </w:r>
          </w:p>
        </w:tc>
        <w:tc>
          <w:tcPr>
            <w:tcW w:w="1528" w:type="dxa"/>
            <w:vAlign w:val="bottom"/>
          </w:tcPr>
          <w:p w14:paraId="6877879E"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Active</w:t>
            </w:r>
          </w:p>
        </w:tc>
        <w:tc>
          <w:tcPr>
            <w:tcW w:w="1440" w:type="dxa"/>
            <w:gridSpan w:val="2"/>
            <w:vAlign w:val="bottom"/>
          </w:tcPr>
          <w:p w14:paraId="4C9AA99D"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402,000,000 </w:t>
            </w:r>
          </w:p>
        </w:tc>
        <w:tc>
          <w:tcPr>
            <w:tcW w:w="1440" w:type="dxa"/>
            <w:vAlign w:val="bottom"/>
          </w:tcPr>
          <w:p w14:paraId="6469D77B" w14:textId="77777777" w:rsidR="001C30FC" w:rsidRPr="007E6437" w:rsidRDefault="001C30FC" w:rsidP="001304C2">
            <w:pPr>
              <w:pStyle w:val="ListParagraph"/>
              <w:tabs>
                <w:tab w:val="left" w:pos="2358"/>
                <w:tab w:val="left" w:pos="2448"/>
                <w:tab w:val="left" w:pos="2538"/>
              </w:tabs>
              <w:ind w:left="-58"/>
              <w:jc w:val="right"/>
              <w:rPr>
                <w:rFonts w:ascii="Arial" w:hAnsi="Arial" w:cs="Arial"/>
                <w:sz w:val="18"/>
                <w:szCs w:val="18"/>
              </w:rPr>
            </w:pPr>
            <w:r w:rsidRPr="007E6437">
              <w:rPr>
                <w:rFonts w:ascii="Arial" w:hAnsi="Arial" w:cs="Arial"/>
                <w:sz w:val="18"/>
                <w:szCs w:val="18"/>
              </w:rPr>
              <w:t>736,041,38</w:t>
            </w:r>
            <w:r w:rsidR="00CB04EA" w:rsidRPr="007E6437">
              <w:rPr>
                <w:rFonts w:ascii="Arial" w:hAnsi="Arial" w:cs="Arial"/>
                <w:sz w:val="18"/>
                <w:szCs w:val="18"/>
              </w:rPr>
              <w:t>7</w:t>
            </w:r>
          </w:p>
        </w:tc>
        <w:tc>
          <w:tcPr>
            <w:tcW w:w="1350" w:type="dxa"/>
            <w:vAlign w:val="bottom"/>
          </w:tcPr>
          <w:p w14:paraId="4B7C75A8"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1,138,041,</w:t>
            </w:r>
            <w:r w:rsidR="00CB04EA" w:rsidRPr="007E6437">
              <w:rPr>
                <w:rFonts w:ascii="Arial" w:hAnsi="Arial" w:cs="Arial"/>
                <w:sz w:val="18"/>
                <w:szCs w:val="18"/>
              </w:rPr>
              <w:t>387</w:t>
            </w:r>
          </w:p>
        </w:tc>
      </w:tr>
      <w:tr w:rsidR="001C30FC" w:rsidRPr="007E6437" w14:paraId="75094237" w14:textId="77777777" w:rsidTr="001304C2">
        <w:trPr>
          <w:trHeight w:val="20"/>
        </w:trPr>
        <w:tc>
          <w:tcPr>
            <w:tcW w:w="2250" w:type="dxa"/>
          </w:tcPr>
          <w:p w14:paraId="0D82B8A1" w14:textId="4DBAC248" w:rsidR="001C30FC" w:rsidRPr="001304C2" w:rsidRDefault="001C30FC" w:rsidP="001304C2">
            <w:pPr>
              <w:tabs>
                <w:tab w:val="left" w:pos="343"/>
              </w:tabs>
              <w:spacing w:after="0"/>
              <w:ind w:left="216" w:right="75" w:hanging="216"/>
              <w:rPr>
                <w:rFonts w:ascii="Arial" w:hAnsi="Arial" w:cs="Arial"/>
                <w:sz w:val="18"/>
                <w:szCs w:val="18"/>
              </w:rPr>
            </w:pPr>
            <w:r w:rsidRPr="001304C2">
              <w:rPr>
                <w:rFonts w:ascii="Arial" w:hAnsi="Arial" w:cs="Arial"/>
                <w:sz w:val="18"/>
                <w:szCs w:val="18"/>
              </w:rPr>
              <w:t>AFP Theater Enterprises, Inc.</w:t>
            </w:r>
          </w:p>
        </w:tc>
        <w:tc>
          <w:tcPr>
            <w:tcW w:w="990" w:type="dxa"/>
            <w:gridSpan w:val="3"/>
            <w:vAlign w:val="bottom"/>
          </w:tcPr>
          <w:p w14:paraId="6AF1AE49" w14:textId="77777777" w:rsidR="001C30FC" w:rsidRPr="007E6437" w:rsidRDefault="001C30FC" w:rsidP="001304C2">
            <w:pPr>
              <w:pStyle w:val="ListParagraph"/>
              <w:ind w:left="0" w:right="144"/>
              <w:jc w:val="right"/>
              <w:rPr>
                <w:rFonts w:ascii="Arial" w:hAnsi="Arial" w:cs="Arial"/>
                <w:sz w:val="18"/>
                <w:szCs w:val="18"/>
              </w:rPr>
            </w:pPr>
            <w:r w:rsidRPr="007E6437">
              <w:rPr>
                <w:rFonts w:ascii="Arial" w:hAnsi="Arial" w:cs="Arial"/>
                <w:sz w:val="18"/>
                <w:szCs w:val="18"/>
              </w:rPr>
              <w:t>50.00</w:t>
            </w:r>
          </w:p>
        </w:tc>
        <w:tc>
          <w:tcPr>
            <w:tcW w:w="1800" w:type="dxa"/>
            <w:gridSpan w:val="2"/>
            <w:vAlign w:val="bottom"/>
          </w:tcPr>
          <w:p w14:paraId="54B81BE5" w14:textId="77777777" w:rsidR="001C30FC" w:rsidRPr="007E6437" w:rsidRDefault="001C30FC" w:rsidP="001304C2">
            <w:pPr>
              <w:pStyle w:val="ListParagraph"/>
              <w:tabs>
                <w:tab w:val="left" w:pos="720"/>
              </w:tabs>
              <w:ind w:left="-108" w:right="-122"/>
              <w:rPr>
                <w:rFonts w:ascii="Arial" w:hAnsi="Arial" w:cs="Arial"/>
                <w:sz w:val="18"/>
                <w:szCs w:val="18"/>
              </w:rPr>
            </w:pPr>
            <w:r w:rsidRPr="007E6437">
              <w:rPr>
                <w:rFonts w:ascii="Arial" w:hAnsi="Arial" w:cs="Arial"/>
                <w:sz w:val="18"/>
                <w:szCs w:val="18"/>
              </w:rPr>
              <w:t>Ceased operations on December 31, 2021</w:t>
            </w:r>
          </w:p>
        </w:tc>
        <w:tc>
          <w:tcPr>
            <w:tcW w:w="1168" w:type="dxa"/>
            <w:vAlign w:val="bottom"/>
          </w:tcPr>
          <w:p w14:paraId="3612FBAE"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 xml:space="preserve">120,000,000 </w:t>
            </w:r>
          </w:p>
        </w:tc>
        <w:tc>
          <w:tcPr>
            <w:tcW w:w="1440" w:type="dxa"/>
            <w:vAlign w:val="bottom"/>
          </w:tcPr>
          <w:p w14:paraId="114E13BC"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(116,897,096)</w:t>
            </w:r>
          </w:p>
        </w:tc>
        <w:tc>
          <w:tcPr>
            <w:tcW w:w="1350" w:type="dxa"/>
            <w:vAlign w:val="bottom"/>
          </w:tcPr>
          <w:p w14:paraId="7B57DEBF" w14:textId="77777777" w:rsidR="001C30FC" w:rsidRPr="007E6437" w:rsidRDefault="001C30FC" w:rsidP="001304C2">
            <w:pPr>
              <w:pStyle w:val="ListParagraph"/>
              <w:tabs>
                <w:tab w:val="left" w:pos="2358"/>
                <w:tab w:val="left" w:pos="2448"/>
                <w:tab w:val="left" w:pos="2538"/>
              </w:tabs>
              <w:ind w:left="-58" w:right="-58"/>
              <w:jc w:val="right"/>
              <w:rPr>
                <w:rFonts w:ascii="Arial" w:hAnsi="Arial" w:cs="Arial"/>
                <w:sz w:val="18"/>
                <w:szCs w:val="18"/>
              </w:rPr>
            </w:pPr>
            <w:r w:rsidRPr="007E6437">
              <w:rPr>
                <w:rFonts w:ascii="Arial" w:hAnsi="Arial" w:cs="Arial"/>
                <w:sz w:val="18"/>
                <w:szCs w:val="18"/>
              </w:rPr>
              <w:t>3,102,904</w:t>
            </w:r>
          </w:p>
        </w:tc>
      </w:tr>
      <w:tr w:rsidR="00071599" w:rsidRPr="007E6437" w14:paraId="5E1BB0D6" w14:textId="77777777" w:rsidTr="00F279FE">
        <w:trPr>
          <w:trHeight w:val="317"/>
        </w:trPr>
        <w:tc>
          <w:tcPr>
            <w:tcW w:w="2250" w:type="dxa"/>
            <w:tcBorders>
              <w:top w:val="single" w:sz="4" w:space="0" w:color="auto"/>
              <w:bottom w:val="double" w:sz="4" w:space="0" w:color="auto"/>
            </w:tcBorders>
            <w:vAlign w:val="center"/>
          </w:tcPr>
          <w:p w14:paraId="7F3E297E" w14:textId="77777777" w:rsidR="00071599" w:rsidRPr="007E6437" w:rsidRDefault="00071599" w:rsidP="000D55C1">
            <w:pPr>
              <w:pStyle w:val="ListParagraph"/>
              <w:tabs>
                <w:tab w:val="left" w:pos="720"/>
              </w:tabs>
              <w:ind w:left="0" w:right="-108"/>
              <w:rPr>
                <w:rFonts w:ascii="Arial" w:hAnsi="Arial" w:cs="Arial"/>
                <w:sz w:val="18"/>
                <w:szCs w:val="18"/>
              </w:rPr>
            </w:pPr>
            <w:r w:rsidRPr="007E6437">
              <w:rPr>
                <w:rFonts w:ascii="Arial" w:hAnsi="Arial" w:cs="Arial"/>
                <w:b/>
                <w:sz w:val="18"/>
                <w:szCs w:val="18"/>
              </w:rPr>
              <w:t>Total</w:t>
            </w:r>
          </w:p>
        </w:tc>
        <w:tc>
          <w:tcPr>
            <w:tcW w:w="990" w:type="dxa"/>
            <w:gridSpan w:val="3"/>
            <w:tcBorders>
              <w:top w:val="single" w:sz="4" w:space="0" w:color="auto"/>
              <w:bottom w:val="double" w:sz="4" w:space="0" w:color="auto"/>
            </w:tcBorders>
            <w:vAlign w:val="bottom"/>
          </w:tcPr>
          <w:p w14:paraId="0ECACE2C" w14:textId="77777777" w:rsidR="00071599" w:rsidRPr="007E6437" w:rsidRDefault="00071599" w:rsidP="000D55C1">
            <w:pPr>
              <w:pStyle w:val="ListParagraph"/>
              <w:tabs>
                <w:tab w:val="left" w:pos="720"/>
              </w:tabs>
              <w:ind w:left="0" w:right="29"/>
              <w:jc w:val="both"/>
              <w:rPr>
                <w:rFonts w:ascii="Arial" w:hAnsi="Arial" w:cs="Arial"/>
                <w:sz w:val="18"/>
                <w:szCs w:val="18"/>
              </w:rPr>
            </w:pPr>
          </w:p>
        </w:tc>
        <w:tc>
          <w:tcPr>
            <w:tcW w:w="1528" w:type="dxa"/>
            <w:tcBorders>
              <w:top w:val="single" w:sz="4" w:space="0" w:color="auto"/>
              <w:bottom w:val="double" w:sz="4" w:space="0" w:color="auto"/>
            </w:tcBorders>
          </w:tcPr>
          <w:p w14:paraId="15542A28" w14:textId="77777777" w:rsidR="00071599" w:rsidRPr="007E6437" w:rsidRDefault="00071599" w:rsidP="000D55C1">
            <w:pPr>
              <w:pStyle w:val="ListParagraph"/>
              <w:tabs>
                <w:tab w:val="left" w:pos="720"/>
              </w:tabs>
              <w:ind w:left="-108"/>
              <w:jc w:val="right"/>
              <w:rPr>
                <w:rFonts w:ascii="Arial" w:hAnsi="Arial" w:cs="Arial"/>
                <w:b/>
                <w:bCs/>
                <w:sz w:val="18"/>
                <w:szCs w:val="18"/>
              </w:rPr>
            </w:pPr>
          </w:p>
        </w:tc>
        <w:tc>
          <w:tcPr>
            <w:tcW w:w="1440" w:type="dxa"/>
            <w:gridSpan w:val="2"/>
            <w:tcBorders>
              <w:top w:val="single" w:sz="4" w:space="0" w:color="auto"/>
              <w:bottom w:val="double" w:sz="4" w:space="0" w:color="auto"/>
            </w:tcBorders>
            <w:vAlign w:val="center"/>
          </w:tcPr>
          <w:p w14:paraId="58E1EE89" w14:textId="77777777" w:rsidR="00071599" w:rsidRPr="007E6437" w:rsidRDefault="00071599">
            <w:pPr>
              <w:pStyle w:val="ListParagraph"/>
              <w:tabs>
                <w:tab w:val="left" w:pos="720"/>
              </w:tabs>
              <w:ind w:left="-144" w:right="-58"/>
              <w:jc w:val="right"/>
              <w:rPr>
                <w:rFonts w:ascii="Arial" w:hAnsi="Arial" w:cs="Arial"/>
                <w:b/>
                <w:bCs/>
                <w:sz w:val="18"/>
                <w:szCs w:val="18"/>
              </w:rPr>
            </w:pPr>
            <w:r w:rsidRPr="007E6437">
              <w:rPr>
                <w:rFonts w:ascii="Arial" w:hAnsi="Arial" w:cs="Arial"/>
                <w:b/>
                <w:bCs/>
                <w:sz w:val="18"/>
                <w:szCs w:val="18"/>
              </w:rPr>
              <w:t>P 1,115,733,006</w:t>
            </w:r>
          </w:p>
        </w:tc>
        <w:tc>
          <w:tcPr>
            <w:tcW w:w="1440" w:type="dxa"/>
            <w:tcBorders>
              <w:top w:val="single" w:sz="4" w:space="0" w:color="auto"/>
              <w:bottom w:val="double" w:sz="4" w:space="0" w:color="auto"/>
            </w:tcBorders>
            <w:vAlign w:val="center"/>
          </w:tcPr>
          <w:p w14:paraId="6E88EBD6" w14:textId="77777777" w:rsidR="00071599" w:rsidRPr="007E6437" w:rsidRDefault="005F4FA2" w:rsidP="007E6437">
            <w:pPr>
              <w:pStyle w:val="ListParagraph"/>
              <w:tabs>
                <w:tab w:val="left" w:pos="720"/>
              </w:tabs>
              <w:ind w:left="-144"/>
              <w:jc w:val="right"/>
              <w:rPr>
                <w:rFonts w:ascii="Arial" w:hAnsi="Arial" w:cs="Arial"/>
                <w:b/>
                <w:bCs/>
                <w:sz w:val="18"/>
                <w:szCs w:val="18"/>
              </w:rPr>
            </w:pPr>
            <w:r w:rsidRPr="007E6437">
              <w:rPr>
                <w:rFonts w:ascii="Arial" w:hAnsi="Arial" w:cs="Arial"/>
                <w:b/>
                <w:bCs/>
                <w:sz w:val="18"/>
                <w:szCs w:val="18"/>
              </w:rPr>
              <w:t>P 28,450,53</w:t>
            </w:r>
            <w:r w:rsidR="00CB04EA" w:rsidRPr="007E6437">
              <w:rPr>
                <w:rFonts w:ascii="Arial" w:hAnsi="Arial" w:cs="Arial"/>
                <w:b/>
                <w:bCs/>
                <w:sz w:val="18"/>
                <w:szCs w:val="18"/>
              </w:rPr>
              <w:t>5</w:t>
            </w:r>
          </w:p>
        </w:tc>
        <w:tc>
          <w:tcPr>
            <w:tcW w:w="1350" w:type="dxa"/>
            <w:tcBorders>
              <w:top w:val="single" w:sz="4" w:space="0" w:color="auto"/>
              <w:bottom w:val="double" w:sz="4" w:space="0" w:color="auto"/>
            </w:tcBorders>
            <w:vAlign w:val="center"/>
          </w:tcPr>
          <w:p w14:paraId="15CC6A6E" w14:textId="77777777" w:rsidR="00071599" w:rsidRPr="007E6437" w:rsidRDefault="00071599">
            <w:pPr>
              <w:pStyle w:val="ListParagraph"/>
              <w:tabs>
                <w:tab w:val="left" w:pos="720"/>
              </w:tabs>
              <w:ind w:left="-144" w:right="-58"/>
              <w:jc w:val="right"/>
              <w:rPr>
                <w:rFonts w:ascii="Arial" w:hAnsi="Arial" w:cs="Arial"/>
                <w:b/>
                <w:bCs/>
                <w:sz w:val="18"/>
                <w:szCs w:val="18"/>
              </w:rPr>
            </w:pPr>
            <w:r w:rsidRPr="007E6437">
              <w:rPr>
                <w:rFonts w:ascii="Arial" w:hAnsi="Arial" w:cs="Arial"/>
                <w:b/>
                <w:bCs/>
                <w:sz w:val="18"/>
                <w:szCs w:val="18"/>
              </w:rPr>
              <w:t>P1,144,183,</w:t>
            </w:r>
            <w:r w:rsidR="00CB04EA" w:rsidRPr="007E6437">
              <w:rPr>
                <w:rFonts w:ascii="Arial" w:hAnsi="Arial" w:cs="Arial"/>
                <w:b/>
                <w:bCs/>
                <w:sz w:val="18"/>
                <w:szCs w:val="18"/>
              </w:rPr>
              <w:t>541</w:t>
            </w:r>
          </w:p>
        </w:tc>
      </w:tr>
    </w:tbl>
    <w:p w14:paraId="675BE864" w14:textId="77777777" w:rsidR="00340393" w:rsidRDefault="00340393" w:rsidP="001304C2">
      <w:pPr>
        <w:spacing w:after="0" w:line="240" w:lineRule="auto"/>
        <w:ind w:left="-90"/>
        <w:jc w:val="both"/>
        <w:rPr>
          <w:rFonts w:ascii="Arial" w:hAnsi="Arial" w:cs="Arial"/>
          <w:i/>
          <w:iCs/>
          <w:sz w:val="18"/>
          <w:szCs w:val="18"/>
        </w:rPr>
      </w:pPr>
      <w:r>
        <w:rPr>
          <w:rFonts w:ascii="Arial" w:hAnsi="Arial" w:cs="Arial"/>
        </w:rPr>
        <w:t>*</w:t>
      </w:r>
      <w:r w:rsidRPr="00A629BF">
        <w:rPr>
          <w:rFonts w:ascii="Arial" w:hAnsi="Arial" w:cs="Arial"/>
          <w:i/>
          <w:iCs/>
          <w:sz w:val="18"/>
          <w:szCs w:val="18"/>
        </w:rPr>
        <w:t>Sum</w:t>
      </w:r>
      <w:r w:rsidR="00547953">
        <w:rPr>
          <w:rFonts w:ascii="Arial" w:hAnsi="Arial" w:cs="Arial"/>
          <w:i/>
          <w:iCs/>
          <w:sz w:val="18"/>
          <w:szCs w:val="18"/>
        </w:rPr>
        <w:t xml:space="preserve"> total</w:t>
      </w:r>
      <w:r w:rsidRPr="00A629BF">
        <w:rPr>
          <w:rFonts w:ascii="Arial" w:hAnsi="Arial" w:cs="Arial"/>
          <w:i/>
          <w:iCs/>
          <w:sz w:val="18"/>
          <w:szCs w:val="18"/>
        </w:rPr>
        <w:t xml:space="preserve"> of disposal or additional investments, liquidating dividends, allowance for probable losses and share in equity income or loss.</w:t>
      </w:r>
    </w:p>
    <w:p w14:paraId="4BEF3EB0" w14:textId="77777777" w:rsidR="00340393" w:rsidRPr="00485272" w:rsidRDefault="00340393" w:rsidP="00485272">
      <w:pPr>
        <w:spacing w:after="0" w:line="240" w:lineRule="auto"/>
        <w:jc w:val="both"/>
        <w:rPr>
          <w:rFonts w:ascii="Arial" w:hAnsi="Arial" w:cs="Arial"/>
          <w:i/>
          <w:iCs/>
        </w:rPr>
      </w:pPr>
    </w:p>
    <w:p w14:paraId="3444B12B" w14:textId="30CB675F"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The aforesaid subsidiaries of the AFPRSBS are still subject for consolidation with AFPRSBS’ FS until the cancellation of their respective registrations with the Securities and Exchange Commission and the completion of the liquidation process.  Emphasis is given on the objective of consolidating the FS in eliminating the inter-company transactions and presenting more accurate financial position.  The Audit Team noted that only the FS of MDC</w:t>
      </w:r>
      <w:r w:rsidR="00BB1C47" w:rsidRPr="00485272">
        <w:rPr>
          <w:rFonts w:ascii="Arial" w:hAnsi="Arial" w:cs="Arial"/>
          <w:sz w:val="22"/>
          <w:szCs w:val="22"/>
        </w:rPr>
        <w:t xml:space="preserve">, </w:t>
      </w:r>
      <w:r w:rsidR="00E92860" w:rsidRPr="00485272">
        <w:rPr>
          <w:rFonts w:ascii="Arial" w:hAnsi="Arial" w:cs="Arial"/>
          <w:sz w:val="22"/>
          <w:szCs w:val="22"/>
        </w:rPr>
        <w:t>with investment cost in the amount of P</w:t>
      </w:r>
      <w:r w:rsidR="003B3540" w:rsidRPr="00485272">
        <w:rPr>
          <w:rFonts w:ascii="Arial" w:hAnsi="Arial" w:cs="Arial"/>
          <w:sz w:val="22"/>
          <w:szCs w:val="22"/>
        </w:rPr>
        <w:t>873.927 million and a recorded carrying amount of P344.989 million</w:t>
      </w:r>
      <w:r w:rsidR="00BB1C47" w:rsidRPr="00485272">
        <w:rPr>
          <w:rFonts w:ascii="Arial" w:hAnsi="Arial" w:cs="Arial"/>
          <w:sz w:val="22"/>
          <w:szCs w:val="22"/>
        </w:rPr>
        <w:t>, was consolidated with the FS of AFPRSBS</w:t>
      </w:r>
      <w:r w:rsidR="00D1542A">
        <w:rPr>
          <w:rFonts w:ascii="Arial" w:hAnsi="Arial" w:cs="Arial"/>
          <w:sz w:val="22"/>
          <w:szCs w:val="22"/>
        </w:rPr>
        <w:t xml:space="preserve"> as at</w:t>
      </w:r>
      <w:r w:rsidR="003B3540" w:rsidRPr="00485272">
        <w:rPr>
          <w:rFonts w:ascii="Arial" w:hAnsi="Arial" w:cs="Arial"/>
          <w:sz w:val="22"/>
          <w:szCs w:val="22"/>
        </w:rPr>
        <w:t xml:space="preserve"> reporting date. All other subsidiaries in the </w:t>
      </w:r>
      <w:r w:rsidR="004F0733" w:rsidRPr="00485272">
        <w:rPr>
          <w:rFonts w:ascii="Arial" w:hAnsi="Arial" w:cs="Arial"/>
          <w:sz w:val="22"/>
          <w:szCs w:val="22"/>
        </w:rPr>
        <w:t xml:space="preserve">Table 2.1 </w:t>
      </w:r>
      <w:r w:rsidRPr="00485272">
        <w:rPr>
          <w:rFonts w:ascii="Arial" w:hAnsi="Arial" w:cs="Arial"/>
          <w:sz w:val="22"/>
          <w:szCs w:val="22"/>
        </w:rPr>
        <w:t xml:space="preserve">are presented under the Other </w:t>
      </w:r>
      <w:r w:rsidR="00B97B4D" w:rsidRPr="00485272">
        <w:rPr>
          <w:rFonts w:ascii="Arial" w:hAnsi="Arial" w:cs="Arial"/>
          <w:sz w:val="22"/>
          <w:szCs w:val="22"/>
        </w:rPr>
        <w:t>n</w:t>
      </w:r>
      <w:r w:rsidRPr="00485272">
        <w:rPr>
          <w:rFonts w:ascii="Arial" w:hAnsi="Arial" w:cs="Arial"/>
          <w:sz w:val="22"/>
          <w:szCs w:val="22"/>
        </w:rPr>
        <w:t>on-</w:t>
      </w:r>
      <w:r w:rsidR="00B97B4D" w:rsidRPr="00485272">
        <w:rPr>
          <w:rFonts w:ascii="Arial" w:hAnsi="Arial" w:cs="Arial"/>
          <w:sz w:val="22"/>
          <w:szCs w:val="22"/>
        </w:rPr>
        <w:t>c</w:t>
      </w:r>
      <w:r w:rsidRPr="00485272">
        <w:rPr>
          <w:rFonts w:ascii="Arial" w:hAnsi="Arial" w:cs="Arial"/>
          <w:sz w:val="22"/>
          <w:szCs w:val="22"/>
        </w:rPr>
        <w:t xml:space="preserve">urrent </w:t>
      </w:r>
      <w:r w:rsidR="00B97B4D" w:rsidRPr="00485272">
        <w:rPr>
          <w:rFonts w:ascii="Arial" w:hAnsi="Arial" w:cs="Arial"/>
          <w:sz w:val="22"/>
          <w:szCs w:val="22"/>
        </w:rPr>
        <w:t>a</w:t>
      </w:r>
      <w:r w:rsidRPr="00485272">
        <w:rPr>
          <w:rFonts w:ascii="Arial" w:hAnsi="Arial" w:cs="Arial"/>
          <w:sz w:val="22"/>
          <w:szCs w:val="22"/>
        </w:rPr>
        <w:t>ssets account disclosed in Note 12</w:t>
      </w:r>
      <w:r w:rsidR="00B97B4D" w:rsidRPr="00485272">
        <w:rPr>
          <w:rFonts w:ascii="Arial" w:hAnsi="Arial" w:cs="Arial"/>
          <w:sz w:val="22"/>
          <w:szCs w:val="22"/>
        </w:rPr>
        <w:t>.1</w:t>
      </w:r>
      <w:r w:rsidRPr="00485272">
        <w:rPr>
          <w:rFonts w:ascii="Arial" w:hAnsi="Arial" w:cs="Arial"/>
          <w:sz w:val="22"/>
          <w:szCs w:val="22"/>
        </w:rPr>
        <w:t xml:space="preserve"> of the Notes to FS. </w:t>
      </w:r>
    </w:p>
    <w:p w14:paraId="4A4D802F" w14:textId="77777777" w:rsidR="00835757" w:rsidRPr="00485272" w:rsidRDefault="00835757" w:rsidP="00485272">
      <w:pPr>
        <w:pStyle w:val="NormalWeb"/>
        <w:spacing w:before="0" w:beforeAutospacing="0" w:after="0" w:afterAutospacing="0"/>
        <w:ind w:left="1260"/>
        <w:jc w:val="both"/>
        <w:rPr>
          <w:rFonts w:ascii="Arial" w:hAnsi="Arial" w:cs="Arial"/>
          <w:sz w:val="22"/>
          <w:szCs w:val="22"/>
        </w:rPr>
      </w:pPr>
    </w:p>
    <w:p w14:paraId="1A3B6271" w14:textId="77777777"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Inquiry with Management revealed that the non-consolidation of AFPRSBS</w:t>
      </w:r>
      <w:r w:rsidR="00B97B4D" w:rsidRPr="00485272">
        <w:rPr>
          <w:rFonts w:ascii="Arial" w:hAnsi="Arial" w:cs="Arial"/>
          <w:sz w:val="22"/>
          <w:szCs w:val="22"/>
        </w:rPr>
        <w:t>’</w:t>
      </w:r>
      <w:r w:rsidRPr="00485272">
        <w:rPr>
          <w:rFonts w:ascii="Arial" w:hAnsi="Arial" w:cs="Arial"/>
          <w:sz w:val="22"/>
          <w:szCs w:val="22"/>
        </w:rPr>
        <w:t xml:space="preserve"> FS and the FS of all subsidiaries is due to the absence of an updated and audited FS of the said subsidiaries identified as</w:t>
      </w:r>
      <w:r w:rsidRPr="00485272">
        <w:rPr>
          <w:rFonts w:ascii="Arial" w:hAnsi="Arial" w:cs="Arial"/>
          <w:sz w:val="22"/>
          <w:szCs w:val="22"/>
          <w:lang w:val="en-PH"/>
        </w:rPr>
        <w:t xml:space="preserve"> </w:t>
      </w:r>
      <w:r w:rsidRPr="00485272">
        <w:rPr>
          <w:rFonts w:ascii="Arial" w:hAnsi="Arial" w:cs="Arial"/>
          <w:sz w:val="22"/>
          <w:szCs w:val="22"/>
        </w:rPr>
        <w:t xml:space="preserve">either closed or have ceased operations.  Further, according to Management, the preparation of annual FS of the non-operating subsidiaries and affiliates/controlled entities is impractical at this point because of the non-availability of the relevant documents and the manpower to conduct such endeavor as mandated under </w:t>
      </w:r>
      <w:r w:rsidRPr="00485272">
        <w:rPr>
          <w:rFonts w:ascii="Arial" w:hAnsi="Arial" w:cs="Arial"/>
          <w:sz w:val="22"/>
          <w:szCs w:val="22"/>
        </w:rPr>
        <w:lastRenderedPageBreak/>
        <w:t xml:space="preserve">MO No. 90, directing the abolition of the AFPRSBS including its winding down and liquidation.  Furthermore, </w:t>
      </w:r>
      <w:r w:rsidR="00190EA6" w:rsidRPr="00485272">
        <w:rPr>
          <w:rFonts w:ascii="Arial" w:hAnsi="Arial" w:cs="Arial"/>
          <w:sz w:val="22"/>
          <w:szCs w:val="22"/>
        </w:rPr>
        <w:t>it</w:t>
      </w:r>
      <w:r w:rsidRPr="00485272">
        <w:rPr>
          <w:rFonts w:ascii="Arial" w:hAnsi="Arial" w:cs="Arial"/>
          <w:sz w:val="22"/>
          <w:szCs w:val="22"/>
        </w:rPr>
        <w:t xml:space="preserve"> may incur additional costs which may affect the ongoing refund of contributions to the members of AFPRSBS.</w:t>
      </w:r>
    </w:p>
    <w:p w14:paraId="733C5AF2" w14:textId="77777777" w:rsidR="00835757" w:rsidRPr="00485272" w:rsidRDefault="00835757" w:rsidP="00485272">
      <w:pPr>
        <w:spacing w:after="0" w:line="240" w:lineRule="auto"/>
        <w:ind w:firstLine="720"/>
        <w:jc w:val="both"/>
        <w:rPr>
          <w:rFonts w:ascii="Arial" w:hAnsi="Arial" w:cs="Arial"/>
        </w:rPr>
      </w:pPr>
    </w:p>
    <w:p w14:paraId="6D79E435" w14:textId="77777777"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Nevertheless, the above existing conditions are not among those provided under Paragraph 4 of PFRS 10 to exempt AFPRSBS from the consolidation of its FS and all the subsidiaries.  Moreover, the preparation of Statements of Affairs and Statement of Realization and Liquidation of the non-operating/closed subsidiaries must be pursued based on the principles of accountability and transparency in the management of government funds. Likewise, the dissolution of corporate life and liquidation of the assets of these non-operating/closed subsidiaries must be given consideration as part of the directive of MO No. 90.</w:t>
      </w:r>
    </w:p>
    <w:p w14:paraId="7834AD7A" w14:textId="77777777" w:rsidR="00835757" w:rsidRPr="00485272" w:rsidRDefault="00835757" w:rsidP="00485272">
      <w:pPr>
        <w:spacing w:after="0" w:line="240" w:lineRule="auto"/>
        <w:rPr>
          <w:rFonts w:ascii="Arial" w:hAnsi="Arial" w:cs="Arial"/>
          <w:b/>
        </w:rPr>
      </w:pPr>
    </w:p>
    <w:p w14:paraId="17F014A3" w14:textId="77777777" w:rsidR="00835757" w:rsidRPr="00485272" w:rsidRDefault="00835757" w:rsidP="00485272">
      <w:pPr>
        <w:pStyle w:val="NormalWeb"/>
        <w:numPr>
          <w:ilvl w:val="1"/>
          <w:numId w:val="3"/>
        </w:numPr>
        <w:spacing w:before="0" w:beforeAutospacing="0" w:after="0" w:afterAutospacing="0"/>
        <w:ind w:left="1267" w:hanging="691"/>
        <w:jc w:val="both"/>
        <w:rPr>
          <w:rFonts w:ascii="Arial" w:hAnsi="Arial" w:cs="Arial"/>
          <w:bCs/>
          <w:sz w:val="22"/>
          <w:szCs w:val="22"/>
        </w:rPr>
      </w:pPr>
      <w:r w:rsidRPr="00485272">
        <w:rPr>
          <w:rFonts w:ascii="Arial" w:hAnsi="Arial" w:cs="Arial"/>
          <w:bCs/>
          <w:sz w:val="22"/>
          <w:szCs w:val="22"/>
        </w:rPr>
        <w:t>Since the consolidation of the assets, liabilities, and results of operations of all its subsidiaries in the FS of AFPRSBS was not undertaken, the parent and subsidiar</w:t>
      </w:r>
      <w:r w:rsidR="00190EA6" w:rsidRPr="00485272">
        <w:rPr>
          <w:rFonts w:ascii="Arial" w:hAnsi="Arial" w:cs="Arial"/>
          <w:bCs/>
          <w:sz w:val="22"/>
          <w:szCs w:val="22"/>
        </w:rPr>
        <w:t>ies’</w:t>
      </w:r>
      <w:r w:rsidRPr="00485272">
        <w:rPr>
          <w:rFonts w:ascii="Arial" w:hAnsi="Arial" w:cs="Arial"/>
          <w:bCs/>
          <w:sz w:val="22"/>
          <w:szCs w:val="22"/>
        </w:rPr>
        <w:t xml:space="preserve"> reciprocal account balances were not </w:t>
      </w:r>
      <w:r w:rsidR="006011A6" w:rsidRPr="00485272">
        <w:rPr>
          <w:rFonts w:ascii="Arial" w:hAnsi="Arial" w:cs="Arial"/>
          <w:bCs/>
          <w:sz w:val="22"/>
          <w:szCs w:val="22"/>
        </w:rPr>
        <w:t xml:space="preserve">all </w:t>
      </w:r>
      <w:r w:rsidRPr="00485272">
        <w:rPr>
          <w:rFonts w:ascii="Arial" w:hAnsi="Arial" w:cs="Arial"/>
          <w:bCs/>
          <w:sz w:val="22"/>
          <w:szCs w:val="22"/>
        </w:rPr>
        <w:t xml:space="preserve">eliminated.  Accordingly, the </w:t>
      </w:r>
      <w:r w:rsidR="00190EA6" w:rsidRPr="00485272">
        <w:rPr>
          <w:rFonts w:ascii="Arial" w:hAnsi="Arial" w:cs="Arial"/>
          <w:bCs/>
          <w:sz w:val="22"/>
          <w:szCs w:val="22"/>
        </w:rPr>
        <w:t>c</w:t>
      </w:r>
      <w:r w:rsidRPr="00485272">
        <w:rPr>
          <w:rFonts w:ascii="Arial" w:hAnsi="Arial" w:cs="Arial"/>
          <w:bCs/>
          <w:sz w:val="22"/>
          <w:szCs w:val="22"/>
        </w:rPr>
        <w:t>onsolidated FS of the AFPRSBS do not present a true and reliable representation of its financial condition and the results of its operations as at and for the year ended December 31, 2022.</w:t>
      </w:r>
    </w:p>
    <w:p w14:paraId="15BB078A" w14:textId="77777777" w:rsidR="00E74758" w:rsidRPr="00485272" w:rsidRDefault="00E74758" w:rsidP="00485272">
      <w:pPr>
        <w:pStyle w:val="NormalWeb"/>
        <w:spacing w:before="0" w:beforeAutospacing="0" w:after="0" w:afterAutospacing="0"/>
        <w:ind w:left="1267"/>
        <w:jc w:val="both"/>
        <w:rPr>
          <w:rFonts w:ascii="Arial" w:hAnsi="Arial" w:cs="Arial"/>
          <w:b/>
          <w:sz w:val="22"/>
          <w:szCs w:val="22"/>
        </w:rPr>
      </w:pPr>
    </w:p>
    <w:p w14:paraId="73CC87C2" w14:textId="017B84AC" w:rsidR="00835757" w:rsidRPr="00485272" w:rsidRDefault="00835757" w:rsidP="00485272">
      <w:pPr>
        <w:pStyle w:val="NormalWeb"/>
        <w:numPr>
          <w:ilvl w:val="0"/>
          <w:numId w:val="73"/>
        </w:numPr>
        <w:spacing w:before="0" w:beforeAutospacing="0" w:after="0" w:afterAutospacing="0"/>
        <w:ind w:left="1267" w:hanging="691"/>
        <w:jc w:val="both"/>
        <w:rPr>
          <w:rFonts w:ascii="Arial" w:hAnsi="Arial" w:cs="Arial"/>
          <w:b/>
          <w:sz w:val="22"/>
          <w:szCs w:val="22"/>
        </w:rPr>
      </w:pPr>
      <w:r w:rsidRPr="00485272">
        <w:rPr>
          <w:rFonts w:ascii="Arial" w:hAnsi="Arial" w:cs="Arial"/>
          <w:b/>
          <w:sz w:val="22"/>
          <w:szCs w:val="22"/>
        </w:rPr>
        <w:t xml:space="preserve">We reiterated </w:t>
      </w:r>
      <w:r w:rsidR="00E74758" w:rsidRPr="00485272">
        <w:rPr>
          <w:rFonts w:ascii="Arial" w:hAnsi="Arial" w:cs="Arial"/>
          <w:b/>
          <w:sz w:val="22"/>
          <w:szCs w:val="22"/>
        </w:rPr>
        <w:t xml:space="preserve">with modifications </w:t>
      </w:r>
      <w:r w:rsidRPr="00485272">
        <w:rPr>
          <w:rFonts w:ascii="Arial" w:hAnsi="Arial" w:cs="Arial"/>
          <w:b/>
          <w:sz w:val="22"/>
          <w:szCs w:val="22"/>
        </w:rPr>
        <w:t>our PYs</w:t>
      </w:r>
      <w:r w:rsidR="006F5114" w:rsidRPr="00485272">
        <w:rPr>
          <w:rFonts w:ascii="Arial" w:hAnsi="Arial" w:cs="Arial"/>
          <w:b/>
          <w:sz w:val="22"/>
          <w:szCs w:val="22"/>
        </w:rPr>
        <w:t>’</w:t>
      </w:r>
      <w:r w:rsidRPr="00485272">
        <w:rPr>
          <w:rFonts w:ascii="Arial" w:hAnsi="Arial" w:cs="Arial"/>
          <w:b/>
          <w:sz w:val="22"/>
          <w:szCs w:val="22"/>
        </w:rPr>
        <w:t xml:space="preserve"> audit recommendations that Management:</w:t>
      </w:r>
    </w:p>
    <w:p w14:paraId="08811A63" w14:textId="77777777" w:rsidR="00835757" w:rsidRPr="00485272" w:rsidRDefault="00835757" w:rsidP="00485272">
      <w:pPr>
        <w:spacing w:after="0" w:line="240" w:lineRule="auto"/>
        <w:jc w:val="both"/>
        <w:rPr>
          <w:rFonts w:ascii="Arial" w:hAnsi="Arial" w:cs="Arial"/>
          <w:b/>
        </w:rPr>
      </w:pPr>
    </w:p>
    <w:p w14:paraId="5BDDF3A6" w14:textId="77777777" w:rsidR="00835757" w:rsidRPr="00485272" w:rsidRDefault="00835757" w:rsidP="00485272">
      <w:pPr>
        <w:pStyle w:val="ListParagraph"/>
        <w:numPr>
          <w:ilvl w:val="0"/>
          <w:numId w:val="32"/>
        </w:numPr>
        <w:ind w:left="1656"/>
        <w:contextualSpacing/>
        <w:jc w:val="both"/>
        <w:rPr>
          <w:rFonts w:ascii="Arial" w:hAnsi="Arial" w:cs="Arial"/>
          <w:b/>
          <w:bCs/>
          <w:sz w:val="22"/>
          <w:szCs w:val="22"/>
        </w:rPr>
      </w:pPr>
      <w:r w:rsidRPr="00485272">
        <w:rPr>
          <w:rFonts w:ascii="Arial" w:hAnsi="Arial" w:cs="Arial"/>
          <w:b/>
          <w:bCs/>
          <w:sz w:val="22"/>
          <w:szCs w:val="22"/>
        </w:rPr>
        <w:t>Prepare the consolidated FS to include the assets, liabilities, and results of operations of all the subsidiaries in compliance with the provisions of PFRS 10; and</w:t>
      </w:r>
    </w:p>
    <w:p w14:paraId="6CD8FD2C" w14:textId="77777777" w:rsidR="00835757" w:rsidRPr="00485272" w:rsidRDefault="00835757" w:rsidP="00485272">
      <w:pPr>
        <w:pStyle w:val="ListParagraph"/>
        <w:ind w:left="1080"/>
        <w:jc w:val="both"/>
        <w:rPr>
          <w:rFonts w:ascii="Arial" w:hAnsi="Arial" w:cs="Arial"/>
          <w:b/>
          <w:bCs/>
          <w:sz w:val="22"/>
          <w:szCs w:val="22"/>
        </w:rPr>
      </w:pPr>
    </w:p>
    <w:p w14:paraId="5B7560F7" w14:textId="77777777" w:rsidR="00835757" w:rsidRPr="00485272" w:rsidRDefault="00835757" w:rsidP="00485272">
      <w:pPr>
        <w:pStyle w:val="ListParagraph"/>
        <w:numPr>
          <w:ilvl w:val="0"/>
          <w:numId w:val="32"/>
        </w:numPr>
        <w:ind w:left="1656"/>
        <w:contextualSpacing/>
        <w:jc w:val="both"/>
        <w:rPr>
          <w:rFonts w:ascii="Arial" w:hAnsi="Arial" w:cs="Arial"/>
          <w:b/>
          <w:sz w:val="22"/>
          <w:szCs w:val="22"/>
        </w:rPr>
      </w:pPr>
      <w:r w:rsidRPr="00485272">
        <w:rPr>
          <w:rFonts w:ascii="Arial" w:hAnsi="Arial" w:cs="Arial"/>
          <w:b/>
          <w:bCs/>
          <w:sz w:val="22"/>
          <w:szCs w:val="22"/>
        </w:rPr>
        <w:t xml:space="preserve">Eliminate all parent and subsidiary reciprocal account balances during the process of consolidation to ensure accurate presentation of the </w:t>
      </w:r>
      <w:r w:rsidR="00190EA6" w:rsidRPr="00485272">
        <w:rPr>
          <w:rFonts w:ascii="Arial" w:hAnsi="Arial" w:cs="Arial"/>
          <w:b/>
          <w:bCs/>
          <w:sz w:val="22"/>
          <w:szCs w:val="22"/>
        </w:rPr>
        <w:t>I</w:t>
      </w:r>
      <w:r w:rsidRPr="00485272">
        <w:rPr>
          <w:rFonts w:ascii="Arial" w:hAnsi="Arial" w:cs="Arial"/>
          <w:b/>
          <w:bCs/>
          <w:sz w:val="22"/>
          <w:szCs w:val="22"/>
        </w:rPr>
        <w:t xml:space="preserve">nvestment in subsidiaries </w:t>
      </w:r>
      <w:r w:rsidR="00190EA6" w:rsidRPr="00485272">
        <w:rPr>
          <w:rFonts w:ascii="Arial" w:hAnsi="Arial" w:cs="Arial"/>
          <w:b/>
          <w:bCs/>
          <w:sz w:val="22"/>
          <w:szCs w:val="22"/>
        </w:rPr>
        <w:t xml:space="preserve">presented under the Other non-current assets account </w:t>
      </w:r>
      <w:r w:rsidRPr="00485272">
        <w:rPr>
          <w:rFonts w:ascii="Arial" w:hAnsi="Arial" w:cs="Arial"/>
          <w:b/>
          <w:bCs/>
          <w:sz w:val="22"/>
          <w:szCs w:val="22"/>
        </w:rPr>
        <w:t>in the FS.</w:t>
      </w:r>
    </w:p>
    <w:p w14:paraId="4115D7CB" w14:textId="77777777" w:rsidR="00835757" w:rsidRPr="00485272" w:rsidRDefault="00835757" w:rsidP="00485272">
      <w:pPr>
        <w:spacing w:after="0" w:line="240" w:lineRule="auto"/>
        <w:rPr>
          <w:rFonts w:ascii="Arial" w:hAnsi="Arial" w:cs="Arial"/>
          <w:b/>
        </w:rPr>
      </w:pPr>
    </w:p>
    <w:p w14:paraId="7E046E72" w14:textId="77777777" w:rsidR="00835757" w:rsidRPr="00485272" w:rsidRDefault="00835757" w:rsidP="00485272">
      <w:pPr>
        <w:pStyle w:val="NormalWeb"/>
        <w:numPr>
          <w:ilvl w:val="0"/>
          <w:numId w:val="73"/>
        </w:numPr>
        <w:spacing w:before="0" w:beforeAutospacing="0" w:after="0" w:afterAutospacing="0"/>
        <w:ind w:left="1267" w:hanging="691"/>
        <w:jc w:val="both"/>
        <w:rPr>
          <w:rFonts w:ascii="Arial" w:hAnsi="Arial" w:cs="Arial"/>
          <w:b/>
          <w:sz w:val="22"/>
          <w:szCs w:val="22"/>
        </w:rPr>
      </w:pPr>
      <w:r w:rsidRPr="00485272">
        <w:rPr>
          <w:rFonts w:ascii="Arial" w:hAnsi="Arial" w:cs="Arial"/>
          <w:b/>
          <w:sz w:val="22"/>
          <w:szCs w:val="22"/>
        </w:rPr>
        <w:t>We further recommended that Management:</w:t>
      </w:r>
    </w:p>
    <w:p w14:paraId="0B0DF43E" w14:textId="77777777" w:rsidR="00835757" w:rsidRPr="00485272" w:rsidRDefault="00835757" w:rsidP="00485272">
      <w:pPr>
        <w:spacing w:after="0" w:line="240" w:lineRule="auto"/>
        <w:rPr>
          <w:rFonts w:ascii="Arial" w:hAnsi="Arial" w:cs="Arial"/>
          <w:b/>
        </w:rPr>
      </w:pPr>
    </w:p>
    <w:p w14:paraId="315FA67F" w14:textId="77777777" w:rsidR="00835757" w:rsidRPr="00485272" w:rsidRDefault="00835757" w:rsidP="00485272">
      <w:pPr>
        <w:pStyle w:val="ListParagraph"/>
        <w:numPr>
          <w:ilvl w:val="0"/>
          <w:numId w:val="33"/>
        </w:numPr>
        <w:ind w:left="1656"/>
        <w:contextualSpacing/>
        <w:jc w:val="both"/>
        <w:rPr>
          <w:rFonts w:ascii="Arial" w:hAnsi="Arial" w:cs="Arial"/>
          <w:b/>
          <w:bCs/>
          <w:sz w:val="22"/>
          <w:szCs w:val="22"/>
        </w:rPr>
      </w:pPr>
      <w:r w:rsidRPr="00485272">
        <w:rPr>
          <w:rFonts w:ascii="Arial" w:hAnsi="Arial" w:cs="Arial"/>
          <w:b/>
          <w:bCs/>
          <w:sz w:val="22"/>
          <w:szCs w:val="22"/>
        </w:rPr>
        <w:t xml:space="preserve">Conduct an inventory of the assets of </w:t>
      </w:r>
      <w:r w:rsidR="00BB1C47" w:rsidRPr="00485272">
        <w:rPr>
          <w:rFonts w:ascii="Arial" w:hAnsi="Arial" w:cs="Arial"/>
          <w:b/>
          <w:bCs/>
          <w:sz w:val="22"/>
          <w:szCs w:val="22"/>
        </w:rPr>
        <w:t xml:space="preserve">the </w:t>
      </w:r>
      <w:r w:rsidRPr="00485272">
        <w:rPr>
          <w:rFonts w:ascii="Arial" w:hAnsi="Arial" w:cs="Arial"/>
          <w:b/>
          <w:bCs/>
          <w:sz w:val="22"/>
          <w:szCs w:val="22"/>
        </w:rPr>
        <w:t>subsidiaries</w:t>
      </w:r>
      <w:r w:rsidR="00BB1C47" w:rsidRPr="00485272">
        <w:rPr>
          <w:rFonts w:ascii="Arial" w:hAnsi="Arial" w:cs="Arial"/>
          <w:b/>
          <w:bCs/>
          <w:sz w:val="22"/>
          <w:szCs w:val="22"/>
        </w:rPr>
        <w:t xml:space="preserve"> with investment cost</w:t>
      </w:r>
      <w:r w:rsidR="00190EA6" w:rsidRPr="00485272">
        <w:rPr>
          <w:rFonts w:ascii="Arial" w:hAnsi="Arial" w:cs="Arial"/>
          <w:b/>
          <w:bCs/>
          <w:sz w:val="22"/>
          <w:szCs w:val="22"/>
        </w:rPr>
        <w:t>s</w:t>
      </w:r>
      <w:r w:rsidR="00BB1C47" w:rsidRPr="00485272">
        <w:rPr>
          <w:rFonts w:ascii="Arial" w:hAnsi="Arial" w:cs="Arial"/>
          <w:b/>
          <w:bCs/>
          <w:sz w:val="22"/>
          <w:szCs w:val="22"/>
        </w:rPr>
        <w:t xml:space="preserve"> </w:t>
      </w:r>
      <w:r w:rsidR="00190EA6" w:rsidRPr="00485272">
        <w:rPr>
          <w:rFonts w:ascii="Arial" w:hAnsi="Arial" w:cs="Arial"/>
          <w:b/>
          <w:bCs/>
          <w:sz w:val="22"/>
          <w:szCs w:val="22"/>
        </w:rPr>
        <w:t>totaling</w:t>
      </w:r>
      <w:r w:rsidR="00BB1C47" w:rsidRPr="00485272">
        <w:rPr>
          <w:rFonts w:ascii="Arial" w:hAnsi="Arial" w:cs="Arial"/>
          <w:b/>
          <w:bCs/>
          <w:sz w:val="22"/>
          <w:szCs w:val="22"/>
        </w:rPr>
        <w:t xml:space="preserve"> P1.116 billion</w:t>
      </w:r>
      <w:r w:rsidRPr="00485272">
        <w:rPr>
          <w:rFonts w:ascii="Arial" w:hAnsi="Arial" w:cs="Arial"/>
          <w:b/>
          <w:bCs/>
          <w:sz w:val="22"/>
          <w:szCs w:val="22"/>
        </w:rPr>
        <w:t>;</w:t>
      </w:r>
    </w:p>
    <w:p w14:paraId="3D8323EA" w14:textId="77777777" w:rsidR="00835757" w:rsidRPr="00485272" w:rsidRDefault="00835757" w:rsidP="00485272">
      <w:pPr>
        <w:pStyle w:val="ListParagraph"/>
        <w:numPr>
          <w:ilvl w:val="255"/>
          <w:numId w:val="0"/>
        </w:numPr>
        <w:ind w:left="1296"/>
        <w:contextualSpacing/>
        <w:jc w:val="both"/>
        <w:rPr>
          <w:rFonts w:ascii="Arial" w:hAnsi="Arial" w:cs="Arial"/>
          <w:b/>
          <w:bCs/>
          <w:sz w:val="22"/>
          <w:szCs w:val="22"/>
        </w:rPr>
      </w:pPr>
    </w:p>
    <w:p w14:paraId="6B059050" w14:textId="77777777" w:rsidR="00BB1C47" w:rsidRPr="00485272" w:rsidRDefault="00835757" w:rsidP="00485272">
      <w:pPr>
        <w:pStyle w:val="ListParagraph"/>
        <w:numPr>
          <w:ilvl w:val="0"/>
          <w:numId w:val="33"/>
        </w:numPr>
        <w:ind w:left="1656"/>
        <w:contextualSpacing/>
        <w:jc w:val="both"/>
        <w:rPr>
          <w:rFonts w:ascii="Arial" w:hAnsi="Arial" w:cs="Arial"/>
          <w:b/>
          <w:bCs/>
          <w:sz w:val="22"/>
          <w:szCs w:val="22"/>
        </w:rPr>
      </w:pPr>
      <w:r w:rsidRPr="00485272">
        <w:rPr>
          <w:rFonts w:ascii="Arial" w:hAnsi="Arial" w:cs="Arial"/>
          <w:b/>
          <w:bCs/>
          <w:sz w:val="22"/>
          <w:szCs w:val="22"/>
        </w:rPr>
        <w:t>Prepare</w:t>
      </w:r>
      <w:r w:rsidR="00BB1C47" w:rsidRPr="00485272">
        <w:rPr>
          <w:rFonts w:ascii="Arial" w:hAnsi="Arial" w:cs="Arial"/>
          <w:b/>
          <w:bCs/>
          <w:sz w:val="22"/>
          <w:szCs w:val="22"/>
        </w:rPr>
        <w:t>/update</w:t>
      </w:r>
      <w:r w:rsidRPr="00485272">
        <w:rPr>
          <w:rFonts w:ascii="Arial" w:hAnsi="Arial" w:cs="Arial"/>
          <w:b/>
          <w:bCs/>
          <w:sz w:val="22"/>
          <w:szCs w:val="22"/>
        </w:rPr>
        <w:t xml:space="preserve"> the corresponding FS </w:t>
      </w:r>
      <w:r w:rsidR="00BB1C47" w:rsidRPr="00485272">
        <w:rPr>
          <w:rFonts w:ascii="Arial" w:hAnsi="Arial" w:cs="Arial"/>
          <w:b/>
          <w:bCs/>
          <w:sz w:val="22"/>
          <w:szCs w:val="22"/>
        </w:rPr>
        <w:t xml:space="preserve">of the aforesaid </w:t>
      </w:r>
      <w:r w:rsidRPr="00485272">
        <w:rPr>
          <w:rFonts w:ascii="Arial" w:hAnsi="Arial" w:cs="Arial"/>
          <w:b/>
          <w:bCs/>
          <w:sz w:val="22"/>
          <w:szCs w:val="22"/>
        </w:rPr>
        <w:t>subsidiaries</w:t>
      </w:r>
      <w:r w:rsidR="00BB1C47" w:rsidRPr="00485272">
        <w:rPr>
          <w:rFonts w:ascii="Arial" w:hAnsi="Arial" w:cs="Arial"/>
          <w:b/>
          <w:bCs/>
          <w:sz w:val="22"/>
          <w:szCs w:val="22"/>
        </w:rPr>
        <w:t>;</w:t>
      </w:r>
      <w:r w:rsidR="008973DE" w:rsidRPr="00485272">
        <w:rPr>
          <w:rFonts w:ascii="Arial" w:hAnsi="Arial" w:cs="Arial"/>
          <w:b/>
          <w:bCs/>
          <w:sz w:val="22"/>
          <w:szCs w:val="22"/>
        </w:rPr>
        <w:t xml:space="preserve"> and</w:t>
      </w:r>
    </w:p>
    <w:p w14:paraId="4F7E31C4" w14:textId="77777777" w:rsidR="00835757" w:rsidRPr="00485272" w:rsidRDefault="00835757" w:rsidP="00485272">
      <w:pPr>
        <w:pStyle w:val="ListParagraph"/>
        <w:jc w:val="both"/>
        <w:rPr>
          <w:rFonts w:ascii="Arial" w:hAnsi="Arial" w:cs="Arial"/>
          <w:b/>
          <w:bCs/>
          <w:sz w:val="22"/>
          <w:szCs w:val="22"/>
        </w:rPr>
      </w:pPr>
    </w:p>
    <w:p w14:paraId="37480AD7" w14:textId="77777777" w:rsidR="00835757" w:rsidRPr="00485272" w:rsidRDefault="00835757" w:rsidP="00485272">
      <w:pPr>
        <w:pStyle w:val="ListParagraph"/>
        <w:numPr>
          <w:ilvl w:val="0"/>
          <w:numId w:val="33"/>
        </w:numPr>
        <w:ind w:left="1656"/>
        <w:contextualSpacing/>
        <w:jc w:val="both"/>
        <w:rPr>
          <w:rFonts w:ascii="Arial" w:hAnsi="Arial" w:cs="Arial"/>
          <w:b/>
          <w:sz w:val="22"/>
          <w:szCs w:val="22"/>
        </w:rPr>
      </w:pPr>
      <w:r w:rsidRPr="00485272">
        <w:rPr>
          <w:rFonts w:ascii="Arial" w:hAnsi="Arial" w:cs="Arial"/>
          <w:b/>
          <w:sz w:val="22"/>
          <w:szCs w:val="22"/>
        </w:rPr>
        <w:t>Take actions to officially dissolve the non-operating/closed subsidiaries’ corporate life and liquidate the assets accordingly.</w:t>
      </w:r>
    </w:p>
    <w:p w14:paraId="61D49D64" w14:textId="69AB6BD4" w:rsidR="00835757" w:rsidRPr="00485272" w:rsidRDefault="00835757" w:rsidP="00485272">
      <w:pPr>
        <w:pStyle w:val="NormalWeb"/>
        <w:spacing w:before="0" w:beforeAutospacing="0" w:after="0" w:afterAutospacing="0"/>
        <w:jc w:val="both"/>
        <w:rPr>
          <w:rFonts w:ascii="Arial" w:hAnsi="Arial" w:cs="Arial"/>
          <w:b/>
          <w:sz w:val="22"/>
          <w:szCs w:val="22"/>
        </w:rPr>
      </w:pPr>
    </w:p>
    <w:p w14:paraId="70549BC0" w14:textId="77777777" w:rsidR="004E07CA" w:rsidRPr="00485272" w:rsidRDefault="004E07CA" w:rsidP="00485272">
      <w:pPr>
        <w:pStyle w:val="NormalWeb"/>
        <w:spacing w:before="0" w:beforeAutospacing="0" w:after="0" w:afterAutospacing="0"/>
        <w:jc w:val="both"/>
        <w:rPr>
          <w:rFonts w:ascii="Arial" w:hAnsi="Arial" w:cs="Arial"/>
          <w:b/>
          <w:sz w:val="22"/>
          <w:szCs w:val="22"/>
        </w:rPr>
      </w:pPr>
    </w:p>
    <w:p w14:paraId="5E08A1C6" w14:textId="50891F6E" w:rsidR="004E07CA" w:rsidRPr="00485272" w:rsidRDefault="004E07CA" w:rsidP="00485272">
      <w:pPr>
        <w:pStyle w:val="NormalWeb"/>
        <w:numPr>
          <w:ilvl w:val="0"/>
          <w:numId w:val="3"/>
        </w:numPr>
        <w:spacing w:before="0" w:beforeAutospacing="0" w:after="0" w:afterAutospacing="0"/>
        <w:ind w:left="576" w:hanging="576"/>
        <w:jc w:val="both"/>
        <w:rPr>
          <w:rFonts w:ascii="Arial" w:hAnsi="Arial" w:cs="Arial"/>
          <w:b/>
          <w:bCs/>
          <w:sz w:val="22"/>
          <w:szCs w:val="22"/>
        </w:rPr>
      </w:pPr>
      <w:r w:rsidRPr="00485272">
        <w:rPr>
          <w:rFonts w:ascii="Arial" w:hAnsi="Arial" w:cs="Arial"/>
          <w:b/>
          <w:bCs/>
          <w:sz w:val="22"/>
          <w:szCs w:val="22"/>
        </w:rPr>
        <w:t xml:space="preserve">The Allowance for Impairment computed using a method other than that required under PFRS 9 – </w:t>
      </w:r>
      <w:r w:rsidRPr="00485272">
        <w:rPr>
          <w:rFonts w:ascii="Arial" w:hAnsi="Arial" w:cs="Arial"/>
          <w:b/>
          <w:bCs/>
          <w:i/>
          <w:sz w:val="22"/>
          <w:szCs w:val="22"/>
        </w:rPr>
        <w:t>Financial Instruments</w:t>
      </w:r>
      <w:r w:rsidRPr="00485272">
        <w:rPr>
          <w:rFonts w:ascii="Arial" w:hAnsi="Arial" w:cs="Arial"/>
          <w:b/>
          <w:bCs/>
          <w:sz w:val="22"/>
          <w:szCs w:val="22"/>
        </w:rPr>
        <w:t xml:space="preserve">, resulted in the overstatement by undetermined amounts of the Receivables, Loans Receivables, Installment Contract Receivable </w:t>
      </w:r>
      <w:r w:rsidR="00A7291F" w:rsidRPr="00485272">
        <w:rPr>
          <w:rFonts w:ascii="Arial" w:hAnsi="Arial" w:cs="Arial"/>
          <w:b/>
          <w:bCs/>
          <w:sz w:val="22"/>
          <w:szCs w:val="22"/>
        </w:rPr>
        <w:t xml:space="preserve">(ICR) </w:t>
      </w:r>
      <w:r w:rsidRPr="00485272">
        <w:rPr>
          <w:rFonts w:ascii="Arial" w:hAnsi="Arial" w:cs="Arial"/>
          <w:b/>
          <w:bCs/>
          <w:sz w:val="22"/>
          <w:szCs w:val="22"/>
        </w:rPr>
        <w:t>and Investment in bonds stated at P859.370 million, P1.091 billion, P325.778 million and P2.349 billion, respectively, as at December 31, 2022.</w:t>
      </w:r>
    </w:p>
    <w:p w14:paraId="20819D40" w14:textId="44CE629C" w:rsidR="004E07CA" w:rsidRPr="00485272" w:rsidRDefault="004E07CA"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lastRenderedPageBreak/>
        <w:t>This is a reiteration with modifications of PY’s AO as embodied in the CY 2021 AAR.</w:t>
      </w:r>
    </w:p>
    <w:p w14:paraId="277A7299" w14:textId="77777777" w:rsidR="004E07CA" w:rsidRPr="00485272" w:rsidRDefault="004E07CA" w:rsidP="00485272">
      <w:pPr>
        <w:pStyle w:val="ListParagraph"/>
        <w:ind w:left="1620"/>
        <w:contextualSpacing/>
        <w:jc w:val="both"/>
        <w:rPr>
          <w:rFonts w:ascii="Arial" w:hAnsi="Arial" w:cs="Arial"/>
          <w:sz w:val="22"/>
          <w:szCs w:val="22"/>
        </w:rPr>
      </w:pPr>
    </w:p>
    <w:p w14:paraId="1F8B22F6" w14:textId="77777777" w:rsidR="004E07CA" w:rsidRPr="00485272" w:rsidRDefault="004E07CA"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eastAsia="MS Mincho" w:hAnsi="Arial" w:cs="Arial"/>
          <w:sz w:val="22"/>
          <w:szCs w:val="22"/>
        </w:rPr>
        <w:t>Paragraphs</w:t>
      </w:r>
      <w:r w:rsidRPr="00485272">
        <w:rPr>
          <w:rFonts w:ascii="Arial" w:hAnsi="Arial" w:cs="Arial"/>
          <w:sz w:val="22"/>
          <w:szCs w:val="22"/>
        </w:rPr>
        <w:t xml:space="preserve"> 5.5.1 and 5.5.3 of PFRS 9 state that:</w:t>
      </w:r>
    </w:p>
    <w:p w14:paraId="37C906DE" w14:textId="77777777" w:rsidR="004E07CA" w:rsidRPr="00485272" w:rsidRDefault="004E07CA" w:rsidP="00485272">
      <w:pPr>
        <w:pStyle w:val="NoSpacing"/>
        <w:ind w:left="1096" w:right="345"/>
        <w:contextualSpacing/>
        <w:jc w:val="both"/>
        <w:rPr>
          <w:rFonts w:ascii="Arial" w:hAnsi="Arial" w:cs="Arial"/>
        </w:rPr>
      </w:pPr>
    </w:p>
    <w:p w14:paraId="361941C6" w14:textId="77777777" w:rsidR="004E07CA" w:rsidRPr="00485272" w:rsidRDefault="004E07CA" w:rsidP="00BB0337">
      <w:pPr>
        <w:spacing w:after="0" w:line="240" w:lineRule="auto"/>
        <w:ind w:left="1728" w:right="432"/>
        <w:contextualSpacing/>
        <w:jc w:val="both"/>
        <w:rPr>
          <w:rFonts w:ascii="Arial" w:hAnsi="Arial" w:cs="Arial"/>
          <w:i/>
        </w:rPr>
      </w:pPr>
      <w:r w:rsidRPr="00BB0337">
        <w:rPr>
          <w:rFonts w:ascii="Arial" w:hAnsi="Arial" w:cs="Arial"/>
          <w:i/>
        </w:rPr>
        <w:t xml:space="preserve">An entity shall </w:t>
      </w:r>
      <w:proofErr w:type="spellStart"/>
      <w:r w:rsidRPr="00485272">
        <w:rPr>
          <w:rFonts w:ascii="Arial" w:hAnsi="Arial" w:cs="Arial"/>
          <w:i/>
        </w:rPr>
        <w:t>recognise</w:t>
      </w:r>
      <w:proofErr w:type="spellEnd"/>
      <w:r w:rsidRPr="00485272">
        <w:rPr>
          <w:rFonts w:ascii="Arial" w:hAnsi="Arial" w:cs="Arial"/>
          <w:i/>
        </w:rPr>
        <w:t xml:space="preserve"> a loss allowance for expected credit losses on a financial asset that is measured in accordance with paragraphs 4.1.2 or 4.1.2A, a lease receivable, a contract asset or a loan commitment and a financial guarantee contract to which the impairment requirements apply in accordance with paragraphs 2.1</w:t>
      </w:r>
      <w:r w:rsidRPr="00485272">
        <w:rPr>
          <w:rFonts w:ascii="Arial" w:hAnsi="Arial" w:cs="Arial"/>
        </w:rPr>
        <w:t>(g), 4.2.1(c) or 4.2.1(d).</w:t>
      </w:r>
    </w:p>
    <w:p w14:paraId="01FD1B94" w14:textId="77777777" w:rsidR="004E07CA" w:rsidRPr="00485272" w:rsidRDefault="004E07CA" w:rsidP="00485272">
      <w:pPr>
        <w:pStyle w:val="NoSpacing"/>
        <w:ind w:left="1985"/>
        <w:contextualSpacing/>
        <w:jc w:val="both"/>
        <w:rPr>
          <w:rFonts w:ascii="Arial" w:hAnsi="Arial" w:cs="Arial"/>
        </w:rPr>
      </w:pPr>
      <w:r w:rsidRPr="00485272">
        <w:rPr>
          <w:rFonts w:ascii="Arial" w:hAnsi="Arial" w:cs="Arial"/>
        </w:rPr>
        <w:tab/>
      </w:r>
      <w:r w:rsidRPr="00485272">
        <w:rPr>
          <w:rFonts w:ascii="Arial" w:hAnsi="Arial" w:cs="Arial"/>
        </w:rPr>
        <w:tab/>
      </w:r>
    </w:p>
    <w:p w14:paraId="6617BDA7" w14:textId="77777777" w:rsidR="004E07CA" w:rsidRPr="00485272" w:rsidRDefault="004E07CA" w:rsidP="00BB0337">
      <w:pPr>
        <w:spacing w:after="0" w:line="240" w:lineRule="auto"/>
        <w:ind w:left="1728" w:right="432"/>
        <w:contextualSpacing/>
        <w:jc w:val="both"/>
        <w:rPr>
          <w:rFonts w:ascii="Arial" w:hAnsi="Arial" w:cs="Arial"/>
          <w:i/>
        </w:rPr>
      </w:pPr>
      <w:r w:rsidRPr="00485272">
        <w:rPr>
          <w:rFonts w:ascii="Arial" w:hAnsi="Arial" w:cs="Arial"/>
          <w:i/>
        </w:rPr>
        <w:t>Xxx</w:t>
      </w:r>
    </w:p>
    <w:p w14:paraId="37D3950D" w14:textId="77777777" w:rsidR="004E07CA" w:rsidRPr="00485272" w:rsidRDefault="004E07CA" w:rsidP="00485272">
      <w:pPr>
        <w:pStyle w:val="NoSpacing"/>
        <w:ind w:left="1985"/>
        <w:contextualSpacing/>
        <w:jc w:val="both"/>
        <w:rPr>
          <w:rFonts w:ascii="Arial" w:hAnsi="Arial" w:cs="Arial"/>
          <w:i/>
        </w:rPr>
      </w:pPr>
    </w:p>
    <w:p w14:paraId="4B09D4FC" w14:textId="77777777" w:rsidR="004E07CA" w:rsidRPr="00485272" w:rsidRDefault="004E07CA" w:rsidP="00BB0337">
      <w:pPr>
        <w:spacing w:after="0" w:line="240" w:lineRule="auto"/>
        <w:ind w:left="1728" w:right="432"/>
        <w:contextualSpacing/>
        <w:jc w:val="both"/>
        <w:rPr>
          <w:rFonts w:ascii="Arial" w:hAnsi="Arial" w:cs="Arial"/>
          <w:i/>
        </w:rPr>
      </w:pPr>
      <w:r w:rsidRPr="00485272">
        <w:rPr>
          <w:rFonts w:ascii="Arial" w:hAnsi="Arial" w:cs="Arial"/>
          <w:i/>
        </w:rPr>
        <w:t>at each reporting date, an entity shall measure the loss allowance for a financial instrument at an amount equal to the lifetime expected credit losses if the credit risk on that financial instrument has increased significantly since initial recognition.</w:t>
      </w:r>
    </w:p>
    <w:p w14:paraId="533CA967" w14:textId="77777777" w:rsidR="004E07CA" w:rsidRPr="00485272" w:rsidRDefault="004E07CA" w:rsidP="00485272">
      <w:pPr>
        <w:pStyle w:val="NoSpacing"/>
        <w:ind w:left="1440" w:right="746"/>
        <w:contextualSpacing/>
        <w:jc w:val="both"/>
        <w:rPr>
          <w:rFonts w:ascii="Arial" w:hAnsi="Arial" w:cs="Arial"/>
          <w:i/>
        </w:rPr>
      </w:pPr>
    </w:p>
    <w:p w14:paraId="593BB6CC" w14:textId="6FB602EB" w:rsidR="004E07CA" w:rsidRPr="00485272" w:rsidRDefault="004E07CA"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eastAsia="MS Mincho" w:hAnsi="Arial" w:cs="Arial"/>
          <w:sz w:val="22"/>
          <w:szCs w:val="22"/>
        </w:rPr>
        <w:t>Moreover</w:t>
      </w:r>
      <w:r w:rsidRPr="00485272">
        <w:rPr>
          <w:rFonts w:ascii="Arial" w:hAnsi="Arial" w:cs="Arial"/>
          <w:sz w:val="22"/>
          <w:szCs w:val="22"/>
        </w:rPr>
        <w:t xml:space="preserve">, </w:t>
      </w:r>
      <w:r w:rsidR="00A7291F" w:rsidRPr="00485272">
        <w:rPr>
          <w:rFonts w:ascii="Arial" w:hAnsi="Arial" w:cs="Arial"/>
          <w:sz w:val="22"/>
          <w:szCs w:val="22"/>
        </w:rPr>
        <w:t>P</w:t>
      </w:r>
      <w:r w:rsidRPr="00485272">
        <w:rPr>
          <w:rFonts w:ascii="Arial" w:hAnsi="Arial" w:cs="Arial"/>
          <w:sz w:val="22"/>
          <w:szCs w:val="22"/>
        </w:rPr>
        <w:t>aragraph 5.5.9 of PFRS 9 states that:</w:t>
      </w:r>
    </w:p>
    <w:p w14:paraId="62E09CE7" w14:textId="77777777" w:rsidR="004E07CA" w:rsidRPr="00485272" w:rsidRDefault="004E07CA" w:rsidP="00485272">
      <w:pPr>
        <w:pStyle w:val="NoSpacing"/>
        <w:contextualSpacing/>
        <w:jc w:val="both"/>
        <w:rPr>
          <w:rFonts w:ascii="Arial" w:hAnsi="Arial" w:cs="Arial"/>
        </w:rPr>
      </w:pPr>
      <w:r w:rsidRPr="00485272">
        <w:rPr>
          <w:rFonts w:ascii="Arial" w:hAnsi="Arial" w:cs="Arial"/>
        </w:rPr>
        <w:tab/>
      </w:r>
    </w:p>
    <w:p w14:paraId="5DF0403A" w14:textId="7A9D6437" w:rsidR="004E07CA" w:rsidRPr="00485272" w:rsidRDefault="004E07CA" w:rsidP="00BB0337">
      <w:pPr>
        <w:spacing w:after="0" w:line="240" w:lineRule="auto"/>
        <w:ind w:left="1728" w:right="432"/>
        <w:contextualSpacing/>
        <w:jc w:val="both"/>
        <w:rPr>
          <w:rFonts w:ascii="Arial" w:hAnsi="Arial" w:cs="Arial"/>
        </w:rPr>
      </w:pPr>
      <w:r w:rsidRPr="00BB0337">
        <w:rPr>
          <w:rFonts w:ascii="Arial" w:hAnsi="Arial" w:cs="Arial"/>
          <w:b/>
          <w:i/>
        </w:rPr>
        <w:t>At each reporting date, an entity shall assess whether the credit risk on a financial instrument has increased significantly since initial recognition.</w:t>
      </w:r>
      <w:r w:rsidRPr="00485272">
        <w:rPr>
          <w:rFonts w:ascii="Arial" w:hAnsi="Arial" w:cs="Arial"/>
          <w:i/>
        </w:rPr>
        <w:t xml:space="preserve"> When making the assessment, an entity shall use the change in the </w:t>
      </w:r>
      <w:r w:rsidRPr="00BB0337">
        <w:rPr>
          <w:rFonts w:ascii="Arial" w:hAnsi="Arial" w:cs="Arial"/>
          <w:b/>
          <w:i/>
        </w:rPr>
        <w:t>risk of a default</w:t>
      </w:r>
      <w:r w:rsidRPr="00485272">
        <w:rPr>
          <w:rFonts w:ascii="Arial" w:hAnsi="Arial" w:cs="Arial"/>
          <w:i/>
        </w:rPr>
        <w:t xml:space="preserve"> occurring over the expected life of the financial instrument instead of the change in the amount of expected credit losses. To make that assessment, an entity shall compare the risk of a default occurring on the financial instrument as at the reporting date with the risk of a default occurring on the financial instrument as at the date of initial recognition and consider reasonable and supportable information, that is available without undue cost or effort, that is indicative of significant increases in credit risk since initial recognition. </w:t>
      </w:r>
      <w:r w:rsidRPr="00485272">
        <w:rPr>
          <w:rFonts w:ascii="Arial" w:hAnsi="Arial" w:cs="Arial"/>
        </w:rPr>
        <w:t>(</w:t>
      </w:r>
      <w:r w:rsidR="004220F9" w:rsidRPr="00485272">
        <w:rPr>
          <w:rFonts w:ascii="Arial" w:hAnsi="Arial" w:cs="Arial"/>
        </w:rPr>
        <w:t>Emphasis supplied</w:t>
      </w:r>
      <w:r w:rsidRPr="00485272">
        <w:rPr>
          <w:rFonts w:ascii="Arial" w:hAnsi="Arial" w:cs="Arial"/>
        </w:rPr>
        <w:t>)</w:t>
      </w:r>
    </w:p>
    <w:p w14:paraId="64DCEA01" w14:textId="77777777" w:rsidR="004E07CA" w:rsidRPr="00485272" w:rsidRDefault="004E07CA" w:rsidP="00485272">
      <w:pPr>
        <w:pStyle w:val="NoSpacing"/>
        <w:ind w:left="1440" w:right="746"/>
        <w:contextualSpacing/>
        <w:jc w:val="both"/>
        <w:rPr>
          <w:rFonts w:ascii="Arial" w:hAnsi="Arial" w:cs="Arial"/>
          <w:i/>
        </w:rPr>
      </w:pPr>
    </w:p>
    <w:p w14:paraId="0A0A08A6" w14:textId="031A98DB" w:rsidR="004E07CA" w:rsidRPr="00485272" w:rsidRDefault="004E07CA" w:rsidP="00485272">
      <w:pPr>
        <w:pStyle w:val="NormalWeb"/>
        <w:numPr>
          <w:ilvl w:val="1"/>
          <w:numId w:val="3"/>
        </w:numPr>
        <w:spacing w:before="0" w:beforeAutospacing="0" w:after="0" w:afterAutospacing="0"/>
        <w:ind w:left="1267" w:hanging="691"/>
        <w:jc w:val="both"/>
        <w:rPr>
          <w:rFonts w:ascii="Arial" w:hAnsi="Arial" w:cs="Arial"/>
          <w:sz w:val="22"/>
          <w:szCs w:val="22"/>
          <w:lang w:val="en-PH" w:eastAsia="en-PH"/>
        </w:rPr>
      </w:pPr>
      <w:r w:rsidRPr="00485272">
        <w:rPr>
          <w:rFonts w:ascii="Arial" w:hAnsi="Arial" w:cs="Arial"/>
          <w:sz w:val="22"/>
          <w:szCs w:val="22"/>
        </w:rPr>
        <w:t xml:space="preserve">Note 3.5 to the </w:t>
      </w:r>
      <w:r w:rsidR="004F0733" w:rsidRPr="00485272">
        <w:rPr>
          <w:rFonts w:ascii="Arial" w:hAnsi="Arial" w:cs="Arial"/>
          <w:sz w:val="22"/>
          <w:szCs w:val="22"/>
        </w:rPr>
        <w:t>FS</w:t>
      </w:r>
      <w:r w:rsidRPr="00485272">
        <w:rPr>
          <w:rFonts w:ascii="Arial" w:hAnsi="Arial" w:cs="Arial"/>
          <w:sz w:val="22"/>
          <w:szCs w:val="22"/>
        </w:rPr>
        <w:t xml:space="preserve"> on the accounting policy for </w:t>
      </w:r>
      <w:r w:rsidRPr="00485272">
        <w:rPr>
          <w:rFonts w:ascii="Arial" w:hAnsi="Arial" w:cs="Arial"/>
          <w:sz w:val="22"/>
          <w:szCs w:val="22"/>
          <w:lang w:val="en-PH" w:eastAsia="en-PH"/>
        </w:rPr>
        <w:t>Impairment of Financial Assets</w:t>
      </w:r>
      <w:r w:rsidRPr="00485272">
        <w:rPr>
          <w:rFonts w:ascii="Arial" w:hAnsi="Arial" w:cs="Arial"/>
          <w:sz w:val="22"/>
          <w:szCs w:val="22"/>
        </w:rPr>
        <w:t xml:space="preserve"> disclosed that </w:t>
      </w:r>
      <w:r w:rsidRPr="00485272">
        <w:rPr>
          <w:rFonts w:ascii="Arial" w:hAnsi="Arial" w:cs="Arial"/>
          <w:sz w:val="22"/>
          <w:szCs w:val="22"/>
          <w:lang w:val="en-PH" w:eastAsia="en-PH"/>
        </w:rPr>
        <w:t>AFPRSBS adopts the expected credit loss (ECL) model in measuring credit impairment in accordance with PFRS 9.  In this respect, it shall recognize credit impairment/allowance for credit losses even before an objective evidence of impairment becomes apparent and the amount of the loss shall be recognized in profit or loss.</w:t>
      </w:r>
      <w:r w:rsidRPr="00485272">
        <w:rPr>
          <w:rFonts w:ascii="Arial" w:hAnsi="Arial" w:cs="Arial"/>
          <w:sz w:val="22"/>
          <w:szCs w:val="22"/>
        </w:rPr>
        <w:t xml:space="preserve"> </w:t>
      </w:r>
    </w:p>
    <w:p w14:paraId="3DFA8B71" w14:textId="77777777" w:rsidR="004E07CA" w:rsidRPr="00485272" w:rsidRDefault="004E07CA" w:rsidP="00485272">
      <w:pPr>
        <w:pStyle w:val="ListParagraph"/>
        <w:ind w:left="1620"/>
        <w:contextualSpacing/>
        <w:jc w:val="both"/>
        <w:rPr>
          <w:rFonts w:ascii="Arial" w:hAnsi="Arial" w:cs="Arial"/>
          <w:sz w:val="22"/>
          <w:szCs w:val="22"/>
          <w:lang w:val="en-PH" w:eastAsia="en-PH"/>
        </w:rPr>
      </w:pPr>
    </w:p>
    <w:p w14:paraId="4FC43E4C" w14:textId="37E48322" w:rsidR="004E07CA" w:rsidRPr="00BB0337" w:rsidRDefault="004E07CA" w:rsidP="00485272">
      <w:pPr>
        <w:pStyle w:val="NormalWeb"/>
        <w:numPr>
          <w:ilvl w:val="1"/>
          <w:numId w:val="3"/>
        </w:numPr>
        <w:spacing w:before="0" w:beforeAutospacing="0" w:after="0" w:afterAutospacing="0"/>
        <w:ind w:left="1267" w:hanging="691"/>
        <w:jc w:val="both"/>
        <w:rPr>
          <w:rFonts w:ascii="Arial" w:hAnsi="Arial" w:cs="Arial"/>
          <w:sz w:val="22"/>
          <w:szCs w:val="22"/>
        </w:rPr>
      </w:pPr>
      <w:r w:rsidRPr="00BB0337">
        <w:rPr>
          <w:rFonts w:ascii="Arial" w:hAnsi="Arial" w:cs="Arial"/>
          <w:sz w:val="22"/>
          <w:szCs w:val="22"/>
        </w:rPr>
        <w:t xml:space="preserve">Our audit, however, revealed that for the various reported outstanding receivables and investments in fixed income securities in CY 2022, only the Accounts receivables (AR)-Trade, AR-Others, Loans receivables and ICR were provided with allowance for impairment </w:t>
      </w:r>
      <w:r w:rsidR="00E4192B" w:rsidRPr="00BB0337">
        <w:rPr>
          <w:rFonts w:ascii="Arial" w:hAnsi="Arial" w:cs="Arial"/>
          <w:sz w:val="22"/>
          <w:szCs w:val="22"/>
        </w:rPr>
        <w:t>as shown in Table 3</w:t>
      </w:r>
      <w:r w:rsidRPr="00BB0337">
        <w:rPr>
          <w:rFonts w:ascii="Arial" w:hAnsi="Arial" w:cs="Arial"/>
          <w:sz w:val="22"/>
          <w:szCs w:val="22"/>
        </w:rPr>
        <w:t>.1. These provisions were based on a method other than that required under PFRS 9 contrary to the accounting policy disclosed in Note 3.5.</w:t>
      </w:r>
    </w:p>
    <w:p w14:paraId="3696D80E" w14:textId="1B1AF53D" w:rsidR="004E07CA" w:rsidRPr="00485272" w:rsidRDefault="004E07CA" w:rsidP="00485272">
      <w:pPr>
        <w:pStyle w:val="ListParagraph"/>
        <w:ind w:left="1620"/>
        <w:contextualSpacing/>
        <w:jc w:val="both"/>
        <w:rPr>
          <w:rFonts w:ascii="Arial" w:hAnsi="Arial" w:cs="Arial"/>
          <w:sz w:val="22"/>
          <w:szCs w:val="22"/>
        </w:rPr>
      </w:pPr>
    </w:p>
    <w:p w14:paraId="743EE479" w14:textId="4E5D3EC4" w:rsidR="008B3AA9" w:rsidRDefault="008B3AA9" w:rsidP="00485272">
      <w:pPr>
        <w:pStyle w:val="ListParagraph"/>
        <w:ind w:left="1620"/>
        <w:contextualSpacing/>
        <w:jc w:val="both"/>
        <w:rPr>
          <w:rFonts w:ascii="Arial" w:hAnsi="Arial" w:cs="Arial"/>
          <w:sz w:val="22"/>
          <w:szCs w:val="22"/>
        </w:rPr>
      </w:pPr>
    </w:p>
    <w:p w14:paraId="6A3DB9CB" w14:textId="77777777" w:rsidR="00AC35C9" w:rsidRPr="00485272" w:rsidRDefault="00AC35C9" w:rsidP="00485272">
      <w:pPr>
        <w:pStyle w:val="ListParagraph"/>
        <w:ind w:left="1620"/>
        <w:contextualSpacing/>
        <w:jc w:val="both"/>
        <w:rPr>
          <w:rFonts w:ascii="Arial" w:hAnsi="Arial" w:cs="Arial"/>
          <w:sz w:val="22"/>
          <w:szCs w:val="22"/>
        </w:rPr>
      </w:pPr>
    </w:p>
    <w:p w14:paraId="53EB60E2" w14:textId="24E121B1" w:rsidR="004E07CA" w:rsidRPr="00485272" w:rsidRDefault="004E07CA" w:rsidP="00485272">
      <w:pPr>
        <w:pStyle w:val="ListParagraph"/>
        <w:ind w:left="900"/>
        <w:contextualSpacing/>
        <w:jc w:val="center"/>
        <w:rPr>
          <w:rFonts w:ascii="Arial" w:hAnsi="Arial" w:cs="Arial"/>
          <w:b/>
          <w:sz w:val="22"/>
          <w:szCs w:val="22"/>
        </w:rPr>
      </w:pPr>
      <w:r w:rsidRPr="00485272">
        <w:rPr>
          <w:rFonts w:ascii="Arial" w:hAnsi="Arial" w:cs="Arial"/>
          <w:b/>
          <w:sz w:val="22"/>
          <w:szCs w:val="22"/>
        </w:rPr>
        <w:lastRenderedPageBreak/>
        <w:t xml:space="preserve">Table </w:t>
      </w:r>
      <w:r w:rsidR="00E4192B" w:rsidRPr="00485272">
        <w:rPr>
          <w:rFonts w:ascii="Arial" w:hAnsi="Arial" w:cs="Arial"/>
          <w:b/>
          <w:sz w:val="22"/>
          <w:szCs w:val="22"/>
        </w:rPr>
        <w:t>3</w:t>
      </w:r>
      <w:r w:rsidRPr="00485272">
        <w:rPr>
          <w:rFonts w:ascii="Arial" w:hAnsi="Arial" w:cs="Arial"/>
          <w:b/>
          <w:sz w:val="22"/>
          <w:szCs w:val="22"/>
        </w:rPr>
        <w:t xml:space="preserve">.1 AFPRSBS’ Various Receivables and Fixed Income Securities </w:t>
      </w:r>
    </w:p>
    <w:p w14:paraId="07F0A91A" w14:textId="77777777" w:rsidR="004E07CA" w:rsidRPr="00485272" w:rsidRDefault="004E07CA" w:rsidP="00485272">
      <w:pPr>
        <w:pStyle w:val="ListParagraph"/>
        <w:ind w:left="900"/>
        <w:contextualSpacing/>
        <w:jc w:val="center"/>
        <w:rPr>
          <w:rFonts w:ascii="Arial" w:hAnsi="Arial" w:cs="Arial"/>
          <w:b/>
          <w:sz w:val="22"/>
          <w:szCs w:val="22"/>
        </w:rPr>
      </w:pPr>
      <w:r w:rsidRPr="00485272">
        <w:rPr>
          <w:rFonts w:ascii="Arial" w:hAnsi="Arial" w:cs="Arial"/>
          <w:b/>
          <w:sz w:val="22"/>
          <w:szCs w:val="22"/>
        </w:rPr>
        <w:t>As at December 31, 2022</w:t>
      </w:r>
    </w:p>
    <w:p w14:paraId="36940C9C" w14:textId="77777777" w:rsidR="004E07CA" w:rsidRPr="00485272" w:rsidRDefault="004E07CA" w:rsidP="00485272">
      <w:pPr>
        <w:pStyle w:val="ListParagraph"/>
        <w:ind w:left="1620"/>
        <w:contextualSpacing/>
        <w:jc w:val="both"/>
        <w:rPr>
          <w:rFonts w:ascii="Arial" w:hAnsi="Arial" w:cs="Arial"/>
          <w:sz w:val="22"/>
          <w:szCs w:val="22"/>
        </w:rPr>
      </w:pPr>
    </w:p>
    <w:tbl>
      <w:tblPr>
        <w:tblW w:w="7826" w:type="dxa"/>
        <w:tblInd w:w="900" w:type="dxa"/>
        <w:tblLayout w:type="fixed"/>
        <w:tblLook w:val="04A0" w:firstRow="1" w:lastRow="0" w:firstColumn="1" w:lastColumn="0" w:noHBand="0" w:noVBand="1"/>
      </w:tblPr>
      <w:tblGrid>
        <w:gridCol w:w="2786"/>
        <w:gridCol w:w="1620"/>
        <w:gridCol w:w="1800"/>
        <w:gridCol w:w="1620"/>
      </w:tblGrid>
      <w:tr w:rsidR="00EB4830" w:rsidRPr="00D90F0C" w14:paraId="6562F8F3" w14:textId="77777777" w:rsidTr="00304836">
        <w:trPr>
          <w:trHeight w:val="20"/>
        </w:trPr>
        <w:tc>
          <w:tcPr>
            <w:tcW w:w="2786" w:type="dxa"/>
            <w:tcBorders>
              <w:top w:val="single" w:sz="4" w:space="0" w:color="auto"/>
              <w:left w:val="nil"/>
              <w:bottom w:val="single" w:sz="4" w:space="0" w:color="auto"/>
              <w:right w:val="nil"/>
            </w:tcBorders>
            <w:shd w:val="clear" w:color="auto" w:fill="auto"/>
            <w:noWrap/>
            <w:vAlign w:val="center"/>
            <w:hideMark/>
          </w:tcPr>
          <w:p w14:paraId="68B47F0E" w14:textId="21749D6E" w:rsidR="00EB4830" w:rsidRPr="00D90F0C" w:rsidRDefault="00626CFF" w:rsidP="00EB4830">
            <w:pPr>
              <w:spacing w:after="0" w:line="240" w:lineRule="auto"/>
              <w:ind w:left="-105"/>
              <w:contextualSpacing/>
              <w:jc w:val="center"/>
              <w:rPr>
                <w:rFonts w:ascii="Arial" w:eastAsia="Times New Roman" w:hAnsi="Arial" w:cs="Arial"/>
                <w:b/>
                <w:bCs/>
                <w:color w:val="000000"/>
                <w:sz w:val="20"/>
                <w:szCs w:val="20"/>
                <w:lang w:val="en-PH" w:eastAsia="en-PH"/>
              </w:rPr>
            </w:pPr>
            <w:r w:rsidRPr="00D90F0C">
              <w:rPr>
                <w:rFonts w:ascii="Arial" w:eastAsia="Times New Roman" w:hAnsi="Arial" w:cs="Arial"/>
                <w:b/>
                <w:bCs/>
                <w:color w:val="000000"/>
                <w:sz w:val="20"/>
                <w:szCs w:val="20"/>
                <w:lang w:val="en-PH" w:eastAsia="en-PH"/>
              </w:rPr>
              <w:t>Account</w:t>
            </w:r>
          </w:p>
        </w:tc>
        <w:tc>
          <w:tcPr>
            <w:tcW w:w="1620" w:type="dxa"/>
            <w:tcBorders>
              <w:top w:val="single" w:sz="4" w:space="0" w:color="auto"/>
              <w:left w:val="nil"/>
              <w:bottom w:val="single" w:sz="4" w:space="0" w:color="auto"/>
              <w:right w:val="nil"/>
            </w:tcBorders>
            <w:vAlign w:val="center"/>
          </w:tcPr>
          <w:p w14:paraId="665312B3" w14:textId="4B437A2D" w:rsidR="00EB4830" w:rsidRDefault="00626CFF" w:rsidP="00EB4830">
            <w:pPr>
              <w:spacing w:after="0" w:line="240" w:lineRule="auto"/>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Amount</w:t>
            </w:r>
          </w:p>
        </w:tc>
        <w:tc>
          <w:tcPr>
            <w:tcW w:w="1800" w:type="dxa"/>
            <w:tcBorders>
              <w:top w:val="single" w:sz="4" w:space="0" w:color="auto"/>
              <w:left w:val="nil"/>
              <w:bottom w:val="single" w:sz="4" w:space="0" w:color="auto"/>
              <w:right w:val="nil"/>
            </w:tcBorders>
            <w:vAlign w:val="center"/>
          </w:tcPr>
          <w:p w14:paraId="20FEEC73" w14:textId="6C7C276E" w:rsidR="00EB4830" w:rsidRPr="00B46E5B" w:rsidRDefault="00626CFF">
            <w:pPr>
              <w:spacing w:after="0" w:line="240" w:lineRule="auto"/>
              <w:ind w:left="-144" w:right="-144"/>
              <w:contextualSpacing/>
              <w:jc w:val="center"/>
              <w:rPr>
                <w:rFonts w:ascii="Arial" w:eastAsia="Times New Roman" w:hAnsi="Arial" w:cs="Arial"/>
                <w:b/>
                <w:bCs/>
                <w:color w:val="000000"/>
                <w:sz w:val="20"/>
                <w:szCs w:val="20"/>
                <w:lang w:val="en-PH" w:eastAsia="en-PH"/>
              </w:rPr>
            </w:pPr>
            <w:r w:rsidRPr="00B46E5B">
              <w:rPr>
                <w:rFonts w:ascii="Arial" w:eastAsia="Times New Roman" w:hAnsi="Arial" w:cs="Arial"/>
                <w:b/>
                <w:color w:val="000000"/>
                <w:sz w:val="20"/>
                <w:szCs w:val="20"/>
                <w:lang w:val="en-PH" w:eastAsia="en-PH"/>
              </w:rPr>
              <w:t xml:space="preserve">Allowance </w:t>
            </w:r>
            <w:r w:rsidR="000E5516">
              <w:rPr>
                <w:rFonts w:ascii="Arial" w:eastAsia="Times New Roman" w:hAnsi="Arial" w:cs="Arial"/>
                <w:b/>
                <w:color w:val="000000"/>
                <w:sz w:val="20"/>
                <w:szCs w:val="20"/>
                <w:lang w:val="en-PH" w:eastAsia="en-PH"/>
              </w:rPr>
              <w:t>f</w:t>
            </w:r>
            <w:r w:rsidRPr="00B46E5B">
              <w:rPr>
                <w:rFonts w:ascii="Arial" w:eastAsia="Times New Roman" w:hAnsi="Arial" w:cs="Arial"/>
                <w:b/>
                <w:color w:val="000000"/>
                <w:sz w:val="20"/>
                <w:szCs w:val="20"/>
                <w:lang w:val="en-PH" w:eastAsia="en-PH"/>
              </w:rPr>
              <w:t xml:space="preserve">or </w:t>
            </w:r>
            <w:r w:rsidR="000F63F3">
              <w:rPr>
                <w:rFonts w:ascii="Arial" w:eastAsia="Times New Roman" w:hAnsi="Arial" w:cs="Arial"/>
                <w:b/>
                <w:color w:val="000000"/>
                <w:sz w:val="20"/>
                <w:szCs w:val="20"/>
                <w:lang w:val="en-PH" w:eastAsia="en-PH"/>
              </w:rPr>
              <w:t>d</w:t>
            </w:r>
            <w:r w:rsidRPr="00B46E5B">
              <w:rPr>
                <w:rFonts w:ascii="Arial" w:eastAsia="Times New Roman" w:hAnsi="Arial" w:cs="Arial"/>
                <w:b/>
                <w:color w:val="000000"/>
                <w:sz w:val="20"/>
                <w:szCs w:val="20"/>
                <w:lang w:val="en-PH" w:eastAsia="en-PH"/>
              </w:rPr>
              <w:t xml:space="preserve">oubtful </w:t>
            </w:r>
            <w:r w:rsidR="000F63F3">
              <w:rPr>
                <w:rFonts w:ascii="Arial" w:eastAsia="Times New Roman" w:hAnsi="Arial" w:cs="Arial"/>
                <w:b/>
                <w:color w:val="000000"/>
                <w:sz w:val="20"/>
                <w:szCs w:val="20"/>
                <w:lang w:val="en-PH" w:eastAsia="en-PH"/>
              </w:rPr>
              <w:t>a</w:t>
            </w:r>
            <w:r w:rsidRPr="00B46E5B">
              <w:rPr>
                <w:rFonts w:ascii="Arial" w:eastAsia="Times New Roman" w:hAnsi="Arial" w:cs="Arial"/>
                <w:b/>
                <w:color w:val="000000"/>
                <w:sz w:val="20"/>
                <w:szCs w:val="20"/>
                <w:lang w:val="en-PH" w:eastAsia="en-PH"/>
              </w:rPr>
              <w:t>ccounts</w:t>
            </w:r>
          </w:p>
        </w:tc>
        <w:tc>
          <w:tcPr>
            <w:tcW w:w="1620" w:type="dxa"/>
            <w:tcBorders>
              <w:top w:val="single" w:sz="4" w:space="0" w:color="auto"/>
              <w:left w:val="nil"/>
              <w:bottom w:val="single" w:sz="4" w:space="0" w:color="auto"/>
              <w:right w:val="nil"/>
            </w:tcBorders>
            <w:shd w:val="clear" w:color="auto" w:fill="auto"/>
            <w:noWrap/>
            <w:vAlign w:val="center"/>
            <w:hideMark/>
          </w:tcPr>
          <w:p w14:paraId="6F7B39BD" w14:textId="0C003412" w:rsidR="00EB4830" w:rsidRPr="00D90F0C" w:rsidRDefault="00626CFF" w:rsidP="00EB4830">
            <w:pPr>
              <w:spacing w:after="0" w:line="240" w:lineRule="auto"/>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Balance</w:t>
            </w:r>
          </w:p>
        </w:tc>
      </w:tr>
      <w:tr w:rsidR="00EB4830" w:rsidRPr="00D90F0C" w14:paraId="7615B290" w14:textId="77777777" w:rsidTr="00304836">
        <w:trPr>
          <w:trHeight w:val="20"/>
        </w:trPr>
        <w:tc>
          <w:tcPr>
            <w:tcW w:w="2786" w:type="dxa"/>
            <w:tcBorders>
              <w:top w:val="nil"/>
              <w:left w:val="nil"/>
              <w:right w:val="nil"/>
            </w:tcBorders>
            <w:shd w:val="clear" w:color="auto" w:fill="auto"/>
            <w:noWrap/>
            <w:vAlign w:val="bottom"/>
          </w:tcPr>
          <w:p w14:paraId="20F574B2" w14:textId="77777777" w:rsidR="00EB4830" w:rsidRPr="006827AC" w:rsidRDefault="00EB4830" w:rsidP="00E4192B">
            <w:pPr>
              <w:spacing w:after="0" w:line="240" w:lineRule="auto"/>
              <w:contextualSpacing/>
              <w:rPr>
                <w:rFonts w:ascii="Arial" w:eastAsia="Times New Roman" w:hAnsi="Arial" w:cs="Arial"/>
                <w:b/>
                <w:sz w:val="20"/>
                <w:szCs w:val="20"/>
                <w:lang w:val="en-PH" w:eastAsia="en-PH"/>
              </w:rPr>
            </w:pPr>
            <w:r w:rsidRPr="006827AC">
              <w:rPr>
                <w:rFonts w:ascii="Arial" w:eastAsia="Times New Roman" w:hAnsi="Arial" w:cs="Arial"/>
                <w:b/>
                <w:sz w:val="20"/>
                <w:szCs w:val="20"/>
                <w:lang w:val="en-PH" w:eastAsia="en-PH"/>
              </w:rPr>
              <w:t>Receivables:</w:t>
            </w:r>
          </w:p>
        </w:tc>
        <w:tc>
          <w:tcPr>
            <w:tcW w:w="1620" w:type="dxa"/>
            <w:tcBorders>
              <w:top w:val="nil"/>
              <w:left w:val="nil"/>
              <w:right w:val="nil"/>
            </w:tcBorders>
            <w:vAlign w:val="bottom"/>
          </w:tcPr>
          <w:p w14:paraId="76AB286B" w14:textId="77777777"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p>
        </w:tc>
        <w:tc>
          <w:tcPr>
            <w:tcW w:w="1800" w:type="dxa"/>
            <w:tcBorders>
              <w:top w:val="nil"/>
              <w:left w:val="nil"/>
              <w:right w:val="nil"/>
            </w:tcBorders>
            <w:vAlign w:val="bottom"/>
          </w:tcPr>
          <w:p w14:paraId="19E74ADA" w14:textId="77777777"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p>
        </w:tc>
        <w:tc>
          <w:tcPr>
            <w:tcW w:w="1620" w:type="dxa"/>
            <w:tcBorders>
              <w:top w:val="nil"/>
              <w:left w:val="nil"/>
              <w:right w:val="nil"/>
            </w:tcBorders>
            <w:shd w:val="clear" w:color="auto" w:fill="auto"/>
            <w:noWrap/>
            <w:vAlign w:val="bottom"/>
          </w:tcPr>
          <w:p w14:paraId="038A9228" w14:textId="6EC1BFC8"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p>
        </w:tc>
      </w:tr>
      <w:tr w:rsidR="00EB4830" w:rsidRPr="00D90F0C" w14:paraId="0D91FE18" w14:textId="77777777" w:rsidTr="00304836">
        <w:trPr>
          <w:trHeight w:val="20"/>
        </w:trPr>
        <w:tc>
          <w:tcPr>
            <w:tcW w:w="2786" w:type="dxa"/>
            <w:tcBorders>
              <w:top w:val="nil"/>
              <w:left w:val="nil"/>
              <w:right w:val="nil"/>
            </w:tcBorders>
            <w:shd w:val="clear" w:color="auto" w:fill="auto"/>
            <w:noWrap/>
            <w:vAlign w:val="bottom"/>
            <w:hideMark/>
          </w:tcPr>
          <w:p w14:paraId="39703AB2" w14:textId="77777777" w:rsidR="00EB4830" w:rsidRPr="00D90F0C" w:rsidRDefault="00EB4830" w:rsidP="000E5516">
            <w:pPr>
              <w:spacing w:after="0" w:line="240" w:lineRule="auto"/>
              <w:ind w:left="144"/>
              <w:contextualSpacing/>
              <w:rPr>
                <w:rFonts w:ascii="Arial" w:eastAsia="Times New Roman" w:hAnsi="Arial" w:cs="Arial"/>
                <w:sz w:val="20"/>
                <w:szCs w:val="20"/>
                <w:lang w:val="en-PH" w:eastAsia="en-PH"/>
              </w:rPr>
            </w:pPr>
            <w:r w:rsidRPr="00D90F0C">
              <w:rPr>
                <w:rFonts w:ascii="Arial" w:eastAsia="Times New Roman" w:hAnsi="Arial" w:cs="Arial"/>
                <w:sz w:val="20"/>
                <w:szCs w:val="20"/>
                <w:lang w:val="en-PH" w:eastAsia="en-PH"/>
              </w:rPr>
              <w:t>AR, Trade</w:t>
            </w:r>
          </w:p>
        </w:tc>
        <w:tc>
          <w:tcPr>
            <w:tcW w:w="1620" w:type="dxa"/>
            <w:tcBorders>
              <w:top w:val="nil"/>
              <w:left w:val="nil"/>
              <w:right w:val="nil"/>
            </w:tcBorders>
            <w:vAlign w:val="bottom"/>
          </w:tcPr>
          <w:p w14:paraId="257790AB" w14:textId="0ED857D8" w:rsidR="00EB4830" w:rsidRPr="00D90F0C" w:rsidRDefault="00EB4830" w:rsidP="000E5516">
            <w:pPr>
              <w:spacing w:after="0" w:line="240" w:lineRule="auto"/>
              <w:ind w:left="-144"/>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 xml:space="preserve">P    </w:t>
            </w:r>
            <w:r w:rsidRPr="00D90F0C">
              <w:rPr>
                <w:rFonts w:ascii="Arial" w:eastAsia="Times New Roman" w:hAnsi="Arial" w:cs="Arial"/>
                <w:color w:val="000000"/>
                <w:sz w:val="20"/>
                <w:szCs w:val="20"/>
                <w:lang w:val="en-PH" w:eastAsia="en-PH"/>
              </w:rPr>
              <w:t xml:space="preserve">239,592,273 </w:t>
            </w:r>
          </w:p>
        </w:tc>
        <w:tc>
          <w:tcPr>
            <w:tcW w:w="1800" w:type="dxa"/>
            <w:tcBorders>
              <w:top w:val="nil"/>
              <w:left w:val="nil"/>
              <w:right w:val="nil"/>
            </w:tcBorders>
            <w:vAlign w:val="bottom"/>
          </w:tcPr>
          <w:p w14:paraId="0801336E" w14:textId="7C4BE6DA" w:rsidR="00EB4830" w:rsidRPr="00D90F0C" w:rsidRDefault="00EB4830" w:rsidP="000E5516">
            <w:pPr>
              <w:spacing w:after="0" w:line="240" w:lineRule="auto"/>
              <w:ind w:left="-144"/>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P      5,130,003</w:t>
            </w:r>
          </w:p>
        </w:tc>
        <w:tc>
          <w:tcPr>
            <w:tcW w:w="1620" w:type="dxa"/>
            <w:tcBorders>
              <w:top w:val="nil"/>
              <w:left w:val="nil"/>
              <w:right w:val="nil"/>
            </w:tcBorders>
            <w:shd w:val="clear" w:color="auto" w:fill="auto"/>
            <w:noWrap/>
            <w:vAlign w:val="bottom"/>
          </w:tcPr>
          <w:p w14:paraId="21888639" w14:textId="31E4D2EE" w:rsidR="00EB4830" w:rsidRPr="00D90F0C" w:rsidRDefault="00EB4830" w:rsidP="000E5516">
            <w:pPr>
              <w:spacing w:after="0" w:line="240" w:lineRule="auto"/>
              <w:ind w:left="-144"/>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 xml:space="preserve">P </w:t>
            </w:r>
            <w:r w:rsidR="000E5516">
              <w:rPr>
                <w:rFonts w:ascii="Arial" w:eastAsia="Times New Roman" w:hAnsi="Arial" w:cs="Arial"/>
                <w:color w:val="000000"/>
                <w:sz w:val="20"/>
                <w:szCs w:val="20"/>
                <w:lang w:val="en-PH" w:eastAsia="en-PH"/>
              </w:rPr>
              <w:t xml:space="preserve"> </w:t>
            </w:r>
            <w:r>
              <w:rPr>
                <w:rFonts w:ascii="Arial" w:eastAsia="Times New Roman" w:hAnsi="Arial" w:cs="Arial"/>
                <w:color w:val="000000"/>
                <w:sz w:val="20"/>
                <w:szCs w:val="20"/>
                <w:lang w:val="en-PH" w:eastAsia="en-PH"/>
              </w:rPr>
              <w:t xml:space="preserve"> 234,462,270</w:t>
            </w:r>
          </w:p>
        </w:tc>
      </w:tr>
      <w:tr w:rsidR="004F0C3E" w:rsidRPr="00D90F0C" w14:paraId="34B30F59" w14:textId="77777777" w:rsidTr="00304836">
        <w:trPr>
          <w:trHeight w:val="20"/>
        </w:trPr>
        <w:tc>
          <w:tcPr>
            <w:tcW w:w="2786" w:type="dxa"/>
            <w:tcBorders>
              <w:left w:val="nil"/>
              <w:right w:val="nil"/>
            </w:tcBorders>
            <w:shd w:val="clear" w:color="auto" w:fill="auto"/>
            <w:noWrap/>
            <w:vAlign w:val="bottom"/>
            <w:hideMark/>
          </w:tcPr>
          <w:p w14:paraId="628BB517" w14:textId="77777777" w:rsidR="004F0C3E" w:rsidRPr="00D90F0C" w:rsidRDefault="004F0C3E" w:rsidP="000E5516">
            <w:pPr>
              <w:spacing w:after="0" w:line="240" w:lineRule="auto"/>
              <w:ind w:left="144"/>
              <w:contextualSpacing/>
              <w:rPr>
                <w:rFonts w:ascii="Arial" w:eastAsia="Times New Roman" w:hAnsi="Arial" w:cs="Arial"/>
                <w:sz w:val="20"/>
                <w:szCs w:val="20"/>
                <w:lang w:val="en-PH" w:eastAsia="en-PH"/>
              </w:rPr>
            </w:pPr>
            <w:r w:rsidRPr="00D90F0C">
              <w:rPr>
                <w:rFonts w:ascii="Arial" w:eastAsia="Times New Roman" w:hAnsi="Arial" w:cs="Arial"/>
                <w:sz w:val="20"/>
                <w:szCs w:val="20"/>
                <w:lang w:val="en-PH" w:eastAsia="en-PH"/>
              </w:rPr>
              <w:t>AR, Others</w:t>
            </w:r>
          </w:p>
        </w:tc>
        <w:tc>
          <w:tcPr>
            <w:tcW w:w="1620" w:type="dxa"/>
            <w:tcBorders>
              <w:left w:val="nil"/>
              <w:right w:val="nil"/>
            </w:tcBorders>
            <w:vAlign w:val="bottom"/>
          </w:tcPr>
          <w:p w14:paraId="24AF2579" w14:textId="77777777" w:rsidR="004F0C3E" w:rsidRPr="00D90F0C" w:rsidRDefault="004F0C3E" w:rsidP="00EB4830">
            <w:pPr>
              <w:spacing w:after="0" w:line="240" w:lineRule="auto"/>
              <w:contextualSpacing/>
              <w:jc w:val="right"/>
              <w:rPr>
                <w:rFonts w:ascii="Arial" w:eastAsia="Times New Roman" w:hAnsi="Arial" w:cs="Arial"/>
                <w:color w:val="000000"/>
                <w:sz w:val="20"/>
                <w:szCs w:val="20"/>
                <w:lang w:val="en-PH" w:eastAsia="en-PH"/>
              </w:rPr>
            </w:pPr>
            <w:r w:rsidRPr="00D90F0C">
              <w:rPr>
                <w:rFonts w:ascii="Arial" w:eastAsia="Times New Roman" w:hAnsi="Arial" w:cs="Arial"/>
                <w:color w:val="000000"/>
                <w:sz w:val="20"/>
                <w:szCs w:val="20"/>
                <w:lang w:val="en-PH" w:eastAsia="en-PH"/>
              </w:rPr>
              <w:t xml:space="preserve">581,263,701 </w:t>
            </w:r>
          </w:p>
        </w:tc>
        <w:tc>
          <w:tcPr>
            <w:tcW w:w="1800" w:type="dxa"/>
            <w:tcBorders>
              <w:left w:val="nil"/>
              <w:right w:val="nil"/>
            </w:tcBorders>
            <w:vAlign w:val="bottom"/>
          </w:tcPr>
          <w:p w14:paraId="6E3D5EEF" w14:textId="06E446E3" w:rsidR="004F0C3E" w:rsidRPr="00D90F0C" w:rsidRDefault="004F0C3E"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72,804,367</w:t>
            </w:r>
          </w:p>
        </w:tc>
        <w:tc>
          <w:tcPr>
            <w:tcW w:w="1620" w:type="dxa"/>
            <w:tcBorders>
              <w:left w:val="nil"/>
              <w:right w:val="nil"/>
            </w:tcBorders>
            <w:shd w:val="clear" w:color="auto" w:fill="auto"/>
            <w:noWrap/>
            <w:vAlign w:val="bottom"/>
          </w:tcPr>
          <w:p w14:paraId="436FD7B5" w14:textId="77777777" w:rsidR="004F0C3E" w:rsidRPr="00D90F0C" w:rsidRDefault="004F0C3E"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508,459,334</w:t>
            </w:r>
          </w:p>
        </w:tc>
      </w:tr>
      <w:tr w:rsidR="00304836" w:rsidRPr="00D90F0C" w14:paraId="5F7D2C80" w14:textId="77777777" w:rsidTr="00304836">
        <w:trPr>
          <w:trHeight w:val="20"/>
        </w:trPr>
        <w:tc>
          <w:tcPr>
            <w:tcW w:w="2786" w:type="dxa"/>
            <w:tcBorders>
              <w:top w:val="nil"/>
              <w:left w:val="nil"/>
              <w:right w:val="nil"/>
            </w:tcBorders>
            <w:shd w:val="clear" w:color="auto" w:fill="auto"/>
            <w:noWrap/>
            <w:vAlign w:val="bottom"/>
            <w:hideMark/>
          </w:tcPr>
          <w:p w14:paraId="3E0AB16E" w14:textId="77777777" w:rsidR="00304836" w:rsidRPr="00D90F0C" w:rsidRDefault="00304836" w:rsidP="00821B0A">
            <w:pPr>
              <w:spacing w:after="0" w:line="240" w:lineRule="auto"/>
              <w:ind w:left="360" w:hanging="216"/>
              <w:contextualSpacing/>
              <w:rPr>
                <w:rFonts w:ascii="Arial" w:eastAsia="Times New Roman" w:hAnsi="Arial" w:cs="Arial"/>
                <w:sz w:val="20"/>
                <w:szCs w:val="20"/>
                <w:lang w:val="en-PH" w:eastAsia="en-PH"/>
              </w:rPr>
            </w:pPr>
            <w:r w:rsidRPr="00D90F0C">
              <w:rPr>
                <w:rFonts w:ascii="Arial" w:eastAsia="Times New Roman" w:hAnsi="Arial" w:cs="Arial"/>
                <w:sz w:val="20"/>
                <w:szCs w:val="20"/>
                <w:lang w:val="en-PH" w:eastAsia="en-PH"/>
              </w:rPr>
              <w:t>Accrued Interest and Dividend Receivable</w:t>
            </w:r>
          </w:p>
        </w:tc>
        <w:tc>
          <w:tcPr>
            <w:tcW w:w="1620" w:type="dxa"/>
            <w:tcBorders>
              <w:top w:val="nil"/>
              <w:left w:val="nil"/>
              <w:right w:val="nil"/>
            </w:tcBorders>
            <w:vAlign w:val="bottom"/>
          </w:tcPr>
          <w:p w14:paraId="3B45A6C6" w14:textId="77777777" w:rsidR="00304836" w:rsidRPr="00D90F0C" w:rsidRDefault="00304836" w:rsidP="00821B0A">
            <w:pPr>
              <w:spacing w:after="0" w:line="240" w:lineRule="auto"/>
              <w:contextualSpacing/>
              <w:jc w:val="right"/>
              <w:rPr>
                <w:rFonts w:ascii="Arial" w:eastAsia="Times New Roman" w:hAnsi="Arial" w:cs="Arial"/>
                <w:color w:val="000000"/>
                <w:sz w:val="20"/>
                <w:szCs w:val="20"/>
                <w:lang w:val="en-PH" w:eastAsia="en-PH"/>
              </w:rPr>
            </w:pPr>
            <w:r w:rsidRPr="00D90F0C">
              <w:rPr>
                <w:rFonts w:ascii="Arial" w:eastAsia="Times New Roman" w:hAnsi="Arial" w:cs="Arial"/>
                <w:color w:val="000000"/>
                <w:sz w:val="20"/>
                <w:szCs w:val="20"/>
                <w:lang w:val="en-PH" w:eastAsia="en-PH"/>
              </w:rPr>
              <w:t>38,513,64</w:t>
            </w:r>
            <w:r>
              <w:rPr>
                <w:rFonts w:ascii="Arial" w:eastAsia="Times New Roman" w:hAnsi="Arial" w:cs="Arial"/>
                <w:color w:val="000000"/>
                <w:sz w:val="20"/>
                <w:szCs w:val="20"/>
                <w:lang w:val="en-PH" w:eastAsia="en-PH"/>
              </w:rPr>
              <w:t>2</w:t>
            </w:r>
            <w:r w:rsidRPr="00D90F0C">
              <w:rPr>
                <w:rFonts w:ascii="Arial" w:eastAsia="Times New Roman" w:hAnsi="Arial" w:cs="Arial"/>
                <w:color w:val="000000"/>
                <w:sz w:val="20"/>
                <w:szCs w:val="20"/>
                <w:lang w:val="en-PH" w:eastAsia="en-PH"/>
              </w:rPr>
              <w:t xml:space="preserve"> </w:t>
            </w:r>
          </w:p>
        </w:tc>
        <w:tc>
          <w:tcPr>
            <w:tcW w:w="1800" w:type="dxa"/>
            <w:tcBorders>
              <w:top w:val="nil"/>
              <w:left w:val="nil"/>
              <w:right w:val="nil"/>
            </w:tcBorders>
            <w:vAlign w:val="bottom"/>
          </w:tcPr>
          <w:p w14:paraId="7A1BBD49" w14:textId="77777777" w:rsidR="00304836" w:rsidRPr="00D90F0C" w:rsidRDefault="00304836" w:rsidP="00821B0A">
            <w:pPr>
              <w:spacing w:after="0" w:line="240" w:lineRule="auto"/>
              <w:ind w:right="72"/>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0</w:t>
            </w:r>
          </w:p>
        </w:tc>
        <w:tc>
          <w:tcPr>
            <w:tcW w:w="1620" w:type="dxa"/>
            <w:tcBorders>
              <w:top w:val="nil"/>
              <w:left w:val="nil"/>
              <w:right w:val="nil"/>
            </w:tcBorders>
            <w:shd w:val="clear" w:color="auto" w:fill="auto"/>
            <w:noWrap/>
            <w:vAlign w:val="bottom"/>
          </w:tcPr>
          <w:p w14:paraId="1539A50A" w14:textId="77777777" w:rsidR="00304836" w:rsidRPr="00D90F0C" w:rsidRDefault="00304836" w:rsidP="00821B0A">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38,513,642</w:t>
            </w:r>
          </w:p>
        </w:tc>
      </w:tr>
      <w:tr w:rsidR="00EB4830" w:rsidRPr="00D90F0C" w14:paraId="55E8B4D3" w14:textId="77777777" w:rsidTr="00304836">
        <w:trPr>
          <w:trHeight w:val="20"/>
        </w:trPr>
        <w:tc>
          <w:tcPr>
            <w:tcW w:w="2786" w:type="dxa"/>
            <w:tcBorders>
              <w:left w:val="nil"/>
              <w:right w:val="nil"/>
            </w:tcBorders>
            <w:shd w:val="clear" w:color="auto" w:fill="auto"/>
            <w:noWrap/>
            <w:vAlign w:val="bottom"/>
          </w:tcPr>
          <w:p w14:paraId="1487F658" w14:textId="77777777" w:rsidR="00EB4830" w:rsidRPr="00F03335" w:rsidRDefault="00EB4830" w:rsidP="000E5516">
            <w:pPr>
              <w:spacing w:after="0" w:line="240" w:lineRule="auto"/>
              <w:ind w:left="144"/>
              <w:contextualSpacing/>
              <w:rPr>
                <w:rFonts w:ascii="Arial" w:eastAsia="Times New Roman" w:hAnsi="Arial" w:cs="Arial"/>
                <w:color w:val="000000"/>
                <w:sz w:val="20"/>
                <w:szCs w:val="20"/>
                <w:lang w:val="en-PH" w:eastAsia="en-PH"/>
              </w:rPr>
            </w:pPr>
            <w:r w:rsidRPr="006827AC">
              <w:rPr>
                <w:rFonts w:ascii="Arial" w:eastAsia="Times New Roman" w:hAnsi="Arial" w:cs="Arial"/>
                <w:color w:val="000000"/>
                <w:sz w:val="20"/>
                <w:szCs w:val="20"/>
                <w:lang w:val="en-PH" w:eastAsia="en-PH"/>
              </w:rPr>
              <w:t>Loans Receivables</w:t>
            </w:r>
          </w:p>
        </w:tc>
        <w:tc>
          <w:tcPr>
            <w:tcW w:w="1620" w:type="dxa"/>
            <w:tcBorders>
              <w:left w:val="nil"/>
              <w:right w:val="nil"/>
            </w:tcBorders>
            <w:vAlign w:val="bottom"/>
          </w:tcPr>
          <w:p w14:paraId="050741FB" w14:textId="66312935"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sidRPr="00D90F0C">
              <w:rPr>
                <w:rFonts w:ascii="Arial" w:eastAsia="Times New Roman" w:hAnsi="Arial" w:cs="Arial"/>
                <w:color w:val="000000"/>
                <w:sz w:val="20"/>
                <w:szCs w:val="20"/>
                <w:lang w:val="en-PH" w:eastAsia="en-PH"/>
              </w:rPr>
              <w:t>1,090,642,360</w:t>
            </w:r>
          </w:p>
        </w:tc>
        <w:tc>
          <w:tcPr>
            <w:tcW w:w="1800" w:type="dxa"/>
            <w:tcBorders>
              <w:left w:val="nil"/>
              <w:right w:val="nil"/>
            </w:tcBorders>
            <w:vAlign w:val="bottom"/>
          </w:tcPr>
          <w:p w14:paraId="2BD825AA" w14:textId="1C7AD922"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sidRPr="00D90F0C">
              <w:rPr>
                <w:rFonts w:ascii="Arial" w:eastAsia="Times New Roman" w:hAnsi="Arial" w:cs="Arial"/>
                <w:color w:val="000000"/>
                <w:sz w:val="20"/>
                <w:szCs w:val="20"/>
                <w:lang w:val="en-PH" w:eastAsia="en-PH"/>
              </w:rPr>
              <w:t>242,858,989</w:t>
            </w:r>
          </w:p>
        </w:tc>
        <w:tc>
          <w:tcPr>
            <w:tcW w:w="1620" w:type="dxa"/>
            <w:tcBorders>
              <w:left w:val="nil"/>
              <w:right w:val="nil"/>
            </w:tcBorders>
            <w:shd w:val="clear" w:color="auto" w:fill="auto"/>
            <w:noWrap/>
            <w:vAlign w:val="bottom"/>
          </w:tcPr>
          <w:p w14:paraId="3F024A49" w14:textId="2F559358"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847,783,371</w:t>
            </w:r>
          </w:p>
        </w:tc>
      </w:tr>
      <w:tr w:rsidR="00EB4830" w:rsidRPr="00D90F0C" w14:paraId="440A5F52" w14:textId="77777777" w:rsidTr="00304836">
        <w:trPr>
          <w:trHeight w:val="20"/>
        </w:trPr>
        <w:tc>
          <w:tcPr>
            <w:tcW w:w="2786" w:type="dxa"/>
            <w:tcBorders>
              <w:top w:val="nil"/>
              <w:left w:val="nil"/>
              <w:right w:val="nil"/>
            </w:tcBorders>
            <w:shd w:val="clear" w:color="auto" w:fill="auto"/>
            <w:noWrap/>
            <w:vAlign w:val="bottom"/>
          </w:tcPr>
          <w:p w14:paraId="3F220944" w14:textId="77777777" w:rsidR="00EB4830" w:rsidRPr="00D90F0C" w:rsidRDefault="00EB4830" w:rsidP="000E5516">
            <w:pPr>
              <w:spacing w:after="0" w:line="240" w:lineRule="auto"/>
              <w:ind w:left="144"/>
              <w:contextualSpacing/>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ICR</w:t>
            </w:r>
          </w:p>
        </w:tc>
        <w:tc>
          <w:tcPr>
            <w:tcW w:w="1620" w:type="dxa"/>
            <w:tcBorders>
              <w:top w:val="nil"/>
              <w:left w:val="nil"/>
              <w:right w:val="nil"/>
            </w:tcBorders>
            <w:vAlign w:val="bottom"/>
          </w:tcPr>
          <w:p w14:paraId="69233863" w14:textId="4C571962" w:rsidR="00EB4830" w:rsidRDefault="00EB4830"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325,778,449</w:t>
            </w:r>
          </w:p>
        </w:tc>
        <w:tc>
          <w:tcPr>
            <w:tcW w:w="1800" w:type="dxa"/>
            <w:tcBorders>
              <w:top w:val="nil"/>
              <w:left w:val="nil"/>
              <w:right w:val="nil"/>
            </w:tcBorders>
            <w:vAlign w:val="bottom"/>
          </w:tcPr>
          <w:p w14:paraId="0D9AB3AC" w14:textId="2FE8B356" w:rsidR="00EB4830" w:rsidRDefault="00EB4830"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88,644,387</w:t>
            </w:r>
          </w:p>
        </w:tc>
        <w:tc>
          <w:tcPr>
            <w:tcW w:w="1620" w:type="dxa"/>
            <w:tcBorders>
              <w:top w:val="nil"/>
              <w:left w:val="nil"/>
              <w:right w:val="nil"/>
            </w:tcBorders>
            <w:shd w:val="clear" w:color="auto" w:fill="auto"/>
            <w:noWrap/>
            <w:vAlign w:val="bottom"/>
          </w:tcPr>
          <w:p w14:paraId="17CA3971" w14:textId="7326FAFF"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237,134,062</w:t>
            </w:r>
          </w:p>
        </w:tc>
      </w:tr>
      <w:tr w:rsidR="00EB4830" w:rsidRPr="00D90F0C" w14:paraId="1C95A087" w14:textId="77777777" w:rsidTr="00304836">
        <w:trPr>
          <w:trHeight w:val="20"/>
        </w:trPr>
        <w:tc>
          <w:tcPr>
            <w:tcW w:w="2786" w:type="dxa"/>
            <w:tcBorders>
              <w:top w:val="nil"/>
              <w:left w:val="nil"/>
              <w:bottom w:val="nil"/>
              <w:right w:val="nil"/>
            </w:tcBorders>
            <w:shd w:val="clear" w:color="auto" w:fill="auto"/>
            <w:noWrap/>
            <w:vAlign w:val="bottom"/>
          </w:tcPr>
          <w:p w14:paraId="7BFA8A58" w14:textId="77777777" w:rsidR="00EB4830" w:rsidRPr="006827AC" w:rsidRDefault="00EB4830" w:rsidP="00EB4830">
            <w:pPr>
              <w:spacing w:after="0" w:line="240" w:lineRule="auto"/>
              <w:contextualSpacing/>
              <w:rPr>
                <w:rFonts w:ascii="Arial" w:eastAsia="Times New Roman" w:hAnsi="Arial" w:cs="Arial"/>
                <w:b/>
                <w:sz w:val="20"/>
                <w:szCs w:val="20"/>
                <w:lang w:val="en-PH" w:eastAsia="en-PH"/>
              </w:rPr>
            </w:pPr>
            <w:r w:rsidRPr="006827AC">
              <w:rPr>
                <w:rFonts w:ascii="Arial" w:eastAsia="Times New Roman" w:hAnsi="Arial" w:cs="Arial"/>
                <w:b/>
                <w:sz w:val="20"/>
                <w:szCs w:val="20"/>
                <w:lang w:val="en-PH" w:eastAsia="en-PH"/>
              </w:rPr>
              <w:t>Investments</w:t>
            </w:r>
          </w:p>
        </w:tc>
        <w:tc>
          <w:tcPr>
            <w:tcW w:w="1620" w:type="dxa"/>
            <w:tcBorders>
              <w:top w:val="nil"/>
              <w:left w:val="nil"/>
              <w:bottom w:val="nil"/>
              <w:right w:val="nil"/>
            </w:tcBorders>
            <w:vAlign w:val="bottom"/>
          </w:tcPr>
          <w:p w14:paraId="77BD3BEB" w14:textId="77777777"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p>
        </w:tc>
        <w:tc>
          <w:tcPr>
            <w:tcW w:w="1800" w:type="dxa"/>
            <w:tcBorders>
              <w:top w:val="nil"/>
              <w:left w:val="nil"/>
              <w:bottom w:val="nil"/>
              <w:right w:val="nil"/>
            </w:tcBorders>
            <w:vAlign w:val="bottom"/>
          </w:tcPr>
          <w:p w14:paraId="5B0003B8" w14:textId="77777777" w:rsidR="00EB4830" w:rsidRPr="00D90F0C" w:rsidRDefault="00EB4830" w:rsidP="000E5516">
            <w:pPr>
              <w:spacing w:after="0" w:line="240" w:lineRule="auto"/>
              <w:ind w:right="72"/>
              <w:contextualSpacing/>
              <w:jc w:val="right"/>
              <w:rPr>
                <w:rFonts w:ascii="Arial" w:eastAsia="Times New Roman" w:hAnsi="Arial" w:cs="Arial"/>
                <w:color w:val="000000"/>
                <w:sz w:val="20"/>
                <w:szCs w:val="20"/>
                <w:lang w:val="en-PH" w:eastAsia="en-PH"/>
              </w:rPr>
            </w:pPr>
          </w:p>
        </w:tc>
        <w:tc>
          <w:tcPr>
            <w:tcW w:w="1620" w:type="dxa"/>
            <w:tcBorders>
              <w:top w:val="nil"/>
              <w:left w:val="nil"/>
              <w:bottom w:val="nil"/>
              <w:right w:val="nil"/>
            </w:tcBorders>
            <w:shd w:val="clear" w:color="auto" w:fill="auto"/>
            <w:noWrap/>
            <w:vAlign w:val="bottom"/>
          </w:tcPr>
          <w:p w14:paraId="559A5401" w14:textId="00E48CF3"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p>
        </w:tc>
      </w:tr>
      <w:tr w:rsidR="00EB4830" w:rsidRPr="00D90F0C" w14:paraId="79EBDD42" w14:textId="77777777" w:rsidTr="00304836">
        <w:trPr>
          <w:trHeight w:val="20"/>
        </w:trPr>
        <w:tc>
          <w:tcPr>
            <w:tcW w:w="2786" w:type="dxa"/>
            <w:tcBorders>
              <w:top w:val="nil"/>
              <w:left w:val="nil"/>
              <w:bottom w:val="nil"/>
              <w:right w:val="nil"/>
            </w:tcBorders>
            <w:shd w:val="clear" w:color="auto" w:fill="auto"/>
            <w:noWrap/>
            <w:vAlign w:val="bottom"/>
            <w:hideMark/>
          </w:tcPr>
          <w:p w14:paraId="333C1FAE" w14:textId="77777777" w:rsidR="00EB4830" w:rsidRPr="00D90F0C" w:rsidRDefault="00EB4830" w:rsidP="000E5516">
            <w:pPr>
              <w:spacing w:after="0" w:line="240" w:lineRule="auto"/>
              <w:ind w:left="360" w:hanging="216"/>
              <w:contextualSpacing/>
              <w:rPr>
                <w:rFonts w:ascii="Arial" w:eastAsia="Times New Roman" w:hAnsi="Arial" w:cs="Arial"/>
                <w:sz w:val="20"/>
                <w:szCs w:val="20"/>
                <w:lang w:val="en-PH" w:eastAsia="en-PH"/>
              </w:rPr>
            </w:pPr>
            <w:r w:rsidRPr="00D90F0C">
              <w:rPr>
                <w:rFonts w:ascii="Arial" w:eastAsia="Times New Roman" w:hAnsi="Arial" w:cs="Arial"/>
                <w:sz w:val="20"/>
                <w:szCs w:val="20"/>
                <w:lang w:val="en-PH" w:eastAsia="en-PH"/>
              </w:rPr>
              <w:t>Current Portion of Investment in Bonds and Commercial Papers</w:t>
            </w:r>
          </w:p>
        </w:tc>
        <w:tc>
          <w:tcPr>
            <w:tcW w:w="1620" w:type="dxa"/>
            <w:tcBorders>
              <w:top w:val="nil"/>
              <w:left w:val="nil"/>
              <w:bottom w:val="nil"/>
              <w:right w:val="nil"/>
            </w:tcBorders>
            <w:vAlign w:val="bottom"/>
          </w:tcPr>
          <w:p w14:paraId="616621F9" w14:textId="79670E2E"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sidRPr="00D90F0C">
              <w:rPr>
                <w:rFonts w:ascii="Arial" w:eastAsia="Times New Roman" w:hAnsi="Arial" w:cs="Arial"/>
                <w:color w:val="000000"/>
                <w:sz w:val="20"/>
                <w:szCs w:val="20"/>
                <w:lang w:val="en-PH" w:eastAsia="en-PH"/>
              </w:rPr>
              <w:t xml:space="preserve">1,550,000,000 </w:t>
            </w:r>
          </w:p>
        </w:tc>
        <w:tc>
          <w:tcPr>
            <w:tcW w:w="1800" w:type="dxa"/>
            <w:tcBorders>
              <w:top w:val="nil"/>
              <w:left w:val="nil"/>
              <w:bottom w:val="nil"/>
              <w:right w:val="nil"/>
            </w:tcBorders>
            <w:vAlign w:val="bottom"/>
          </w:tcPr>
          <w:p w14:paraId="2AC73155" w14:textId="2778163C" w:rsidR="00EB4830" w:rsidRPr="00D90F0C" w:rsidRDefault="000E5516" w:rsidP="000E5516">
            <w:pPr>
              <w:spacing w:after="0" w:line="240" w:lineRule="auto"/>
              <w:ind w:right="72"/>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0</w:t>
            </w:r>
          </w:p>
        </w:tc>
        <w:tc>
          <w:tcPr>
            <w:tcW w:w="1620" w:type="dxa"/>
            <w:tcBorders>
              <w:top w:val="nil"/>
              <w:left w:val="nil"/>
              <w:bottom w:val="nil"/>
              <w:right w:val="nil"/>
            </w:tcBorders>
            <w:shd w:val="clear" w:color="auto" w:fill="auto"/>
            <w:noWrap/>
            <w:vAlign w:val="bottom"/>
          </w:tcPr>
          <w:p w14:paraId="24981860" w14:textId="71CBFA57"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1,550,000,000</w:t>
            </w:r>
          </w:p>
        </w:tc>
      </w:tr>
      <w:tr w:rsidR="00EB4830" w:rsidRPr="00D90F0C" w14:paraId="4D81CB94" w14:textId="77777777" w:rsidTr="00304836">
        <w:trPr>
          <w:trHeight w:val="20"/>
        </w:trPr>
        <w:tc>
          <w:tcPr>
            <w:tcW w:w="2786" w:type="dxa"/>
            <w:tcBorders>
              <w:left w:val="nil"/>
              <w:bottom w:val="single" w:sz="4" w:space="0" w:color="auto"/>
              <w:right w:val="nil"/>
            </w:tcBorders>
            <w:shd w:val="clear" w:color="auto" w:fill="auto"/>
            <w:noWrap/>
            <w:vAlign w:val="bottom"/>
            <w:hideMark/>
          </w:tcPr>
          <w:p w14:paraId="68942AA1" w14:textId="77777777" w:rsidR="00EB4830" w:rsidRPr="00D90F0C" w:rsidRDefault="00EB4830" w:rsidP="000E5516">
            <w:pPr>
              <w:spacing w:after="0" w:line="240" w:lineRule="auto"/>
              <w:ind w:left="360" w:hanging="216"/>
              <w:contextualSpacing/>
              <w:rPr>
                <w:rFonts w:ascii="Arial" w:eastAsia="Times New Roman" w:hAnsi="Arial" w:cs="Arial"/>
                <w:sz w:val="20"/>
                <w:szCs w:val="20"/>
                <w:lang w:val="en-PH" w:eastAsia="en-PH"/>
              </w:rPr>
            </w:pPr>
            <w:r>
              <w:rPr>
                <w:rFonts w:ascii="Arial" w:eastAsia="Times New Roman" w:hAnsi="Arial" w:cs="Arial"/>
                <w:sz w:val="20"/>
                <w:szCs w:val="20"/>
                <w:lang w:val="en-PH" w:eastAsia="en-PH"/>
              </w:rPr>
              <w:t xml:space="preserve">Non-current portion of </w:t>
            </w:r>
            <w:r w:rsidRPr="00D90F0C">
              <w:rPr>
                <w:rFonts w:ascii="Arial" w:eastAsia="Times New Roman" w:hAnsi="Arial" w:cs="Arial"/>
                <w:sz w:val="20"/>
                <w:szCs w:val="20"/>
                <w:lang w:val="en-PH" w:eastAsia="en-PH"/>
              </w:rPr>
              <w:t>Investment in Bonds &amp; Commercial Papers</w:t>
            </w:r>
          </w:p>
        </w:tc>
        <w:tc>
          <w:tcPr>
            <w:tcW w:w="1620" w:type="dxa"/>
            <w:tcBorders>
              <w:left w:val="nil"/>
              <w:bottom w:val="single" w:sz="4" w:space="0" w:color="auto"/>
              <w:right w:val="nil"/>
            </w:tcBorders>
            <w:vAlign w:val="bottom"/>
          </w:tcPr>
          <w:p w14:paraId="721F4678" w14:textId="0197E0FE" w:rsidR="00EB4830" w:rsidRPr="00D90F0C" w:rsidRDefault="00EB4830" w:rsidP="00EB4830">
            <w:pPr>
              <w:spacing w:after="0" w:line="240" w:lineRule="auto"/>
              <w:contextualSpacing/>
              <w:jc w:val="right"/>
              <w:rPr>
                <w:rFonts w:ascii="Arial" w:eastAsia="Times New Roman" w:hAnsi="Arial" w:cs="Arial"/>
                <w:color w:val="000000"/>
                <w:sz w:val="20"/>
                <w:szCs w:val="20"/>
                <w:lang w:val="en-PH" w:eastAsia="en-PH"/>
              </w:rPr>
            </w:pPr>
            <w:r w:rsidRPr="00D90F0C">
              <w:rPr>
                <w:rFonts w:ascii="Arial" w:eastAsia="Times New Roman" w:hAnsi="Arial" w:cs="Arial"/>
                <w:color w:val="000000"/>
                <w:sz w:val="20"/>
                <w:szCs w:val="20"/>
                <w:lang w:val="en-PH" w:eastAsia="en-PH"/>
              </w:rPr>
              <w:t xml:space="preserve">799,471,339 </w:t>
            </w:r>
          </w:p>
        </w:tc>
        <w:tc>
          <w:tcPr>
            <w:tcW w:w="1800" w:type="dxa"/>
            <w:tcBorders>
              <w:left w:val="nil"/>
              <w:bottom w:val="single" w:sz="4" w:space="0" w:color="auto"/>
              <w:right w:val="nil"/>
            </w:tcBorders>
            <w:vAlign w:val="bottom"/>
          </w:tcPr>
          <w:p w14:paraId="7311099C" w14:textId="3DDF12E6" w:rsidR="00EB4830" w:rsidRPr="00D90F0C" w:rsidRDefault="000E5516" w:rsidP="000E5516">
            <w:pPr>
              <w:spacing w:after="0" w:line="240" w:lineRule="auto"/>
              <w:ind w:right="72"/>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0</w:t>
            </w:r>
          </w:p>
        </w:tc>
        <w:tc>
          <w:tcPr>
            <w:tcW w:w="1620" w:type="dxa"/>
            <w:tcBorders>
              <w:left w:val="nil"/>
              <w:bottom w:val="single" w:sz="4" w:space="0" w:color="auto"/>
              <w:right w:val="nil"/>
            </w:tcBorders>
            <w:shd w:val="clear" w:color="auto" w:fill="auto"/>
            <w:noWrap/>
            <w:vAlign w:val="bottom"/>
          </w:tcPr>
          <w:p w14:paraId="173453DC" w14:textId="1FAE8594" w:rsidR="00EB4830" w:rsidRPr="00D90F0C" w:rsidRDefault="005134A3" w:rsidP="00EB4830">
            <w:pPr>
              <w:spacing w:after="0" w:line="240" w:lineRule="auto"/>
              <w:contextualSpacing/>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799,471,339</w:t>
            </w:r>
          </w:p>
        </w:tc>
      </w:tr>
      <w:tr w:rsidR="00EB4830" w:rsidRPr="00D90F0C" w14:paraId="4C078524" w14:textId="77777777" w:rsidTr="00304836">
        <w:trPr>
          <w:trHeight w:val="288"/>
        </w:trPr>
        <w:tc>
          <w:tcPr>
            <w:tcW w:w="2786" w:type="dxa"/>
            <w:tcBorders>
              <w:top w:val="single" w:sz="4" w:space="0" w:color="auto"/>
              <w:left w:val="nil"/>
              <w:bottom w:val="double" w:sz="4" w:space="0" w:color="auto"/>
              <w:right w:val="nil"/>
            </w:tcBorders>
            <w:shd w:val="clear" w:color="auto" w:fill="auto"/>
            <w:noWrap/>
            <w:vAlign w:val="center"/>
          </w:tcPr>
          <w:p w14:paraId="076BD080" w14:textId="2AA9C940" w:rsidR="00EB4830" w:rsidRPr="00EB4830" w:rsidRDefault="000E5516" w:rsidP="000E5516">
            <w:pPr>
              <w:spacing w:after="0" w:line="240" w:lineRule="auto"/>
              <w:contextualSpacing/>
              <w:rPr>
                <w:rFonts w:ascii="Arial" w:eastAsia="Times New Roman" w:hAnsi="Arial" w:cs="Arial"/>
                <w:b/>
                <w:sz w:val="20"/>
                <w:szCs w:val="20"/>
                <w:lang w:val="en-PH" w:eastAsia="en-PH"/>
              </w:rPr>
            </w:pPr>
            <w:r>
              <w:rPr>
                <w:rFonts w:ascii="Arial" w:eastAsia="Times New Roman" w:hAnsi="Arial" w:cs="Arial"/>
                <w:b/>
                <w:sz w:val="20"/>
                <w:szCs w:val="20"/>
                <w:lang w:val="en-PH" w:eastAsia="en-PH"/>
              </w:rPr>
              <w:t>Total</w:t>
            </w:r>
          </w:p>
        </w:tc>
        <w:tc>
          <w:tcPr>
            <w:tcW w:w="1620" w:type="dxa"/>
            <w:tcBorders>
              <w:top w:val="single" w:sz="4" w:space="0" w:color="auto"/>
              <w:left w:val="nil"/>
              <w:bottom w:val="double" w:sz="4" w:space="0" w:color="auto"/>
              <w:right w:val="nil"/>
            </w:tcBorders>
            <w:vAlign w:val="center"/>
          </w:tcPr>
          <w:p w14:paraId="79BF6AB8" w14:textId="0DF28C88" w:rsidR="00EB4830" w:rsidRPr="00EB4830" w:rsidRDefault="005134A3" w:rsidP="000E5516">
            <w:pPr>
              <w:spacing w:after="0" w:line="240" w:lineRule="auto"/>
              <w:ind w:left="-144"/>
              <w:contextualSpacing/>
              <w:jc w:val="right"/>
              <w:rPr>
                <w:rFonts w:ascii="Arial" w:eastAsia="Times New Roman" w:hAnsi="Arial" w:cs="Arial"/>
                <w:b/>
                <w:color w:val="000000"/>
                <w:sz w:val="20"/>
                <w:szCs w:val="20"/>
                <w:lang w:val="en-PH" w:eastAsia="en-PH"/>
              </w:rPr>
            </w:pPr>
            <w:r>
              <w:rPr>
                <w:rFonts w:ascii="Arial" w:eastAsia="Times New Roman" w:hAnsi="Arial" w:cs="Arial"/>
                <w:b/>
                <w:color w:val="000000"/>
                <w:sz w:val="20"/>
                <w:szCs w:val="20"/>
                <w:lang w:val="en-PH" w:eastAsia="en-PH"/>
              </w:rPr>
              <w:t>P 4,625,261,764</w:t>
            </w:r>
          </w:p>
        </w:tc>
        <w:tc>
          <w:tcPr>
            <w:tcW w:w="1800" w:type="dxa"/>
            <w:tcBorders>
              <w:top w:val="single" w:sz="4" w:space="0" w:color="auto"/>
              <w:left w:val="nil"/>
              <w:bottom w:val="double" w:sz="4" w:space="0" w:color="auto"/>
              <w:right w:val="nil"/>
            </w:tcBorders>
            <w:vAlign w:val="center"/>
          </w:tcPr>
          <w:p w14:paraId="7EECC817" w14:textId="028BA891" w:rsidR="00EB4830" w:rsidRPr="00EB4830" w:rsidRDefault="00EB4830" w:rsidP="000E5516">
            <w:pPr>
              <w:spacing w:after="0" w:line="240" w:lineRule="auto"/>
              <w:ind w:left="-144"/>
              <w:contextualSpacing/>
              <w:jc w:val="right"/>
              <w:rPr>
                <w:rFonts w:ascii="Arial" w:eastAsia="Times New Roman" w:hAnsi="Arial" w:cs="Arial"/>
                <w:b/>
                <w:color w:val="000000"/>
                <w:sz w:val="20"/>
                <w:szCs w:val="20"/>
                <w:lang w:val="en-PH" w:eastAsia="en-PH"/>
              </w:rPr>
            </w:pPr>
            <w:r>
              <w:rPr>
                <w:rFonts w:ascii="Arial" w:eastAsia="Times New Roman" w:hAnsi="Arial" w:cs="Arial"/>
                <w:b/>
                <w:color w:val="000000"/>
                <w:sz w:val="20"/>
                <w:szCs w:val="20"/>
                <w:lang w:val="en-PH" w:eastAsia="en-PH"/>
              </w:rPr>
              <w:t xml:space="preserve">P  </w:t>
            </w:r>
            <w:r w:rsidR="005134A3">
              <w:rPr>
                <w:rFonts w:ascii="Arial" w:eastAsia="Times New Roman" w:hAnsi="Arial" w:cs="Arial"/>
                <w:b/>
                <w:color w:val="000000"/>
                <w:sz w:val="20"/>
                <w:szCs w:val="20"/>
                <w:lang w:val="en-PH" w:eastAsia="en-PH"/>
              </w:rPr>
              <w:t>409,437,746</w:t>
            </w:r>
          </w:p>
        </w:tc>
        <w:tc>
          <w:tcPr>
            <w:tcW w:w="1620" w:type="dxa"/>
            <w:tcBorders>
              <w:top w:val="single" w:sz="4" w:space="0" w:color="auto"/>
              <w:left w:val="nil"/>
              <w:bottom w:val="double" w:sz="4" w:space="0" w:color="auto"/>
              <w:right w:val="nil"/>
            </w:tcBorders>
            <w:shd w:val="clear" w:color="auto" w:fill="auto"/>
            <w:noWrap/>
            <w:vAlign w:val="center"/>
          </w:tcPr>
          <w:p w14:paraId="4E2A68E9" w14:textId="21B0EA32" w:rsidR="00EB4830" w:rsidRPr="00EB4830" w:rsidRDefault="00EB4830" w:rsidP="000E5516">
            <w:pPr>
              <w:spacing w:after="0" w:line="240" w:lineRule="auto"/>
              <w:ind w:left="-144"/>
              <w:contextualSpacing/>
              <w:jc w:val="right"/>
              <w:rPr>
                <w:rFonts w:ascii="Arial" w:eastAsia="Times New Roman" w:hAnsi="Arial" w:cs="Arial"/>
                <w:b/>
                <w:color w:val="000000"/>
                <w:sz w:val="20"/>
                <w:szCs w:val="20"/>
                <w:lang w:val="en-PH" w:eastAsia="en-PH"/>
              </w:rPr>
            </w:pPr>
            <w:r>
              <w:rPr>
                <w:rFonts w:ascii="Arial" w:eastAsia="Times New Roman" w:hAnsi="Arial" w:cs="Arial"/>
                <w:b/>
                <w:color w:val="000000"/>
                <w:sz w:val="20"/>
                <w:szCs w:val="20"/>
                <w:lang w:val="en-PH" w:eastAsia="en-PH"/>
              </w:rPr>
              <w:t xml:space="preserve">P </w:t>
            </w:r>
            <w:r w:rsidR="005134A3">
              <w:rPr>
                <w:rFonts w:ascii="Arial" w:eastAsia="Times New Roman" w:hAnsi="Arial" w:cs="Arial"/>
                <w:b/>
                <w:color w:val="000000"/>
                <w:sz w:val="20"/>
                <w:szCs w:val="20"/>
                <w:lang w:val="en-PH" w:eastAsia="en-PH"/>
              </w:rPr>
              <w:t>4,215,824,018</w:t>
            </w:r>
          </w:p>
        </w:tc>
      </w:tr>
    </w:tbl>
    <w:p w14:paraId="75E4139E" w14:textId="77777777" w:rsidR="00BB0337" w:rsidRPr="00485272" w:rsidRDefault="00BB0337" w:rsidP="00BB0337">
      <w:pPr>
        <w:pStyle w:val="NormalWeb"/>
        <w:spacing w:before="0" w:beforeAutospacing="0" w:after="0" w:afterAutospacing="0"/>
        <w:jc w:val="both"/>
        <w:rPr>
          <w:rFonts w:ascii="Arial" w:hAnsi="Arial" w:cs="Arial"/>
          <w:b/>
          <w:sz w:val="22"/>
          <w:szCs w:val="22"/>
        </w:rPr>
      </w:pPr>
    </w:p>
    <w:p w14:paraId="0CA676F9" w14:textId="77777777" w:rsidR="004E07CA" w:rsidRPr="00485272"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Management provided only 13 per cent allowance for AR, Others account and 22 per cent for Loans Receivables account despite the apparent low collection facility of the outstanding collectibles. Factors such as the credit risk and probability of default of borrowers should have been considered as basis in providing the appropriate allowance for impairment on the receivable accounts. </w:t>
      </w:r>
    </w:p>
    <w:p w14:paraId="692EF137" w14:textId="77777777" w:rsidR="004E07CA" w:rsidRPr="00485272" w:rsidRDefault="004E07CA" w:rsidP="00485272">
      <w:pPr>
        <w:pStyle w:val="ListParagraph"/>
        <w:ind w:left="1620"/>
        <w:contextualSpacing/>
        <w:jc w:val="both"/>
        <w:rPr>
          <w:rFonts w:ascii="Arial" w:hAnsi="Arial" w:cs="Arial"/>
          <w:sz w:val="22"/>
          <w:szCs w:val="22"/>
        </w:rPr>
      </w:pPr>
    </w:p>
    <w:p w14:paraId="3CEAF447" w14:textId="4B4F236E" w:rsidR="00EB4830" w:rsidRPr="00BB0337" w:rsidRDefault="00AB707B"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BB0337">
        <w:rPr>
          <w:rFonts w:ascii="Arial" w:hAnsi="Arial" w:cs="Arial"/>
          <w:sz w:val="22"/>
          <w:szCs w:val="22"/>
        </w:rPr>
        <w:t>Inquiry with Management on the existing policy of the AFPRSBS revealed that</w:t>
      </w:r>
      <w:r w:rsidR="00EB4830" w:rsidRPr="00BB0337">
        <w:rPr>
          <w:rFonts w:ascii="Arial" w:eastAsia="SimSun" w:hAnsi="Arial" w:cs="Arial"/>
          <w:sz w:val="22"/>
          <w:szCs w:val="22"/>
          <w:lang w:eastAsia="zh-CN"/>
        </w:rPr>
        <w:t xml:space="preserve"> </w:t>
      </w:r>
      <w:r w:rsidRPr="00BB0337">
        <w:rPr>
          <w:rFonts w:ascii="Arial" w:eastAsia="SimSun" w:hAnsi="Arial" w:cs="Arial"/>
          <w:sz w:val="22"/>
          <w:szCs w:val="22"/>
          <w:lang w:eastAsia="zh-CN"/>
        </w:rPr>
        <w:t>they will</w:t>
      </w:r>
      <w:r w:rsidR="00EB4830" w:rsidRPr="00BB0337">
        <w:rPr>
          <w:rFonts w:ascii="Arial" w:eastAsia="SimSun" w:hAnsi="Arial" w:cs="Arial"/>
          <w:sz w:val="22"/>
          <w:szCs w:val="22"/>
          <w:lang w:eastAsia="zh-CN"/>
        </w:rPr>
        <w:t xml:space="preserve"> no longer provide allowance for probable losses </w:t>
      </w:r>
      <w:r w:rsidRPr="00BB0337">
        <w:rPr>
          <w:rFonts w:ascii="Arial" w:eastAsia="SimSun" w:hAnsi="Arial" w:cs="Arial"/>
          <w:sz w:val="22"/>
          <w:szCs w:val="22"/>
          <w:lang w:eastAsia="zh-CN"/>
        </w:rPr>
        <w:t xml:space="preserve">for the ICR account </w:t>
      </w:r>
      <w:r w:rsidR="00EB4830" w:rsidRPr="00BB0337">
        <w:rPr>
          <w:rFonts w:ascii="Arial" w:eastAsia="SimSun" w:hAnsi="Arial" w:cs="Arial"/>
          <w:sz w:val="22"/>
          <w:szCs w:val="22"/>
          <w:lang w:eastAsia="zh-CN"/>
        </w:rPr>
        <w:t xml:space="preserve">since the title of the properties subject of the ICR are not yet transferred to the buyers unless fully settled. </w:t>
      </w:r>
    </w:p>
    <w:p w14:paraId="32F8445B" w14:textId="77777777" w:rsidR="00D93CC6" w:rsidRPr="00485272" w:rsidRDefault="00D93CC6" w:rsidP="00485272">
      <w:pPr>
        <w:pStyle w:val="NormalWeb"/>
        <w:spacing w:before="0" w:beforeAutospacing="0" w:after="0" w:afterAutospacing="0"/>
        <w:ind w:left="1276"/>
        <w:jc w:val="both"/>
        <w:rPr>
          <w:rFonts w:ascii="Arial" w:hAnsi="Arial" w:cs="Arial"/>
          <w:sz w:val="22"/>
          <w:szCs w:val="22"/>
        </w:rPr>
      </w:pPr>
    </w:p>
    <w:p w14:paraId="2D35314F" w14:textId="42CE624C" w:rsidR="00D93CC6" w:rsidRPr="00485272" w:rsidRDefault="00D93CC6"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As to the investment in bonds recorded and measured at fair values, PFRS 9 requires the assessment of the risk through daily monitoring of cash flows in consideration of future payment due dates and daily </w:t>
      </w:r>
      <w:r w:rsidR="008B3AA9" w:rsidRPr="00485272">
        <w:rPr>
          <w:rFonts w:ascii="Arial" w:hAnsi="Arial" w:cs="Arial"/>
          <w:sz w:val="22"/>
          <w:szCs w:val="22"/>
        </w:rPr>
        <w:t xml:space="preserve">amounts of </w:t>
      </w:r>
      <w:r w:rsidRPr="00485272">
        <w:rPr>
          <w:rFonts w:ascii="Arial" w:hAnsi="Arial" w:cs="Arial"/>
          <w:sz w:val="22"/>
          <w:szCs w:val="22"/>
        </w:rPr>
        <w:t>collection as basis for the impairment, hence, subject for any impairment.  The same standard allows the recognition of credit impairment/allowance for credit losses even before an objective evidence of impairment becomes apparent for financial assets.</w:t>
      </w:r>
    </w:p>
    <w:p w14:paraId="24DEC639" w14:textId="77777777" w:rsidR="004E07CA" w:rsidRPr="00485272" w:rsidRDefault="004E07CA" w:rsidP="00485272">
      <w:pPr>
        <w:pStyle w:val="ListParagraph"/>
        <w:rPr>
          <w:rFonts w:ascii="Arial" w:hAnsi="Arial" w:cs="Arial"/>
          <w:sz w:val="22"/>
          <w:szCs w:val="22"/>
        </w:rPr>
      </w:pPr>
    </w:p>
    <w:p w14:paraId="116746A3" w14:textId="4C335247" w:rsidR="004E07CA" w:rsidRPr="00485272"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The non-computation of allowance for impairment loss based on the requirements of PFRS 9 is likewise a violation of the concept of prudence under the </w:t>
      </w:r>
      <w:r w:rsidR="008B3AA9" w:rsidRPr="00485272">
        <w:rPr>
          <w:rFonts w:ascii="Arial" w:hAnsi="Arial" w:cs="Arial"/>
          <w:sz w:val="22"/>
          <w:szCs w:val="22"/>
        </w:rPr>
        <w:t xml:space="preserve">Revised </w:t>
      </w:r>
      <w:r w:rsidRPr="00485272">
        <w:rPr>
          <w:rFonts w:ascii="Arial" w:hAnsi="Arial" w:cs="Arial"/>
          <w:sz w:val="22"/>
          <w:szCs w:val="22"/>
        </w:rPr>
        <w:t xml:space="preserve">CFFR which requires entities to use caution when making judgments to properly value its assets and liabilities to avoid the misstatement of account balances, such as the overstatement and understatement of the accounts. The overstatement of AFPRSBS’ assets caused by insufficient provision of allowances is considered not in accordance with </w:t>
      </w:r>
      <w:r w:rsidR="00A7291F" w:rsidRPr="00485272">
        <w:rPr>
          <w:rFonts w:ascii="Arial" w:hAnsi="Arial" w:cs="Arial"/>
          <w:sz w:val="22"/>
          <w:szCs w:val="22"/>
        </w:rPr>
        <w:t>P</w:t>
      </w:r>
      <w:r w:rsidRPr="00485272">
        <w:rPr>
          <w:rFonts w:ascii="Arial" w:hAnsi="Arial" w:cs="Arial"/>
          <w:sz w:val="22"/>
          <w:szCs w:val="22"/>
        </w:rPr>
        <w:t xml:space="preserve">aragraph 15 of PAS 1 which requires the faithful representation of the effects of transactions, other events and conditions in accordance with the definitions and recognition criteria for assets, liabilities, revenue and expenses set out in the </w:t>
      </w:r>
      <w:r w:rsidR="008B3AA9" w:rsidRPr="00485272">
        <w:rPr>
          <w:rFonts w:ascii="Arial" w:hAnsi="Arial" w:cs="Arial"/>
          <w:sz w:val="22"/>
          <w:szCs w:val="22"/>
        </w:rPr>
        <w:t xml:space="preserve">Revised </w:t>
      </w:r>
      <w:r w:rsidRPr="00485272">
        <w:rPr>
          <w:rFonts w:ascii="Arial" w:hAnsi="Arial" w:cs="Arial"/>
          <w:sz w:val="22"/>
          <w:szCs w:val="22"/>
        </w:rPr>
        <w:t>CFFR.</w:t>
      </w:r>
    </w:p>
    <w:p w14:paraId="1C9DF42F" w14:textId="7A5F9678" w:rsidR="004E07CA" w:rsidRPr="00485272" w:rsidRDefault="004E07CA" w:rsidP="00485272">
      <w:pPr>
        <w:pStyle w:val="NormalWeb"/>
        <w:numPr>
          <w:ilvl w:val="0"/>
          <w:numId w:val="76"/>
        </w:numPr>
        <w:spacing w:before="0" w:beforeAutospacing="0" w:after="0" w:afterAutospacing="0"/>
        <w:ind w:left="1267" w:hanging="691"/>
        <w:jc w:val="both"/>
        <w:rPr>
          <w:rFonts w:ascii="Arial" w:hAnsi="Arial" w:cs="Arial"/>
          <w:b/>
          <w:sz w:val="22"/>
          <w:szCs w:val="22"/>
        </w:rPr>
      </w:pPr>
      <w:r w:rsidRPr="00485272">
        <w:rPr>
          <w:rFonts w:ascii="Arial" w:hAnsi="Arial" w:cs="Arial"/>
          <w:b/>
          <w:sz w:val="22"/>
          <w:szCs w:val="22"/>
        </w:rPr>
        <w:lastRenderedPageBreak/>
        <w:t>We</w:t>
      </w:r>
      <w:r w:rsidR="00B71F35" w:rsidRPr="00485272">
        <w:rPr>
          <w:rFonts w:ascii="Arial" w:hAnsi="Arial" w:cs="Arial"/>
          <w:b/>
          <w:sz w:val="22"/>
          <w:szCs w:val="22"/>
        </w:rPr>
        <w:t xml:space="preserve"> reiterated </w:t>
      </w:r>
      <w:r w:rsidR="00E74758" w:rsidRPr="00485272">
        <w:rPr>
          <w:rFonts w:ascii="Arial" w:hAnsi="Arial" w:cs="Arial"/>
          <w:b/>
          <w:sz w:val="22"/>
          <w:szCs w:val="22"/>
        </w:rPr>
        <w:t xml:space="preserve">with </w:t>
      </w:r>
      <w:r w:rsidR="00B71F35" w:rsidRPr="00485272">
        <w:rPr>
          <w:rFonts w:ascii="Arial" w:hAnsi="Arial" w:cs="Arial"/>
          <w:b/>
          <w:sz w:val="22"/>
          <w:szCs w:val="22"/>
        </w:rPr>
        <w:t>modifi</w:t>
      </w:r>
      <w:r w:rsidR="00E74758" w:rsidRPr="00485272">
        <w:rPr>
          <w:rFonts w:ascii="Arial" w:hAnsi="Arial" w:cs="Arial"/>
          <w:b/>
          <w:sz w:val="22"/>
          <w:szCs w:val="22"/>
        </w:rPr>
        <w:t>cations</w:t>
      </w:r>
      <w:r w:rsidR="00B71F35" w:rsidRPr="00485272">
        <w:rPr>
          <w:rFonts w:ascii="Arial" w:hAnsi="Arial" w:cs="Arial"/>
          <w:b/>
          <w:sz w:val="22"/>
          <w:szCs w:val="22"/>
        </w:rPr>
        <w:t xml:space="preserve"> our</w:t>
      </w:r>
      <w:r w:rsidRPr="00485272">
        <w:rPr>
          <w:rFonts w:ascii="Arial" w:hAnsi="Arial" w:cs="Arial"/>
          <w:b/>
          <w:sz w:val="22"/>
          <w:szCs w:val="22"/>
        </w:rPr>
        <w:t xml:space="preserve"> </w:t>
      </w:r>
      <w:r w:rsidR="00E74758" w:rsidRPr="00485272">
        <w:rPr>
          <w:rFonts w:ascii="Arial" w:hAnsi="Arial" w:cs="Arial"/>
          <w:b/>
          <w:sz w:val="22"/>
          <w:szCs w:val="22"/>
        </w:rPr>
        <w:t xml:space="preserve">PY’s audit </w:t>
      </w:r>
      <w:r w:rsidRPr="00485272">
        <w:rPr>
          <w:rFonts w:ascii="Arial" w:hAnsi="Arial" w:cs="Arial"/>
          <w:b/>
          <w:sz w:val="22"/>
          <w:szCs w:val="22"/>
        </w:rPr>
        <w:t>recommend</w:t>
      </w:r>
      <w:r w:rsidR="00B71F35" w:rsidRPr="00485272">
        <w:rPr>
          <w:rFonts w:ascii="Arial" w:hAnsi="Arial" w:cs="Arial"/>
          <w:b/>
          <w:sz w:val="22"/>
          <w:szCs w:val="22"/>
        </w:rPr>
        <w:t>ations</w:t>
      </w:r>
      <w:r w:rsidRPr="00485272">
        <w:rPr>
          <w:rFonts w:ascii="Arial" w:hAnsi="Arial" w:cs="Arial"/>
          <w:b/>
          <w:sz w:val="22"/>
          <w:szCs w:val="22"/>
        </w:rPr>
        <w:t xml:space="preserve"> that Management:</w:t>
      </w:r>
    </w:p>
    <w:p w14:paraId="72AD6818" w14:textId="77777777" w:rsidR="004E07CA" w:rsidRPr="00485272" w:rsidRDefault="004E07CA" w:rsidP="00485272">
      <w:pPr>
        <w:tabs>
          <w:tab w:val="left" w:pos="321"/>
        </w:tabs>
        <w:spacing w:after="0" w:line="240" w:lineRule="auto"/>
        <w:contextualSpacing/>
        <w:jc w:val="both"/>
        <w:rPr>
          <w:rFonts w:ascii="Arial" w:hAnsi="Arial" w:cs="Arial"/>
          <w:b/>
        </w:rPr>
      </w:pPr>
    </w:p>
    <w:p w14:paraId="017F4354" w14:textId="77777777" w:rsidR="004E07CA" w:rsidRPr="00485272" w:rsidRDefault="004E07CA" w:rsidP="00485272">
      <w:pPr>
        <w:pStyle w:val="ListParagraph"/>
        <w:numPr>
          <w:ilvl w:val="0"/>
          <w:numId w:val="68"/>
        </w:numPr>
        <w:tabs>
          <w:tab w:val="left" w:pos="1170"/>
          <w:tab w:val="left" w:pos="1350"/>
          <w:tab w:val="left" w:pos="1620"/>
        </w:tabs>
        <w:ind w:left="1656"/>
        <w:contextualSpacing/>
        <w:jc w:val="both"/>
        <w:rPr>
          <w:rFonts w:ascii="Arial" w:hAnsi="Arial" w:cs="Arial"/>
          <w:b/>
          <w:sz w:val="22"/>
          <w:szCs w:val="22"/>
        </w:rPr>
      </w:pPr>
      <w:r w:rsidRPr="00485272">
        <w:rPr>
          <w:rFonts w:ascii="Arial" w:hAnsi="Arial" w:cs="Arial"/>
          <w:b/>
          <w:sz w:val="22"/>
          <w:szCs w:val="22"/>
        </w:rPr>
        <w:t>Provide allowance for impairment for the AFPRSBS’ financial assets based on ECL; and</w:t>
      </w:r>
    </w:p>
    <w:p w14:paraId="0A46A27E" w14:textId="77777777" w:rsidR="004E07CA" w:rsidRPr="00485272" w:rsidRDefault="004E07CA" w:rsidP="00485272">
      <w:pPr>
        <w:pStyle w:val="ListParagraph"/>
        <w:tabs>
          <w:tab w:val="left" w:pos="1170"/>
          <w:tab w:val="left" w:pos="1350"/>
          <w:tab w:val="left" w:pos="1620"/>
        </w:tabs>
        <w:ind w:left="2127" w:hanging="426"/>
        <w:contextualSpacing/>
        <w:jc w:val="both"/>
        <w:rPr>
          <w:rFonts w:ascii="Arial" w:hAnsi="Arial" w:cs="Arial"/>
          <w:b/>
          <w:sz w:val="22"/>
          <w:szCs w:val="22"/>
        </w:rPr>
      </w:pPr>
    </w:p>
    <w:p w14:paraId="52D47F5C" w14:textId="77777777" w:rsidR="004E07CA" w:rsidRPr="00485272" w:rsidRDefault="004E07CA" w:rsidP="00485272">
      <w:pPr>
        <w:pStyle w:val="ListParagraph"/>
        <w:numPr>
          <w:ilvl w:val="0"/>
          <w:numId w:val="68"/>
        </w:numPr>
        <w:tabs>
          <w:tab w:val="left" w:pos="1170"/>
          <w:tab w:val="left" w:pos="1350"/>
          <w:tab w:val="left" w:pos="1620"/>
        </w:tabs>
        <w:ind w:left="1656"/>
        <w:contextualSpacing/>
        <w:jc w:val="both"/>
        <w:rPr>
          <w:rFonts w:ascii="Arial" w:hAnsi="Arial" w:cs="Arial"/>
          <w:b/>
          <w:sz w:val="22"/>
          <w:szCs w:val="22"/>
        </w:rPr>
      </w:pPr>
      <w:r w:rsidRPr="00485272">
        <w:rPr>
          <w:rFonts w:ascii="Arial" w:hAnsi="Arial" w:cs="Arial"/>
          <w:b/>
          <w:sz w:val="22"/>
          <w:szCs w:val="22"/>
        </w:rPr>
        <w:t>Secure Board’s approval to set up any additional provisions to recognize the said impairment on financial assets.</w:t>
      </w:r>
    </w:p>
    <w:p w14:paraId="3D26CB9E" w14:textId="77777777" w:rsidR="004E07CA" w:rsidRPr="00485272" w:rsidRDefault="004E07CA" w:rsidP="00485272">
      <w:pPr>
        <w:pStyle w:val="ListParagraph"/>
        <w:rPr>
          <w:rFonts w:ascii="Arial" w:hAnsi="Arial" w:cs="Arial"/>
          <w:b/>
          <w:sz w:val="22"/>
          <w:szCs w:val="22"/>
        </w:rPr>
      </w:pPr>
    </w:p>
    <w:p w14:paraId="5BE39F65" w14:textId="4B3D9571" w:rsidR="00B71F35" w:rsidRPr="00485272" w:rsidRDefault="004E07CA" w:rsidP="00485272">
      <w:pPr>
        <w:pStyle w:val="NormalWeb"/>
        <w:numPr>
          <w:ilvl w:val="0"/>
          <w:numId w:val="76"/>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Management commented that the AFPRSBS has an existing policy on providing allowance for probable losses and writing-off of accounts. (Policy No. CPO-001-2017 dated July 26, 2017), which covers the provision for allowances of the receivables and investment accounts that are considered to be uncollectible or worthless.  Management further commented that adjustments will be done as needed based on existing policy.</w:t>
      </w:r>
    </w:p>
    <w:p w14:paraId="014EB19A" w14:textId="77777777" w:rsidR="004E07CA" w:rsidRPr="00485272" w:rsidRDefault="004E07CA" w:rsidP="00485272">
      <w:pPr>
        <w:pStyle w:val="ListParagraph"/>
        <w:ind w:left="1620"/>
        <w:contextualSpacing/>
        <w:jc w:val="both"/>
        <w:rPr>
          <w:rFonts w:ascii="Arial" w:hAnsi="Arial" w:cs="Arial"/>
          <w:sz w:val="22"/>
          <w:szCs w:val="22"/>
        </w:rPr>
      </w:pPr>
    </w:p>
    <w:p w14:paraId="30A09BF7" w14:textId="77777777" w:rsidR="00E50E21" w:rsidRPr="00485272" w:rsidRDefault="004E07CA" w:rsidP="00485272">
      <w:pPr>
        <w:pStyle w:val="NormalWeb"/>
        <w:numPr>
          <w:ilvl w:val="0"/>
          <w:numId w:val="76"/>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As a rejoinder, the Audit Team noted that the above-mentioned policy does not provide any guidelines on the ECL in accordance with PFRS 9. Hence, we maintain our recommendations. </w:t>
      </w:r>
    </w:p>
    <w:p w14:paraId="1C8C20CF" w14:textId="77777777" w:rsidR="00E50E21" w:rsidRPr="00485272" w:rsidRDefault="00E50E21" w:rsidP="00BB0337">
      <w:pPr>
        <w:pStyle w:val="ListParagraph"/>
        <w:rPr>
          <w:rFonts w:ascii="Arial" w:hAnsi="Arial" w:cs="Arial"/>
          <w:sz w:val="22"/>
          <w:szCs w:val="22"/>
        </w:rPr>
      </w:pPr>
    </w:p>
    <w:p w14:paraId="43000E5A" w14:textId="1B413BD2" w:rsidR="004E07CA" w:rsidRPr="00BB0337" w:rsidRDefault="004E07CA" w:rsidP="00485272">
      <w:pPr>
        <w:pStyle w:val="NormalWeb"/>
        <w:numPr>
          <w:ilvl w:val="0"/>
          <w:numId w:val="76"/>
        </w:numPr>
        <w:spacing w:before="0" w:beforeAutospacing="0" w:after="0" w:afterAutospacing="0"/>
        <w:ind w:left="1267" w:hanging="691"/>
        <w:jc w:val="both"/>
        <w:rPr>
          <w:rFonts w:ascii="Arial" w:hAnsi="Arial" w:cs="Arial"/>
          <w:b/>
          <w:sz w:val="22"/>
          <w:szCs w:val="22"/>
        </w:rPr>
      </w:pPr>
      <w:r w:rsidRPr="00BB0337">
        <w:rPr>
          <w:rFonts w:ascii="Arial" w:hAnsi="Arial" w:cs="Arial"/>
          <w:b/>
          <w:sz w:val="22"/>
          <w:szCs w:val="22"/>
        </w:rPr>
        <w:t>We further recommend that the mentioned policy on providing allowance for probable losses and writing-off of accounts be updated/revised to comply with the requirements of PFRS 9.</w:t>
      </w:r>
    </w:p>
    <w:p w14:paraId="40070E21"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bookmarkStart w:id="0" w:name="_Hlk133346948"/>
    </w:p>
    <w:p w14:paraId="69B5EA11" w14:textId="77777777" w:rsidR="007D7EEA" w:rsidRPr="00485272" w:rsidRDefault="007D7EEA" w:rsidP="00485272">
      <w:pPr>
        <w:pStyle w:val="NormalWeb"/>
        <w:spacing w:before="0" w:beforeAutospacing="0" w:after="0" w:afterAutospacing="0"/>
        <w:ind w:left="1260"/>
        <w:jc w:val="both"/>
        <w:rPr>
          <w:rFonts w:ascii="Arial" w:hAnsi="Arial" w:cs="Arial"/>
          <w:sz w:val="22"/>
          <w:szCs w:val="22"/>
        </w:rPr>
      </w:pPr>
    </w:p>
    <w:p w14:paraId="02E18577" w14:textId="4CCFF5D3" w:rsidR="00B009D9" w:rsidRPr="00485272" w:rsidRDefault="00B009D9" w:rsidP="00BB0337">
      <w:pPr>
        <w:pStyle w:val="NormalWeb"/>
        <w:numPr>
          <w:ilvl w:val="0"/>
          <w:numId w:val="3"/>
        </w:numPr>
        <w:spacing w:before="0" w:beforeAutospacing="0" w:after="0" w:afterAutospacing="0"/>
        <w:ind w:left="576" w:hanging="576"/>
        <w:jc w:val="both"/>
        <w:rPr>
          <w:rFonts w:ascii="Arial" w:hAnsi="Arial" w:cs="Arial"/>
          <w:b/>
          <w:bCs/>
          <w:sz w:val="22"/>
          <w:szCs w:val="22"/>
        </w:rPr>
      </w:pPr>
      <w:r w:rsidRPr="00485272">
        <w:rPr>
          <w:rFonts w:ascii="Arial" w:hAnsi="Arial" w:cs="Arial"/>
          <w:b/>
          <w:bCs/>
          <w:sz w:val="22"/>
          <w:szCs w:val="22"/>
        </w:rPr>
        <w:t>The accuracy and fair presentation of the MC</w:t>
      </w:r>
      <w:r w:rsidR="004C5AFE" w:rsidRPr="00485272">
        <w:rPr>
          <w:rFonts w:ascii="Arial" w:hAnsi="Arial" w:cs="Arial"/>
          <w:b/>
          <w:bCs/>
          <w:sz w:val="22"/>
          <w:szCs w:val="22"/>
        </w:rPr>
        <w:t>s</w:t>
      </w:r>
      <w:r w:rsidRPr="00485272">
        <w:rPr>
          <w:rFonts w:ascii="Arial" w:hAnsi="Arial" w:cs="Arial"/>
          <w:b/>
          <w:bCs/>
          <w:sz w:val="22"/>
          <w:szCs w:val="22"/>
        </w:rPr>
        <w:t xml:space="preserve"> Payable and Estimated Liability on Earnings of MC</w:t>
      </w:r>
      <w:r w:rsidR="004C5AFE" w:rsidRPr="00485272">
        <w:rPr>
          <w:rFonts w:ascii="Arial" w:hAnsi="Arial" w:cs="Arial"/>
          <w:b/>
          <w:bCs/>
          <w:sz w:val="22"/>
          <w:szCs w:val="22"/>
        </w:rPr>
        <w:t>s</w:t>
      </w:r>
      <w:r w:rsidRPr="00485272">
        <w:rPr>
          <w:rFonts w:ascii="Arial" w:hAnsi="Arial" w:cs="Arial"/>
          <w:b/>
          <w:bCs/>
          <w:sz w:val="22"/>
          <w:szCs w:val="22"/>
        </w:rPr>
        <w:t xml:space="preserve"> accounts in the FS amounting to P1.285 billion and P785.431 million, respectively, as at December 31, 2022, could not be established due to the presence of unreconciled amount of P116.560 million between the</w:t>
      </w:r>
      <w:r w:rsidR="00185CEC" w:rsidRPr="00485272">
        <w:rPr>
          <w:rFonts w:ascii="Arial" w:hAnsi="Arial" w:cs="Arial"/>
          <w:b/>
          <w:bCs/>
          <w:sz w:val="22"/>
          <w:szCs w:val="22"/>
        </w:rPr>
        <w:t xml:space="preserve"> General Ledger</w:t>
      </w:r>
      <w:r w:rsidRPr="00485272">
        <w:rPr>
          <w:rFonts w:ascii="Arial" w:hAnsi="Arial" w:cs="Arial"/>
          <w:b/>
          <w:bCs/>
          <w:sz w:val="22"/>
          <w:szCs w:val="22"/>
        </w:rPr>
        <w:t xml:space="preserve"> </w:t>
      </w:r>
      <w:r w:rsidR="00185CEC" w:rsidRPr="00485272">
        <w:rPr>
          <w:rFonts w:ascii="Arial" w:hAnsi="Arial" w:cs="Arial"/>
          <w:b/>
          <w:bCs/>
          <w:sz w:val="22"/>
          <w:szCs w:val="22"/>
        </w:rPr>
        <w:t>(</w:t>
      </w:r>
      <w:r w:rsidRPr="00485272">
        <w:rPr>
          <w:rFonts w:ascii="Arial" w:hAnsi="Arial" w:cs="Arial"/>
          <w:b/>
          <w:bCs/>
          <w:sz w:val="22"/>
          <w:szCs w:val="22"/>
        </w:rPr>
        <w:t>GL</w:t>
      </w:r>
      <w:r w:rsidR="00185CEC" w:rsidRPr="00485272">
        <w:rPr>
          <w:rFonts w:ascii="Arial" w:hAnsi="Arial" w:cs="Arial"/>
          <w:b/>
          <w:bCs/>
          <w:sz w:val="22"/>
          <w:szCs w:val="22"/>
        </w:rPr>
        <w:t>)</w:t>
      </w:r>
      <w:r w:rsidRPr="00485272">
        <w:rPr>
          <w:rFonts w:ascii="Arial" w:hAnsi="Arial" w:cs="Arial"/>
          <w:b/>
          <w:bCs/>
          <w:sz w:val="22"/>
          <w:szCs w:val="22"/>
        </w:rPr>
        <w:t xml:space="preserve"> and </w:t>
      </w:r>
      <w:r w:rsidR="00185CEC" w:rsidRPr="00485272">
        <w:rPr>
          <w:rFonts w:ascii="Arial" w:hAnsi="Arial" w:cs="Arial"/>
          <w:b/>
          <w:bCs/>
          <w:sz w:val="22"/>
          <w:szCs w:val="22"/>
        </w:rPr>
        <w:t>Subsidiary Ledger (</w:t>
      </w:r>
      <w:r w:rsidRPr="00485272">
        <w:rPr>
          <w:rFonts w:ascii="Arial" w:hAnsi="Arial" w:cs="Arial"/>
          <w:b/>
          <w:bCs/>
          <w:sz w:val="22"/>
          <w:szCs w:val="22"/>
        </w:rPr>
        <w:t>SL</w:t>
      </w:r>
      <w:r w:rsidR="00185CEC" w:rsidRPr="00485272">
        <w:rPr>
          <w:rFonts w:ascii="Arial" w:hAnsi="Arial" w:cs="Arial"/>
          <w:b/>
          <w:bCs/>
          <w:sz w:val="22"/>
          <w:szCs w:val="22"/>
        </w:rPr>
        <w:t>)</w:t>
      </w:r>
      <w:r w:rsidRPr="00485272">
        <w:rPr>
          <w:rFonts w:ascii="Arial" w:hAnsi="Arial" w:cs="Arial"/>
          <w:b/>
          <w:bCs/>
          <w:sz w:val="22"/>
          <w:szCs w:val="22"/>
        </w:rPr>
        <w:t xml:space="preserve"> balances. </w:t>
      </w:r>
    </w:p>
    <w:p w14:paraId="20C9E04D" w14:textId="77777777" w:rsidR="00B009D9" w:rsidRPr="00485272" w:rsidRDefault="00B009D9" w:rsidP="00485272">
      <w:pPr>
        <w:pStyle w:val="NormalWeb"/>
        <w:spacing w:before="0" w:beforeAutospacing="0" w:after="0" w:afterAutospacing="0"/>
        <w:jc w:val="both"/>
        <w:rPr>
          <w:rFonts w:ascii="Arial" w:hAnsi="Arial" w:cs="Arial"/>
          <w:b/>
          <w:bCs/>
          <w:sz w:val="22"/>
          <w:szCs w:val="22"/>
        </w:rPr>
      </w:pPr>
    </w:p>
    <w:p w14:paraId="7BAEBB0B" w14:textId="58F38F41"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This is a reiteration </w:t>
      </w:r>
      <w:r w:rsidR="006F5114" w:rsidRPr="00485272">
        <w:rPr>
          <w:rFonts w:ascii="Arial" w:hAnsi="Arial" w:cs="Arial"/>
          <w:sz w:val="22"/>
          <w:szCs w:val="22"/>
        </w:rPr>
        <w:t xml:space="preserve">with modifications </w:t>
      </w:r>
      <w:r w:rsidRPr="00485272">
        <w:rPr>
          <w:rFonts w:ascii="Arial" w:hAnsi="Arial" w:cs="Arial"/>
          <w:sz w:val="22"/>
          <w:szCs w:val="22"/>
        </w:rPr>
        <w:t>of PYs</w:t>
      </w:r>
      <w:r w:rsidR="006F5114" w:rsidRPr="00485272">
        <w:rPr>
          <w:rFonts w:ascii="Arial" w:hAnsi="Arial" w:cs="Arial"/>
          <w:sz w:val="22"/>
          <w:szCs w:val="22"/>
        </w:rPr>
        <w:t>’</w:t>
      </w:r>
      <w:r w:rsidRPr="00485272">
        <w:rPr>
          <w:rFonts w:ascii="Arial" w:hAnsi="Arial" w:cs="Arial"/>
          <w:sz w:val="22"/>
          <w:szCs w:val="22"/>
        </w:rPr>
        <w:t xml:space="preserve"> </w:t>
      </w:r>
      <w:r w:rsidR="006F5114" w:rsidRPr="00485272">
        <w:rPr>
          <w:rFonts w:ascii="Arial" w:hAnsi="Arial" w:cs="Arial"/>
          <w:sz w:val="22"/>
          <w:szCs w:val="22"/>
        </w:rPr>
        <w:t>AO</w:t>
      </w:r>
      <w:r w:rsidRPr="00485272">
        <w:rPr>
          <w:rFonts w:ascii="Arial" w:hAnsi="Arial" w:cs="Arial"/>
          <w:sz w:val="22"/>
          <w:szCs w:val="22"/>
        </w:rPr>
        <w:t xml:space="preserve"> as embodied in the CYs 2018, 2019, 2020 and 2021 </w:t>
      </w:r>
      <w:r w:rsidR="006F5114" w:rsidRPr="00485272">
        <w:rPr>
          <w:rFonts w:ascii="Arial" w:hAnsi="Arial" w:cs="Arial"/>
          <w:sz w:val="22"/>
          <w:szCs w:val="22"/>
        </w:rPr>
        <w:t>AARs</w:t>
      </w:r>
      <w:r w:rsidRPr="00485272">
        <w:rPr>
          <w:rFonts w:ascii="Arial" w:hAnsi="Arial" w:cs="Arial"/>
          <w:sz w:val="22"/>
          <w:szCs w:val="22"/>
        </w:rPr>
        <w:t>.</w:t>
      </w:r>
    </w:p>
    <w:p w14:paraId="794A9A5E" w14:textId="77777777" w:rsidR="00B009D9" w:rsidRPr="00485272" w:rsidRDefault="00B009D9" w:rsidP="00485272">
      <w:pPr>
        <w:pStyle w:val="ListParagraph"/>
        <w:ind w:left="1080"/>
        <w:jc w:val="both"/>
        <w:rPr>
          <w:rFonts w:ascii="Arial" w:hAnsi="Arial" w:cs="Arial"/>
          <w:sz w:val="22"/>
          <w:szCs w:val="22"/>
        </w:rPr>
      </w:pPr>
      <w:r w:rsidRPr="00485272">
        <w:rPr>
          <w:rFonts w:ascii="Arial" w:hAnsi="Arial" w:cs="Arial"/>
          <w:sz w:val="22"/>
          <w:szCs w:val="22"/>
        </w:rPr>
        <w:t xml:space="preserve"> </w:t>
      </w:r>
    </w:p>
    <w:p w14:paraId="3E10EE47" w14:textId="77777777"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Paragraph 15 of PAS 1 on fair presentation and compliance with PFRS states that:</w:t>
      </w:r>
    </w:p>
    <w:p w14:paraId="2A91E373" w14:textId="77777777" w:rsidR="00B009D9" w:rsidRPr="00485272" w:rsidRDefault="00B009D9" w:rsidP="00485272">
      <w:pPr>
        <w:pStyle w:val="NoSpacing"/>
        <w:ind w:left="1096" w:right="345"/>
        <w:jc w:val="both"/>
        <w:rPr>
          <w:rFonts w:ascii="Arial" w:hAnsi="Arial" w:cs="Arial"/>
          <w:i/>
        </w:rPr>
      </w:pPr>
    </w:p>
    <w:p w14:paraId="39CF7B75" w14:textId="77777777" w:rsidR="00B009D9" w:rsidRPr="00485272" w:rsidRDefault="00B009D9" w:rsidP="00485272">
      <w:pPr>
        <w:spacing w:after="0" w:line="240" w:lineRule="auto"/>
        <w:ind w:left="1728" w:right="432"/>
        <w:jc w:val="both"/>
        <w:rPr>
          <w:rFonts w:ascii="Arial" w:hAnsi="Arial" w:cs="Arial"/>
          <w:i/>
        </w:rPr>
      </w:pPr>
      <w:r w:rsidRPr="00485272">
        <w:rPr>
          <w:rFonts w:ascii="Arial" w:hAnsi="Arial" w:cs="Arial"/>
          <w:i/>
        </w:rPr>
        <w:t>Financial statements shall present fairly the financial position, financial performance and cash flows of an entity. Fair presentation requires the faithful representation of the effects of transactions, other events and conditions in accordance with the definitions and recognition criteria for assets, liabilities, income and expenses set out in the Framework. Xxx.</w:t>
      </w:r>
    </w:p>
    <w:p w14:paraId="67C018AF" w14:textId="77777777" w:rsidR="00B009D9" w:rsidRPr="00485272" w:rsidRDefault="00B009D9" w:rsidP="00485272">
      <w:pPr>
        <w:pStyle w:val="ListParagraph"/>
        <w:ind w:left="1080"/>
        <w:jc w:val="both"/>
        <w:rPr>
          <w:rFonts w:ascii="Arial" w:hAnsi="Arial" w:cs="Arial"/>
          <w:sz w:val="22"/>
          <w:szCs w:val="22"/>
        </w:rPr>
      </w:pPr>
    </w:p>
    <w:p w14:paraId="4F7FE1F7" w14:textId="263D8DCC"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PD No. 361 (s. 1973) established the AFPRSBS and gave it the mandate to provide a self-reliant funding scheme and continuous financial support to the </w:t>
      </w:r>
      <w:r w:rsidR="00ED1632" w:rsidRPr="00485272">
        <w:rPr>
          <w:rFonts w:ascii="Arial" w:hAnsi="Arial" w:cs="Arial"/>
          <w:sz w:val="22"/>
          <w:szCs w:val="22"/>
        </w:rPr>
        <w:t>Armed Forces of the Philippines (</w:t>
      </w:r>
      <w:r w:rsidRPr="00485272">
        <w:rPr>
          <w:rFonts w:ascii="Arial" w:hAnsi="Arial" w:cs="Arial"/>
          <w:sz w:val="22"/>
          <w:szCs w:val="22"/>
        </w:rPr>
        <w:t>AFP</w:t>
      </w:r>
      <w:r w:rsidR="00ED1632" w:rsidRPr="00485272">
        <w:rPr>
          <w:rFonts w:ascii="Arial" w:hAnsi="Arial" w:cs="Arial"/>
          <w:sz w:val="22"/>
          <w:szCs w:val="22"/>
        </w:rPr>
        <w:t>)</w:t>
      </w:r>
      <w:r w:rsidRPr="00485272">
        <w:rPr>
          <w:rFonts w:ascii="Arial" w:hAnsi="Arial" w:cs="Arial"/>
          <w:sz w:val="22"/>
          <w:szCs w:val="22"/>
        </w:rPr>
        <w:t xml:space="preserve"> retirement system.  In 2003, it was established by the </w:t>
      </w:r>
      <w:r w:rsidRPr="00485272">
        <w:rPr>
          <w:rFonts w:ascii="Arial" w:hAnsi="Arial" w:cs="Arial"/>
          <w:i/>
          <w:iCs/>
          <w:sz w:val="22"/>
          <w:szCs w:val="22"/>
        </w:rPr>
        <w:t>Feliciano Commission Report</w:t>
      </w:r>
      <w:r w:rsidRPr="00485272">
        <w:rPr>
          <w:rFonts w:ascii="Arial" w:hAnsi="Arial" w:cs="Arial"/>
          <w:sz w:val="22"/>
          <w:szCs w:val="22"/>
        </w:rPr>
        <w:t> that AFPRSBS was “fundamentally flawed” and had not discharged its mandate.  Hence, EO No. 590 (s. 2006), as amended by EO No. 590-A (s. 2007)</w:t>
      </w:r>
      <w:r w:rsidRPr="00485272">
        <w:rPr>
          <w:rFonts w:ascii="Arial" w:hAnsi="Arial" w:cs="Arial"/>
          <w:sz w:val="22"/>
          <w:szCs w:val="22"/>
          <w:shd w:val="clear" w:color="auto" w:fill="FFFFFF"/>
        </w:rPr>
        <w:t xml:space="preserve"> </w:t>
      </w:r>
      <w:r w:rsidRPr="00485272">
        <w:rPr>
          <w:rFonts w:ascii="Arial" w:hAnsi="Arial" w:cs="Arial"/>
          <w:sz w:val="22"/>
          <w:szCs w:val="22"/>
        </w:rPr>
        <w:t xml:space="preserve">were issued </w:t>
      </w:r>
      <w:r w:rsidRPr="00485272">
        <w:rPr>
          <w:rFonts w:ascii="Arial" w:hAnsi="Arial" w:cs="Arial"/>
          <w:sz w:val="22"/>
          <w:szCs w:val="22"/>
        </w:rPr>
        <w:lastRenderedPageBreak/>
        <w:t xml:space="preserve">mandating the deactivation of AFPRSBS, including its winding down and liquidation, but the same were not fully implemented.  </w:t>
      </w:r>
    </w:p>
    <w:p w14:paraId="780CAC40" w14:textId="77777777" w:rsidR="00B009D9" w:rsidRPr="00485272" w:rsidRDefault="00B009D9" w:rsidP="00485272">
      <w:pPr>
        <w:pStyle w:val="ListParagraph"/>
        <w:ind w:left="1080"/>
        <w:jc w:val="both"/>
        <w:rPr>
          <w:rFonts w:ascii="Arial" w:hAnsi="Arial" w:cs="Arial"/>
          <w:sz w:val="22"/>
          <w:szCs w:val="22"/>
        </w:rPr>
      </w:pPr>
    </w:p>
    <w:p w14:paraId="19390631" w14:textId="0F7C5727"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Further, on April 8, 2016, MO No. 90 was issued to direct the abolition, winding down and liquidation of the AFPRSBS.  The cessation of collecting MCs</w:t>
      </w:r>
      <w:r w:rsidR="004C5AFE" w:rsidRPr="00485272">
        <w:rPr>
          <w:rFonts w:ascii="Arial" w:hAnsi="Arial" w:cs="Arial"/>
          <w:sz w:val="22"/>
          <w:szCs w:val="22"/>
        </w:rPr>
        <w:t>,</w:t>
      </w:r>
      <w:r w:rsidRPr="00485272">
        <w:rPr>
          <w:rFonts w:ascii="Arial" w:hAnsi="Arial" w:cs="Arial"/>
          <w:sz w:val="22"/>
          <w:szCs w:val="22"/>
        </w:rPr>
        <w:t xml:space="preserve"> accrual of interest </w:t>
      </w:r>
      <w:r w:rsidR="004C5AFE" w:rsidRPr="00485272">
        <w:rPr>
          <w:rFonts w:ascii="Arial" w:hAnsi="Arial" w:cs="Arial"/>
          <w:sz w:val="22"/>
          <w:szCs w:val="22"/>
        </w:rPr>
        <w:t xml:space="preserve">thereon </w:t>
      </w:r>
      <w:r w:rsidRPr="00485272">
        <w:rPr>
          <w:rFonts w:ascii="Arial" w:hAnsi="Arial" w:cs="Arial"/>
          <w:sz w:val="22"/>
          <w:szCs w:val="22"/>
        </w:rPr>
        <w:t xml:space="preserve">and </w:t>
      </w:r>
      <w:r w:rsidR="004C5AFE" w:rsidRPr="00485272">
        <w:rPr>
          <w:rFonts w:ascii="Arial" w:hAnsi="Arial" w:cs="Arial"/>
          <w:sz w:val="22"/>
          <w:szCs w:val="22"/>
        </w:rPr>
        <w:t xml:space="preserve">its </w:t>
      </w:r>
      <w:r w:rsidRPr="00485272">
        <w:rPr>
          <w:rFonts w:ascii="Arial" w:hAnsi="Arial" w:cs="Arial"/>
          <w:sz w:val="22"/>
          <w:szCs w:val="22"/>
        </w:rPr>
        <w:t xml:space="preserve">refund </w:t>
      </w:r>
      <w:r w:rsidR="004C5AFE" w:rsidRPr="00485272">
        <w:rPr>
          <w:rFonts w:ascii="Arial" w:hAnsi="Arial" w:cs="Arial"/>
          <w:sz w:val="22"/>
          <w:szCs w:val="22"/>
        </w:rPr>
        <w:t>to members</w:t>
      </w:r>
      <w:r w:rsidRPr="00485272">
        <w:rPr>
          <w:rFonts w:ascii="Arial" w:hAnsi="Arial" w:cs="Arial"/>
          <w:sz w:val="22"/>
          <w:szCs w:val="22"/>
        </w:rPr>
        <w:t xml:space="preserve"> as they fall due, are among the main purpose of MO 90.</w:t>
      </w:r>
    </w:p>
    <w:p w14:paraId="3BAF51DB" w14:textId="77777777" w:rsidR="00B009D9" w:rsidRPr="00485272" w:rsidRDefault="00B009D9" w:rsidP="00485272">
      <w:pPr>
        <w:pStyle w:val="ListParagraph"/>
        <w:rPr>
          <w:rFonts w:ascii="Arial" w:hAnsi="Arial" w:cs="Arial"/>
          <w:sz w:val="22"/>
          <w:szCs w:val="22"/>
        </w:rPr>
      </w:pPr>
    </w:p>
    <w:p w14:paraId="4FE4000C" w14:textId="02ED54CC"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On April 19, 2016, pursuant to the same MO, the AFPRSBS’ Board of Trustees convened as the BOL.  The BOL issued Board Resolution No. SPL-01-2016 which approved the stoppage of the collection of five per cent </w:t>
      </w:r>
      <w:r w:rsidR="004C5AFE" w:rsidRPr="00485272">
        <w:rPr>
          <w:rFonts w:ascii="Arial" w:hAnsi="Arial" w:cs="Arial"/>
          <w:sz w:val="22"/>
          <w:szCs w:val="22"/>
        </w:rPr>
        <w:t>MCs</w:t>
      </w:r>
      <w:r w:rsidRPr="00485272">
        <w:rPr>
          <w:rFonts w:ascii="Arial" w:hAnsi="Arial" w:cs="Arial"/>
          <w:sz w:val="22"/>
          <w:szCs w:val="22"/>
        </w:rPr>
        <w:t xml:space="preserve"> and the accrual of interest </w:t>
      </w:r>
      <w:r w:rsidR="004C5AFE" w:rsidRPr="00485272">
        <w:rPr>
          <w:rFonts w:ascii="Arial" w:hAnsi="Arial" w:cs="Arial"/>
          <w:sz w:val="22"/>
          <w:szCs w:val="22"/>
        </w:rPr>
        <w:t>there</w:t>
      </w:r>
      <w:r w:rsidRPr="00485272">
        <w:rPr>
          <w:rFonts w:ascii="Arial" w:hAnsi="Arial" w:cs="Arial"/>
          <w:sz w:val="22"/>
          <w:szCs w:val="22"/>
        </w:rPr>
        <w:t>on effective March 31, 2016.</w:t>
      </w:r>
    </w:p>
    <w:p w14:paraId="78E29CC1" w14:textId="77777777" w:rsidR="00B009D9" w:rsidRPr="00485272" w:rsidRDefault="00B009D9" w:rsidP="00485272">
      <w:pPr>
        <w:pStyle w:val="ListParagraph"/>
        <w:rPr>
          <w:rFonts w:ascii="Arial" w:hAnsi="Arial" w:cs="Arial"/>
          <w:sz w:val="22"/>
          <w:szCs w:val="22"/>
        </w:rPr>
      </w:pPr>
    </w:p>
    <w:p w14:paraId="28A4947F" w14:textId="3385F41A"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As at December 31, 2022, the balances of the MC</w:t>
      </w:r>
      <w:r w:rsidR="004C5AFE" w:rsidRPr="00485272">
        <w:rPr>
          <w:rFonts w:ascii="Arial" w:hAnsi="Arial" w:cs="Arial"/>
          <w:sz w:val="22"/>
          <w:szCs w:val="22"/>
        </w:rPr>
        <w:t>s</w:t>
      </w:r>
      <w:r w:rsidRPr="00485272">
        <w:rPr>
          <w:rFonts w:ascii="Arial" w:hAnsi="Arial" w:cs="Arial"/>
          <w:sz w:val="22"/>
          <w:szCs w:val="22"/>
        </w:rPr>
        <w:t xml:space="preserve"> Payable and Estimated Liability on Earnings of MCs accounts in the FS amounted to P1.285 billion and P785.431 million. The MC</w:t>
      </w:r>
      <w:r w:rsidR="004C5AFE" w:rsidRPr="00485272">
        <w:rPr>
          <w:rFonts w:ascii="Arial" w:hAnsi="Arial" w:cs="Arial"/>
          <w:sz w:val="22"/>
          <w:szCs w:val="22"/>
        </w:rPr>
        <w:t>s</w:t>
      </w:r>
      <w:r w:rsidRPr="00485272">
        <w:rPr>
          <w:rFonts w:ascii="Arial" w:hAnsi="Arial" w:cs="Arial"/>
          <w:sz w:val="22"/>
          <w:szCs w:val="22"/>
        </w:rPr>
        <w:t xml:space="preserve"> Payable account represents the total accumulated MC</w:t>
      </w:r>
      <w:r w:rsidR="00185CEC" w:rsidRPr="00485272">
        <w:rPr>
          <w:rFonts w:ascii="Arial" w:hAnsi="Arial" w:cs="Arial"/>
          <w:sz w:val="22"/>
          <w:szCs w:val="22"/>
        </w:rPr>
        <w:t>s</w:t>
      </w:r>
      <w:r w:rsidRPr="00485272">
        <w:rPr>
          <w:rFonts w:ascii="Arial" w:hAnsi="Arial" w:cs="Arial"/>
          <w:sz w:val="22"/>
          <w:szCs w:val="22"/>
        </w:rPr>
        <w:t xml:space="preserve"> to be refunded by the AFPRSBS to its members upon their retirement, separation, or discharge from active service, while the Estimated Liability on Earnings of MC</w:t>
      </w:r>
      <w:r w:rsidR="00185CEC" w:rsidRPr="00485272">
        <w:rPr>
          <w:rFonts w:ascii="Arial" w:hAnsi="Arial" w:cs="Arial"/>
          <w:sz w:val="22"/>
          <w:szCs w:val="22"/>
        </w:rPr>
        <w:t>s</w:t>
      </w:r>
      <w:r w:rsidRPr="00485272">
        <w:rPr>
          <w:rFonts w:ascii="Arial" w:hAnsi="Arial" w:cs="Arial"/>
          <w:sz w:val="22"/>
          <w:szCs w:val="22"/>
        </w:rPr>
        <w:t xml:space="preserve"> refers to the interest earned from the said contributions. Furthermore, all MC</w:t>
      </w:r>
      <w:r w:rsidR="00185CEC" w:rsidRPr="00485272">
        <w:rPr>
          <w:rFonts w:ascii="Arial" w:hAnsi="Arial" w:cs="Arial"/>
          <w:sz w:val="22"/>
          <w:szCs w:val="22"/>
        </w:rPr>
        <w:t>s</w:t>
      </w:r>
      <w:r w:rsidRPr="00485272">
        <w:rPr>
          <w:rFonts w:ascii="Arial" w:hAnsi="Arial" w:cs="Arial"/>
          <w:sz w:val="22"/>
          <w:szCs w:val="22"/>
        </w:rPr>
        <w:t xml:space="preserve"> Payable and Estimated Liability on Earnings of MC</w:t>
      </w:r>
      <w:r w:rsidR="00185CEC" w:rsidRPr="00485272">
        <w:rPr>
          <w:rFonts w:ascii="Arial" w:hAnsi="Arial" w:cs="Arial"/>
          <w:sz w:val="22"/>
          <w:szCs w:val="22"/>
        </w:rPr>
        <w:t>s</w:t>
      </w:r>
      <w:r w:rsidRPr="00485272">
        <w:rPr>
          <w:rFonts w:ascii="Arial" w:hAnsi="Arial" w:cs="Arial"/>
          <w:sz w:val="22"/>
          <w:szCs w:val="22"/>
        </w:rPr>
        <w:t xml:space="preserve"> were classified as current liability in consonance with AFPRSBS plan of paying all the remaining members by CY 2023.</w:t>
      </w:r>
    </w:p>
    <w:p w14:paraId="4CE193B1" w14:textId="77777777" w:rsidR="00B009D9" w:rsidRPr="00485272" w:rsidRDefault="00B009D9" w:rsidP="00485272">
      <w:pPr>
        <w:pStyle w:val="ListParagraph"/>
        <w:rPr>
          <w:rFonts w:ascii="Arial" w:hAnsi="Arial" w:cs="Arial"/>
          <w:sz w:val="22"/>
          <w:szCs w:val="22"/>
        </w:rPr>
      </w:pPr>
    </w:p>
    <w:p w14:paraId="04EBD90D" w14:textId="34F2502E"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The total amount of P2.070 billion for the two accounts represents 70 per cent </w:t>
      </w:r>
      <w:r w:rsidRPr="00485272">
        <w:rPr>
          <w:rFonts w:ascii="Arial" w:hAnsi="Arial" w:cs="Arial"/>
          <w:iCs/>
          <w:sz w:val="22"/>
          <w:szCs w:val="22"/>
        </w:rPr>
        <w:t>of</w:t>
      </w:r>
      <w:r w:rsidRPr="00485272">
        <w:rPr>
          <w:rFonts w:ascii="Arial" w:hAnsi="Arial" w:cs="Arial"/>
          <w:sz w:val="22"/>
          <w:szCs w:val="22"/>
        </w:rPr>
        <w:t xml:space="preserve"> the P2.972 billion total liabilities of the AFPRSBS as at </w:t>
      </w:r>
      <w:r w:rsidR="00185CEC" w:rsidRPr="00485272">
        <w:rPr>
          <w:rFonts w:ascii="Arial" w:hAnsi="Arial" w:cs="Arial"/>
          <w:sz w:val="22"/>
          <w:szCs w:val="22"/>
        </w:rPr>
        <w:br/>
      </w:r>
      <w:r w:rsidRPr="00485272">
        <w:rPr>
          <w:rFonts w:ascii="Arial" w:hAnsi="Arial" w:cs="Arial"/>
          <w:sz w:val="22"/>
          <w:szCs w:val="22"/>
        </w:rPr>
        <w:t>December 31, 2022.</w:t>
      </w:r>
    </w:p>
    <w:p w14:paraId="66F282D7" w14:textId="77777777" w:rsidR="00B009D9" w:rsidRPr="00485272" w:rsidRDefault="00B009D9" w:rsidP="00485272">
      <w:pPr>
        <w:pStyle w:val="ListParagraph"/>
        <w:ind w:left="1080"/>
        <w:jc w:val="both"/>
        <w:rPr>
          <w:rFonts w:ascii="Arial" w:hAnsi="Arial" w:cs="Arial"/>
          <w:sz w:val="22"/>
          <w:szCs w:val="22"/>
        </w:rPr>
      </w:pPr>
      <w:r w:rsidRPr="00485272">
        <w:rPr>
          <w:rFonts w:ascii="Arial" w:hAnsi="Arial" w:cs="Arial"/>
          <w:sz w:val="22"/>
          <w:szCs w:val="22"/>
        </w:rPr>
        <w:t xml:space="preserve"> </w:t>
      </w:r>
    </w:p>
    <w:p w14:paraId="00925803" w14:textId="65DABECB"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In maintaining the MC</w:t>
      </w:r>
      <w:r w:rsidR="00185CEC" w:rsidRPr="00485272">
        <w:rPr>
          <w:rFonts w:ascii="Arial" w:hAnsi="Arial" w:cs="Arial"/>
          <w:sz w:val="22"/>
          <w:szCs w:val="22"/>
        </w:rPr>
        <w:t>s</w:t>
      </w:r>
      <w:r w:rsidRPr="00485272">
        <w:rPr>
          <w:rFonts w:ascii="Arial" w:hAnsi="Arial" w:cs="Arial"/>
          <w:sz w:val="22"/>
          <w:szCs w:val="22"/>
        </w:rPr>
        <w:t xml:space="preserve"> payable and estimated earnings on MC</w:t>
      </w:r>
      <w:r w:rsidR="00185CEC" w:rsidRPr="00485272">
        <w:rPr>
          <w:rFonts w:ascii="Arial" w:hAnsi="Arial" w:cs="Arial"/>
          <w:sz w:val="22"/>
          <w:szCs w:val="22"/>
        </w:rPr>
        <w:t>s</w:t>
      </w:r>
      <w:r w:rsidRPr="00485272">
        <w:rPr>
          <w:rFonts w:ascii="Arial" w:hAnsi="Arial" w:cs="Arial"/>
          <w:sz w:val="22"/>
          <w:szCs w:val="22"/>
        </w:rPr>
        <w:t xml:space="preserve"> accounts, every member of the AFPRSBS has an SL card where his/her contributions and corresponding earned interest are posted.  However, the Accounting Department (AD) was not able to provide the Audit Team of </w:t>
      </w:r>
      <w:r w:rsidRPr="00485272">
        <w:rPr>
          <w:rFonts w:ascii="Arial" w:hAnsi="Arial" w:cs="Arial"/>
          <w:iCs/>
          <w:sz w:val="22"/>
          <w:szCs w:val="22"/>
        </w:rPr>
        <w:t>said</w:t>
      </w:r>
      <w:r w:rsidRPr="00485272">
        <w:rPr>
          <w:rFonts w:ascii="Arial" w:hAnsi="Arial" w:cs="Arial"/>
          <w:sz w:val="22"/>
          <w:szCs w:val="22"/>
        </w:rPr>
        <w:t xml:space="preserve"> ledgers of members, instead, the AD submitted a list extracted from the Integrated Financial Management System (IFMS) as at July 2015 which is still under reconciliation with the balance of the MC</w:t>
      </w:r>
      <w:r w:rsidR="0080471E" w:rsidRPr="00485272">
        <w:rPr>
          <w:rFonts w:ascii="Arial" w:hAnsi="Arial" w:cs="Arial"/>
          <w:sz w:val="22"/>
          <w:szCs w:val="22"/>
        </w:rPr>
        <w:t>s</w:t>
      </w:r>
      <w:r w:rsidRPr="00485272">
        <w:rPr>
          <w:rFonts w:ascii="Arial" w:hAnsi="Arial" w:cs="Arial"/>
          <w:sz w:val="22"/>
          <w:szCs w:val="22"/>
        </w:rPr>
        <w:t xml:space="preserve"> payable per books.  As at report date, the AD is continuously reconciling the data retrieved from the IFMS simultaneous with the processing of the member’s refund by the Membership Department.  According to them, once they can ascertain the correctness of the balance of each member’s account, they will be able to compute the total contributions including the estimated interest on MC</w:t>
      </w:r>
      <w:r w:rsidR="0080471E" w:rsidRPr="00485272">
        <w:rPr>
          <w:rFonts w:ascii="Arial" w:hAnsi="Arial" w:cs="Arial"/>
          <w:sz w:val="22"/>
          <w:szCs w:val="22"/>
        </w:rPr>
        <w:t>s</w:t>
      </w:r>
      <w:r w:rsidRPr="00485272">
        <w:rPr>
          <w:rFonts w:ascii="Arial" w:hAnsi="Arial" w:cs="Arial"/>
          <w:sz w:val="22"/>
          <w:szCs w:val="22"/>
        </w:rPr>
        <w:t xml:space="preserve"> earnings.  </w:t>
      </w:r>
    </w:p>
    <w:p w14:paraId="09471FC5" w14:textId="77777777" w:rsidR="00B009D9" w:rsidRPr="00485272" w:rsidRDefault="00B009D9" w:rsidP="00485272">
      <w:pPr>
        <w:pStyle w:val="ListParagraph"/>
        <w:rPr>
          <w:rFonts w:ascii="Arial" w:hAnsi="Arial" w:cs="Arial"/>
          <w:sz w:val="22"/>
          <w:szCs w:val="22"/>
        </w:rPr>
      </w:pPr>
    </w:p>
    <w:p w14:paraId="089A7049" w14:textId="76D249A3"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The individual SLs of the members in the IFMS contain all their monthly contributions except for some observed unposted contributions of which records are still being traced/validated against the printed Remittance Lists.  While there is an individual SL for each member in the IFMS, the computerized system does not provide for a facility to generate reports </w:t>
      </w:r>
      <w:r w:rsidRPr="00485272">
        <w:rPr>
          <w:rFonts w:ascii="Arial" w:hAnsi="Arial" w:cs="Arial"/>
          <w:iCs/>
          <w:sz w:val="22"/>
          <w:szCs w:val="22"/>
        </w:rPr>
        <w:t>pertaining</w:t>
      </w:r>
      <w:r w:rsidRPr="00485272">
        <w:rPr>
          <w:rFonts w:ascii="Arial" w:hAnsi="Arial" w:cs="Arial"/>
          <w:sz w:val="22"/>
          <w:szCs w:val="22"/>
        </w:rPr>
        <w:t xml:space="preserve"> to outstanding MC. Thus, in CY 2015, an expert was hired to extract the members’ individual ledger from the IFMS and converted it into an excel file, and it was found out that there was a variance between the balances per books and balances per IFMS of the MC</w:t>
      </w:r>
      <w:r w:rsidR="005115CC" w:rsidRPr="00485272">
        <w:rPr>
          <w:rFonts w:ascii="Arial" w:hAnsi="Arial" w:cs="Arial"/>
          <w:sz w:val="22"/>
          <w:szCs w:val="22"/>
        </w:rPr>
        <w:t>s</w:t>
      </w:r>
      <w:r w:rsidRPr="00485272">
        <w:rPr>
          <w:rFonts w:ascii="Arial" w:hAnsi="Arial" w:cs="Arial"/>
          <w:sz w:val="22"/>
          <w:szCs w:val="22"/>
        </w:rPr>
        <w:t xml:space="preserve"> Payable account.  </w:t>
      </w:r>
    </w:p>
    <w:p w14:paraId="0C968E33" w14:textId="77777777" w:rsidR="00B009D9" w:rsidRPr="00485272" w:rsidRDefault="00B009D9" w:rsidP="00485272">
      <w:pPr>
        <w:pStyle w:val="NormalWeb"/>
        <w:spacing w:before="0" w:beforeAutospacing="0" w:after="0" w:afterAutospacing="0"/>
        <w:ind w:left="1440" w:right="4320"/>
        <w:jc w:val="both"/>
        <w:rPr>
          <w:rFonts w:ascii="Arial" w:hAnsi="Arial" w:cs="Arial"/>
          <w:i/>
          <w:sz w:val="22"/>
          <w:szCs w:val="22"/>
        </w:rPr>
      </w:pPr>
    </w:p>
    <w:p w14:paraId="06DA02E9" w14:textId="599375EA"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lastRenderedPageBreak/>
        <w:t>As at December 31, 2022, the unreconciled variance between the GL and the extracted balances of the MC</w:t>
      </w:r>
      <w:r w:rsidR="00BF5A06" w:rsidRPr="00485272">
        <w:rPr>
          <w:rFonts w:ascii="Arial" w:hAnsi="Arial" w:cs="Arial"/>
          <w:sz w:val="22"/>
          <w:szCs w:val="22"/>
        </w:rPr>
        <w:t>s</w:t>
      </w:r>
      <w:r w:rsidRPr="00485272">
        <w:rPr>
          <w:rFonts w:ascii="Arial" w:hAnsi="Arial" w:cs="Arial"/>
          <w:sz w:val="22"/>
          <w:szCs w:val="22"/>
        </w:rPr>
        <w:t xml:space="preserve"> Payable account from the IFMS was reduced to P116.560 million from P596.622 million on July 31, 2015, as shown in Table </w:t>
      </w:r>
      <w:r w:rsidR="00873D69" w:rsidRPr="00485272">
        <w:rPr>
          <w:rFonts w:ascii="Arial" w:hAnsi="Arial" w:cs="Arial"/>
          <w:sz w:val="22"/>
          <w:szCs w:val="22"/>
        </w:rPr>
        <w:t>4.1</w:t>
      </w:r>
      <w:r w:rsidRPr="00485272">
        <w:rPr>
          <w:rFonts w:ascii="Arial" w:hAnsi="Arial" w:cs="Arial"/>
          <w:sz w:val="22"/>
          <w:szCs w:val="22"/>
        </w:rPr>
        <w:t>.</w:t>
      </w:r>
    </w:p>
    <w:p w14:paraId="74AE69F3" w14:textId="77777777" w:rsidR="00B009D9" w:rsidRPr="00485272" w:rsidRDefault="00B009D9" w:rsidP="00485272">
      <w:pPr>
        <w:pStyle w:val="NoSpacing"/>
        <w:jc w:val="center"/>
        <w:rPr>
          <w:rFonts w:ascii="Arial" w:hAnsi="Arial" w:cs="Arial"/>
          <w:b/>
        </w:rPr>
      </w:pPr>
    </w:p>
    <w:p w14:paraId="62239027" w14:textId="77777777" w:rsidR="00B009D9" w:rsidRPr="00485272" w:rsidRDefault="00B009D9" w:rsidP="00485272">
      <w:pPr>
        <w:pStyle w:val="NoSpacing"/>
        <w:tabs>
          <w:tab w:val="left" w:pos="6237"/>
        </w:tabs>
        <w:ind w:left="1350" w:hanging="90"/>
        <w:jc w:val="center"/>
        <w:rPr>
          <w:rFonts w:ascii="Arial" w:hAnsi="Arial" w:cs="Arial"/>
          <w:b/>
        </w:rPr>
      </w:pPr>
      <w:r w:rsidRPr="00485272">
        <w:rPr>
          <w:rFonts w:ascii="Arial" w:hAnsi="Arial" w:cs="Arial"/>
          <w:b/>
        </w:rPr>
        <w:t xml:space="preserve">Table </w:t>
      </w:r>
      <w:r w:rsidR="00873D69" w:rsidRPr="00485272">
        <w:rPr>
          <w:rFonts w:ascii="Arial" w:hAnsi="Arial" w:cs="Arial"/>
          <w:b/>
        </w:rPr>
        <w:t>4.1</w:t>
      </w:r>
      <w:r w:rsidRPr="00485272">
        <w:rPr>
          <w:rFonts w:ascii="Arial" w:hAnsi="Arial" w:cs="Arial"/>
          <w:b/>
        </w:rPr>
        <w:t xml:space="preserve"> - Status of the CY 2015 Reconciliation of books/GL Balances</w:t>
      </w:r>
    </w:p>
    <w:p w14:paraId="095E1232" w14:textId="44E56001" w:rsidR="00B009D9" w:rsidRPr="00485272" w:rsidRDefault="00B009D9" w:rsidP="00485272">
      <w:pPr>
        <w:pStyle w:val="NoSpacing"/>
        <w:ind w:left="1260" w:hanging="11"/>
        <w:jc w:val="center"/>
        <w:rPr>
          <w:rFonts w:ascii="Arial" w:hAnsi="Arial" w:cs="Arial"/>
          <w:b/>
        </w:rPr>
      </w:pPr>
      <w:r w:rsidRPr="00485272">
        <w:rPr>
          <w:rFonts w:ascii="Arial" w:hAnsi="Arial" w:cs="Arial"/>
          <w:b/>
        </w:rPr>
        <w:t>with IFMS SL Balances of the MC</w:t>
      </w:r>
      <w:r w:rsidR="0080471E" w:rsidRPr="00485272">
        <w:rPr>
          <w:rFonts w:ascii="Arial" w:hAnsi="Arial" w:cs="Arial"/>
          <w:b/>
        </w:rPr>
        <w:t>s</w:t>
      </w:r>
      <w:r w:rsidRPr="00485272">
        <w:rPr>
          <w:rFonts w:ascii="Arial" w:hAnsi="Arial" w:cs="Arial"/>
          <w:b/>
        </w:rPr>
        <w:t xml:space="preserve"> account</w:t>
      </w:r>
    </w:p>
    <w:p w14:paraId="78ECBC76" w14:textId="77777777" w:rsidR="00B009D9" w:rsidRPr="00311728" w:rsidRDefault="00B009D9" w:rsidP="00485272">
      <w:pPr>
        <w:pStyle w:val="NoSpacing"/>
        <w:ind w:left="1350"/>
        <w:jc w:val="center"/>
        <w:rPr>
          <w:rFonts w:ascii="Arial" w:hAnsi="Arial" w:cs="Arial"/>
          <w:b/>
        </w:rPr>
      </w:pPr>
      <w:r w:rsidRPr="00311728">
        <w:rPr>
          <w:rFonts w:ascii="Arial" w:hAnsi="Arial" w:cs="Arial"/>
          <w:b/>
        </w:rPr>
        <w:t>As at December 21, 202</w:t>
      </w:r>
      <w:r w:rsidR="00873D69" w:rsidRPr="00311728">
        <w:rPr>
          <w:rFonts w:ascii="Arial" w:hAnsi="Arial" w:cs="Arial"/>
          <w:b/>
        </w:rPr>
        <w:t>2</w:t>
      </w:r>
    </w:p>
    <w:p w14:paraId="2D06F2D4" w14:textId="77777777" w:rsidR="00B009D9" w:rsidRPr="00485272" w:rsidRDefault="00B009D9" w:rsidP="00485272">
      <w:pPr>
        <w:pStyle w:val="NoSpacing"/>
        <w:tabs>
          <w:tab w:val="left" w:pos="180"/>
          <w:tab w:val="left" w:pos="270"/>
          <w:tab w:val="left" w:pos="450"/>
        </w:tabs>
        <w:ind w:left="1350"/>
        <w:jc w:val="center"/>
        <w:rPr>
          <w:rFonts w:ascii="Arial" w:hAnsi="Arial" w:cs="Arial"/>
          <w:b/>
        </w:rPr>
      </w:pPr>
    </w:p>
    <w:tbl>
      <w:tblPr>
        <w:tblW w:w="7809" w:type="dxa"/>
        <w:tblInd w:w="900" w:type="dxa"/>
        <w:tblLayout w:type="fixed"/>
        <w:tblLook w:val="04A0" w:firstRow="1" w:lastRow="0" w:firstColumn="1" w:lastColumn="0" w:noHBand="0" w:noVBand="1"/>
      </w:tblPr>
      <w:tblGrid>
        <w:gridCol w:w="2160"/>
        <w:gridCol w:w="1968"/>
        <w:gridCol w:w="1968"/>
        <w:gridCol w:w="1713"/>
      </w:tblGrid>
      <w:tr w:rsidR="00B009D9" w:rsidRPr="001152D3" w14:paraId="501FB47A" w14:textId="77777777" w:rsidTr="003E7A81">
        <w:trPr>
          <w:trHeight w:val="20"/>
        </w:trPr>
        <w:tc>
          <w:tcPr>
            <w:tcW w:w="2160" w:type="dxa"/>
            <w:tcBorders>
              <w:top w:val="single" w:sz="4" w:space="0" w:color="auto"/>
              <w:left w:val="nil"/>
              <w:bottom w:val="single" w:sz="4" w:space="0" w:color="auto"/>
              <w:right w:val="nil"/>
            </w:tcBorders>
            <w:vAlign w:val="center"/>
            <w:hideMark/>
          </w:tcPr>
          <w:p w14:paraId="7E9E8182" w14:textId="77777777" w:rsidR="00B009D9" w:rsidRPr="00626CFF" w:rsidRDefault="00B009D9" w:rsidP="004B30CD">
            <w:pPr>
              <w:pStyle w:val="BodyText"/>
              <w:ind w:right="29"/>
              <w:jc w:val="center"/>
              <w:rPr>
                <w:rFonts w:cs="Arial"/>
                <w:b/>
                <w:szCs w:val="22"/>
              </w:rPr>
            </w:pPr>
            <w:r w:rsidRPr="00626CFF">
              <w:rPr>
                <w:rFonts w:cs="Arial"/>
                <w:b/>
                <w:szCs w:val="22"/>
              </w:rPr>
              <w:t>Calendar Year</w:t>
            </w:r>
          </w:p>
        </w:tc>
        <w:tc>
          <w:tcPr>
            <w:tcW w:w="1968" w:type="dxa"/>
            <w:tcBorders>
              <w:top w:val="single" w:sz="4" w:space="0" w:color="auto"/>
              <w:left w:val="nil"/>
              <w:bottom w:val="single" w:sz="4" w:space="0" w:color="auto"/>
              <w:right w:val="nil"/>
            </w:tcBorders>
            <w:vAlign w:val="center"/>
            <w:hideMark/>
          </w:tcPr>
          <w:p w14:paraId="21DB57E8" w14:textId="77777777" w:rsidR="00B009D9" w:rsidRPr="00626CFF" w:rsidRDefault="00B009D9" w:rsidP="004B30CD">
            <w:pPr>
              <w:pStyle w:val="BodyText"/>
              <w:ind w:right="29"/>
              <w:jc w:val="center"/>
              <w:rPr>
                <w:rFonts w:cs="Arial"/>
                <w:b/>
                <w:szCs w:val="22"/>
              </w:rPr>
            </w:pPr>
            <w:r w:rsidRPr="00626CFF">
              <w:rPr>
                <w:rFonts w:cs="Arial"/>
                <w:b/>
                <w:szCs w:val="22"/>
              </w:rPr>
              <w:t>Per books/GL</w:t>
            </w:r>
          </w:p>
        </w:tc>
        <w:tc>
          <w:tcPr>
            <w:tcW w:w="1968" w:type="dxa"/>
            <w:tcBorders>
              <w:top w:val="single" w:sz="4" w:space="0" w:color="auto"/>
              <w:left w:val="nil"/>
              <w:bottom w:val="single" w:sz="4" w:space="0" w:color="auto"/>
              <w:right w:val="nil"/>
            </w:tcBorders>
            <w:vAlign w:val="center"/>
          </w:tcPr>
          <w:p w14:paraId="76C82689" w14:textId="77777777" w:rsidR="00B009D9" w:rsidRPr="00626CFF" w:rsidRDefault="00B009D9" w:rsidP="004B30CD">
            <w:pPr>
              <w:pStyle w:val="BodyText"/>
              <w:ind w:right="29"/>
              <w:jc w:val="center"/>
              <w:rPr>
                <w:rFonts w:cs="Arial"/>
                <w:b/>
                <w:szCs w:val="22"/>
              </w:rPr>
            </w:pPr>
            <w:r w:rsidRPr="00626CFF">
              <w:rPr>
                <w:rFonts w:cs="Arial"/>
                <w:b/>
                <w:szCs w:val="22"/>
              </w:rPr>
              <w:t>Per IFMS SL</w:t>
            </w:r>
          </w:p>
        </w:tc>
        <w:tc>
          <w:tcPr>
            <w:tcW w:w="1713" w:type="dxa"/>
            <w:tcBorders>
              <w:top w:val="single" w:sz="4" w:space="0" w:color="auto"/>
              <w:left w:val="nil"/>
              <w:bottom w:val="single" w:sz="4" w:space="0" w:color="auto"/>
              <w:right w:val="nil"/>
            </w:tcBorders>
            <w:vAlign w:val="center"/>
          </w:tcPr>
          <w:p w14:paraId="777B4C01" w14:textId="77777777" w:rsidR="00B009D9" w:rsidRPr="00626CFF" w:rsidRDefault="00B009D9" w:rsidP="004B30CD">
            <w:pPr>
              <w:pStyle w:val="BodyText"/>
              <w:ind w:right="29"/>
              <w:jc w:val="center"/>
              <w:rPr>
                <w:rFonts w:cs="Arial"/>
                <w:b/>
                <w:szCs w:val="22"/>
              </w:rPr>
            </w:pPr>
            <w:r w:rsidRPr="00626CFF">
              <w:rPr>
                <w:rFonts w:cs="Arial"/>
                <w:b/>
                <w:szCs w:val="22"/>
              </w:rPr>
              <w:t>Variance</w:t>
            </w:r>
          </w:p>
        </w:tc>
      </w:tr>
      <w:tr w:rsidR="00B009D9" w:rsidRPr="001152D3" w14:paraId="254819FC" w14:textId="77777777" w:rsidTr="003E7A81">
        <w:trPr>
          <w:trHeight w:val="20"/>
        </w:trPr>
        <w:tc>
          <w:tcPr>
            <w:tcW w:w="2160" w:type="dxa"/>
            <w:tcBorders>
              <w:top w:val="single" w:sz="4" w:space="0" w:color="auto"/>
              <w:left w:val="nil"/>
              <w:right w:val="nil"/>
            </w:tcBorders>
            <w:vAlign w:val="bottom"/>
          </w:tcPr>
          <w:p w14:paraId="6B5B9EBC" w14:textId="77777777" w:rsidR="00B009D9" w:rsidRPr="00626CFF" w:rsidRDefault="00B009D9" w:rsidP="00D628B5">
            <w:pPr>
              <w:pStyle w:val="NoSpacing"/>
              <w:tabs>
                <w:tab w:val="left" w:pos="1559"/>
              </w:tabs>
              <w:ind w:right="-198"/>
              <w:rPr>
                <w:rFonts w:ascii="Arial" w:hAnsi="Arial" w:cs="Arial"/>
              </w:rPr>
            </w:pPr>
            <w:r w:rsidRPr="00626CFF">
              <w:rPr>
                <w:rFonts w:ascii="Arial" w:hAnsi="Arial" w:cs="Arial"/>
              </w:rPr>
              <w:t>December 31, 2021</w:t>
            </w:r>
          </w:p>
        </w:tc>
        <w:tc>
          <w:tcPr>
            <w:tcW w:w="1968" w:type="dxa"/>
            <w:tcBorders>
              <w:top w:val="single" w:sz="4" w:space="0" w:color="auto"/>
              <w:left w:val="nil"/>
              <w:right w:val="nil"/>
            </w:tcBorders>
            <w:vAlign w:val="bottom"/>
            <w:hideMark/>
          </w:tcPr>
          <w:p w14:paraId="34E57A26" w14:textId="77777777" w:rsidR="00B009D9" w:rsidRPr="00626CFF" w:rsidRDefault="00B009D9" w:rsidP="00D628B5">
            <w:pPr>
              <w:pStyle w:val="NoSpacing"/>
              <w:jc w:val="right"/>
              <w:rPr>
                <w:rFonts w:ascii="Arial" w:hAnsi="Arial" w:cs="Arial"/>
              </w:rPr>
            </w:pPr>
            <w:r w:rsidRPr="00626CFF">
              <w:rPr>
                <w:rFonts w:ascii="Arial" w:hAnsi="Arial" w:cs="Arial"/>
              </w:rPr>
              <w:t>P 10,844,040,316</w:t>
            </w:r>
          </w:p>
        </w:tc>
        <w:tc>
          <w:tcPr>
            <w:tcW w:w="1968" w:type="dxa"/>
            <w:tcBorders>
              <w:top w:val="single" w:sz="4" w:space="0" w:color="auto"/>
              <w:left w:val="nil"/>
              <w:right w:val="nil"/>
            </w:tcBorders>
            <w:vAlign w:val="bottom"/>
          </w:tcPr>
          <w:p w14:paraId="628BD45A" w14:textId="77777777" w:rsidR="00B009D9" w:rsidRPr="00626CFF" w:rsidRDefault="00B009D9" w:rsidP="00D628B5">
            <w:pPr>
              <w:pStyle w:val="NoSpacing"/>
              <w:jc w:val="right"/>
              <w:rPr>
                <w:rFonts w:ascii="Arial" w:hAnsi="Arial" w:cs="Arial"/>
              </w:rPr>
            </w:pPr>
            <w:r w:rsidRPr="00626CFF">
              <w:rPr>
                <w:rFonts w:ascii="Arial" w:hAnsi="Arial" w:cs="Arial"/>
              </w:rPr>
              <w:t>P 11,440,662,372</w:t>
            </w:r>
          </w:p>
        </w:tc>
        <w:tc>
          <w:tcPr>
            <w:tcW w:w="1713" w:type="dxa"/>
            <w:tcBorders>
              <w:top w:val="single" w:sz="4" w:space="0" w:color="auto"/>
              <w:left w:val="nil"/>
              <w:right w:val="nil"/>
            </w:tcBorders>
            <w:vAlign w:val="bottom"/>
          </w:tcPr>
          <w:p w14:paraId="295E64A7" w14:textId="77777777" w:rsidR="00B009D9" w:rsidRPr="00626CFF" w:rsidRDefault="00B009D9" w:rsidP="00D628B5">
            <w:pPr>
              <w:pStyle w:val="NoSpacing"/>
              <w:ind w:left="-105"/>
              <w:jc w:val="right"/>
              <w:rPr>
                <w:rFonts w:ascii="Arial" w:hAnsi="Arial" w:cs="Arial"/>
              </w:rPr>
            </w:pPr>
            <w:r w:rsidRPr="00626CFF">
              <w:rPr>
                <w:rFonts w:ascii="Arial" w:hAnsi="Arial" w:cs="Arial"/>
              </w:rPr>
              <w:t>P   596,622,056</w:t>
            </w:r>
          </w:p>
        </w:tc>
      </w:tr>
      <w:tr w:rsidR="00B009D9" w:rsidRPr="001152D3" w14:paraId="7CB78479" w14:textId="77777777" w:rsidTr="003E7A81">
        <w:trPr>
          <w:trHeight w:val="20"/>
        </w:trPr>
        <w:tc>
          <w:tcPr>
            <w:tcW w:w="2160" w:type="dxa"/>
            <w:tcBorders>
              <w:top w:val="nil"/>
              <w:left w:val="nil"/>
              <w:bottom w:val="single" w:sz="4" w:space="0" w:color="auto"/>
              <w:right w:val="nil"/>
            </w:tcBorders>
            <w:vAlign w:val="center"/>
          </w:tcPr>
          <w:p w14:paraId="5A199EAE" w14:textId="77777777" w:rsidR="00B009D9" w:rsidRPr="00626CFF" w:rsidRDefault="00B009D9" w:rsidP="00D628B5">
            <w:pPr>
              <w:pStyle w:val="NoSpacing"/>
              <w:rPr>
                <w:rFonts w:ascii="Arial" w:hAnsi="Arial" w:cs="Arial"/>
              </w:rPr>
            </w:pPr>
            <w:r w:rsidRPr="00626CFF">
              <w:rPr>
                <w:rFonts w:ascii="Arial" w:hAnsi="Arial" w:cs="Arial"/>
              </w:rPr>
              <w:t>December 31, 2022</w:t>
            </w:r>
          </w:p>
        </w:tc>
        <w:tc>
          <w:tcPr>
            <w:tcW w:w="1968" w:type="dxa"/>
            <w:tcBorders>
              <w:top w:val="nil"/>
              <w:left w:val="nil"/>
              <w:bottom w:val="single" w:sz="4" w:space="0" w:color="auto"/>
              <w:right w:val="nil"/>
            </w:tcBorders>
            <w:vAlign w:val="bottom"/>
          </w:tcPr>
          <w:p w14:paraId="23E953A7" w14:textId="77777777" w:rsidR="00B009D9" w:rsidRPr="00626CFF" w:rsidRDefault="00B009D9" w:rsidP="00D628B5">
            <w:pPr>
              <w:pStyle w:val="NoSpacing"/>
              <w:jc w:val="right"/>
              <w:rPr>
                <w:rFonts w:ascii="Arial" w:hAnsi="Arial" w:cs="Arial"/>
              </w:rPr>
            </w:pPr>
            <w:r w:rsidRPr="00626CFF">
              <w:rPr>
                <w:rFonts w:ascii="Arial" w:hAnsi="Arial" w:cs="Arial"/>
              </w:rPr>
              <w:t>P   1,285,198,377</w:t>
            </w:r>
          </w:p>
        </w:tc>
        <w:tc>
          <w:tcPr>
            <w:tcW w:w="1968" w:type="dxa"/>
            <w:tcBorders>
              <w:top w:val="nil"/>
              <w:left w:val="nil"/>
              <w:bottom w:val="single" w:sz="4" w:space="0" w:color="auto"/>
              <w:right w:val="nil"/>
            </w:tcBorders>
            <w:vAlign w:val="bottom"/>
          </w:tcPr>
          <w:p w14:paraId="493AEA5C" w14:textId="77777777" w:rsidR="00B009D9" w:rsidRPr="00626CFF" w:rsidRDefault="00B009D9" w:rsidP="00D628B5">
            <w:pPr>
              <w:pStyle w:val="NoSpacing"/>
              <w:jc w:val="right"/>
              <w:rPr>
                <w:rFonts w:ascii="Arial" w:hAnsi="Arial" w:cs="Arial"/>
              </w:rPr>
            </w:pPr>
            <w:r w:rsidRPr="00626CFF">
              <w:rPr>
                <w:rFonts w:ascii="Arial" w:hAnsi="Arial" w:cs="Arial"/>
              </w:rPr>
              <w:t>P   1,401,758,644</w:t>
            </w:r>
          </w:p>
        </w:tc>
        <w:tc>
          <w:tcPr>
            <w:tcW w:w="1713" w:type="dxa"/>
            <w:tcBorders>
              <w:top w:val="nil"/>
              <w:left w:val="nil"/>
              <w:bottom w:val="single" w:sz="4" w:space="0" w:color="auto"/>
              <w:right w:val="nil"/>
            </w:tcBorders>
            <w:vAlign w:val="bottom"/>
          </w:tcPr>
          <w:p w14:paraId="743DAA34" w14:textId="77777777" w:rsidR="00B009D9" w:rsidRPr="00626CFF" w:rsidRDefault="00B009D9" w:rsidP="00D628B5">
            <w:pPr>
              <w:pStyle w:val="NoSpacing"/>
              <w:ind w:left="-161"/>
              <w:jc w:val="right"/>
              <w:rPr>
                <w:rFonts w:ascii="Arial" w:hAnsi="Arial" w:cs="Arial"/>
              </w:rPr>
            </w:pPr>
            <w:r w:rsidRPr="00626CFF">
              <w:rPr>
                <w:rFonts w:ascii="Arial" w:hAnsi="Arial" w:cs="Arial"/>
              </w:rPr>
              <w:t>P   116,560,267</w:t>
            </w:r>
          </w:p>
        </w:tc>
      </w:tr>
    </w:tbl>
    <w:p w14:paraId="27621244" w14:textId="77777777" w:rsidR="00B009D9" w:rsidRPr="00485272" w:rsidRDefault="00B009D9" w:rsidP="00485272">
      <w:pPr>
        <w:pStyle w:val="ListParagraph"/>
        <w:ind w:left="1276"/>
        <w:jc w:val="both"/>
        <w:rPr>
          <w:rFonts w:ascii="Arial" w:hAnsi="Arial" w:cs="Arial"/>
          <w:sz w:val="22"/>
          <w:szCs w:val="22"/>
        </w:rPr>
      </w:pPr>
    </w:p>
    <w:p w14:paraId="78637B5D" w14:textId="091F72AB"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To date, the continuous updating of the accounts is being performed by the AFPRSBS to determine the accurate amount of refund of MC</w:t>
      </w:r>
      <w:r w:rsidR="00BF5A06" w:rsidRPr="00485272">
        <w:rPr>
          <w:rFonts w:ascii="Arial" w:hAnsi="Arial" w:cs="Arial"/>
          <w:sz w:val="22"/>
          <w:szCs w:val="22"/>
        </w:rPr>
        <w:t>s</w:t>
      </w:r>
      <w:r w:rsidRPr="00485272">
        <w:rPr>
          <w:rFonts w:ascii="Arial" w:hAnsi="Arial" w:cs="Arial"/>
          <w:sz w:val="22"/>
          <w:szCs w:val="22"/>
        </w:rPr>
        <w:t xml:space="preserve"> including the interest earned thereon. </w:t>
      </w:r>
    </w:p>
    <w:p w14:paraId="1B8095A0" w14:textId="77777777" w:rsidR="00B009D9" w:rsidRPr="00485272" w:rsidRDefault="00B009D9" w:rsidP="00485272">
      <w:pPr>
        <w:spacing w:after="0" w:line="240" w:lineRule="auto"/>
        <w:ind w:left="810" w:right="525"/>
        <w:jc w:val="both"/>
        <w:rPr>
          <w:rFonts w:ascii="Arial" w:hAnsi="Arial" w:cs="Arial"/>
          <w:b/>
          <w:i/>
        </w:rPr>
      </w:pPr>
    </w:p>
    <w:p w14:paraId="2EF8D1E6" w14:textId="167EC9BD"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In addition, according to the AD, the variance in MC</w:t>
      </w:r>
      <w:r w:rsidR="00BF5A06" w:rsidRPr="00485272">
        <w:rPr>
          <w:rFonts w:ascii="Arial" w:hAnsi="Arial" w:cs="Arial"/>
          <w:sz w:val="22"/>
          <w:szCs w:val="22"/>
        </w:rPr>
        <w:t>s</w:t>
      </w:r>
      <w:r w:rsidRPr="00485272">
        <w:rPr>
          <w:rFonts w:ascii="Arial" w:hAnsi="Arial" w:cs="Arial"/>
          <w:sz w:val="22"/>
          <w:szCs w:val="22"/>
        </w:rPr>
        <w:t xml:space="preserve"> is still unreconciled despite the lapse of almost seven years from the time it was discovered due to the following: </w:t>
      </w:r>
    </w:p>
    <w:p w14:paraId="1A9935EE" w14:textId="77777777" w:rsidR="00B009D9" w:rsidRPr="00485272" w:rsidRDefault="00B009D9" w:rsidP="00485272">
      <w:pPr>
        <w:pStyle w:val="ListParagraph"/>
        <w:rPr>
          <w:rFonts w:ascii="Arial" w:hAnsi="Arial" w:cs="Arial"/>
          <w:sz w:val="22"/>
          <w:szCs w:val="22"/>
        </w:rPr>
      </w:pPr>
    </w:p>
    <w:p w14:paraId="02B6A8FB" w14:textId="77777777" w:rsidR="00B009D9" w:rsidRPr="00485272" w:rsidRDefault="00B009D9" w:rsidP="00485272">
      <w:pPr>
        <w:pStyle w:val="ListParagraph"/>
        <w:numPr>
          <w:ilvl w:val="1"/>
          <w:numId w:val="66"/>
        </w:numPr>
        <w:ind w:left="1701" w:hanging="425"/>
        <w:jc w:val="both"/>
        <w:rPr>
          <w:rFonts w:ascii="Arial" w:hAnsi="Arial" w:cs="Arial"/>
          <w:sz w:val="22"/>
          <w:szCs w:val="22"/>
        </w:rPr>
      </w:pPr>
      <w:r w:rsidRPr="00485272">
        <w:rPr>
          <w:rFonts w:ascii="Arial" w:hAnsi="Arial" w:cs="Arial"/>
          <w:sz w:val="22"/>
          <w:szCs w:val="22"/>
        </w:rPr>
        <w:t>Some members who were already refunded of their contributions are still included in the list, such as those who were refunded in CYs 2012 and 2013 via manual processing due to the crash of the IFMS2 in CY 2012;</w:t>
      </w:r>
    </w:p>
    <w:p w14:paraId="347D5D88" w14:textId="77777777" w:rsidR="00B009D9" w:rsidRPr="00485272" w:rsidRDefault="00B009D9" w:rsidP="00485272">
      <w:pPr>
        <w:pStyle w:val="ListParagraph"/>
        <w:ind w:left="1800"/>
        <w:jc w:val="both"/>
        <w:rPr>
          <w:rFonts w:ascii="Arial" w:hAnsi="Arial" w:cs="Arial"/>
          <w:sz w:val="22"/>
          <w:szCs w:val="22"/>
        </w:rPr>
      </w:pPr>
    </w:p>
    <w:p w14:paraId="4879F4AA" w14:textId="77777777" w:rsidR="00B009D9" w:rsidRPr="00485272" w:rsidRDefault="00B009D9" w:rsidP="00485272">
      <w:pPr>
        <w:pStyle w:val="ListParagraph"/>
        <w:numPr>
          <w:ilvl w:val="1"/>
          <w:numId w:val="66"/>
        </w:numPr>
        <w:ind w:left="1701" w:hanging="425"/>
        <w:jc w:val="both"/>
        <w:rPr>
          <w:rFonts w:ascii="Arial" w:hAnsi="Arial" w:cs="Arial"/>
          <w:sz w:val="22"/>
          <w:szCs w:val="22"/>
        </w:rPr>
      </w:pPr>
      <w:r w:rsidRPr="00485272">
        <w:rPr>
          <w:rFonts w:ascii="Arial" w:hAnsi="Arial" w:cs="Arial"/>
          <w:sz w:val="22"/>
          <w:szCs w:val="22"/>
        </w:rPr>
        <w:t>Some members have duplicate records whose refunds were based on the consolidated record, but the other record was not deleted/cleansed.  Hence, the contributions on the said record remain outstanding;</w:t>
      </w:r>
    </w:p>
    <w:p w14:paraId="09ABE877" w14:textId="77777777" w:rsidR="00B009D9" w:rsidRPr="00485272" w:rsidRDefault="00B009D9" w:rsidP="00485272">
      <w:pPr>
        <w:pStyle w:val="ListParagraph"/>
        <w:rPr>
          <w:rFonts w:ascii="Arial" w:hAnsi="Arial" w:cs="Arial"/>
          <w:sz w:val="22"/>
          <w:szCs w:val="22"/>
        </w:rPr>
      </w:pPr>
    </w:p>
    <w:p w14:paraId="2301D461" w14:textId="32A1280B" w:rsidR="00B009D9" w:rsidRPr="00485272" w:rsidRDefault="00B009D9" w:rsidP="00485272">
      <w:pPr>
        <w:pStyle w:val="ListParagraph"/>
        <w:numPr>
          <w:ilvl w:val="1"/>
          <w:numId w:val="66"/>
        </w:numPr>
        <w:ind w:left="1701" w:hanging="425"/>
        <w:jc w:val="both"/>
        <w:rPr>
          <w:rFonts w:ascii="Arial" w:hAnsi="Arial" w:cs="Arial"/>
          <w:sz w:val="22"/>
          <w:szCs w:val="22"/>
        </w:rPr>
      </w:pPr>
      <w:r w:rsidRPr="00485272">
        <w:rPr>
          <w:rFonts w:ascii="Arial" w:hAnsi="Arial" w:cs="Arial"/>
          <w:sz w:val="22"/>
          <w:szCs w:val="22"/>
        </w:rPr>
        <w:t xml:space="preserve">Some members have two different assigned serial numbers, hence, even if the refund is already made to such members, their other records of different </w:t>
      </w:r>
      <w:r w:rsidR="00D8413D" w:rsidRPr="00485272">
        <w:rPr>
          <w:rFonts w:ascii="Arial" w:hAnsi="Arial" w:cs="Arial"/>
          <w:sz w:val="22"/>
          <w:szCs w:val="22"/>
        </w:rPr>
        <w:t xml:space="preserve">serial numbers </w:t>
      </w:r>
      <w:r w:rsidRPr="00485272">
        <w:rPr>
          <w:rFonts w:ascii="Arial" w:hAnsi="Arial" w:cs="Arial"/>
          <w:sz w:val="22"/>
          <w:szCs w:val="22"/>
        </w:rPr>
        <w:t>will remain open/outstanding; and</w:t>
      </w:r>
    </w:p>
    <w:p w14:paraId="183D5B17" w14:textId="77777777" w:rsidR="00B009D9" w:rsidRPr="00485272" w:rsidRDefault="00B009D9" w:rsidP="00485272">
      <w:pPr>
        <w:pStyle w:val="ListParagraph"/>
        <w:rPr>
          <w:rFonts w:ascii="Arial" w:hAnsi="Arial" w:cs="Arial"/>
          <w:sz w:val="22"/>
          <w:szCs w:val="22"/>
        </w:rPr>
      </w:pPr>
    </w:p>
    <w:p w14:paraId="04DC50A2" w14:textId="77777777" w:rsidR="00B009D9" w:rsidRPr="00485272" w:rsidRDefault="00B009D9" w:rsidP="00485272">
      <w:pPr>
        <w:pStyle w:val="ListParagraph"/>
        <w:numPr>
          <w:ilvl w:val="1"/>
          <w:numId w:val="66"/>
        </w:numPr>
        <w:ind w:left="1701" w:hanging="425"/>
        <w:jc w:val="both"/>
        <w:rPr>
          <w:rFonts w:ascii="Arial" w:hAnsi="Arial" w:cs="Arial"/>
          <w:sz w:val="22"/>
          <w:szCs w:val="22"/>
        </w:rPr>
      </w:pPr>
      <w:r w:rsidRPr="00485272">
        <w:rPr>
          <w:rFonts w:ascii="Arial" w:hAnsi="Arial" w:cs="Arial"/>
          <w:sz w:val="22"/>
          <w:szCs w:val="22"/>
        </w:rPr>
        <w:t xml:space="preserve">Lack of adequate manpower who will focus solely on reconciliation. </w:t>
      </w:r>
    </w:p>
    <w:p w14:paraId="130E1113" w14:textId="77777777" w:rsidR="00B009D9" w:rsidRPr="00485272" w:rsidRDefault="00B009D9" w:rsidP="00485272">
      <w:pPr>
        <w:pStyle w:val="ListParagraph"/>
        <w:rPr>
          <w:rFonts w:ascii="Arial" w:hAnsi="Arial" w:cs="Arial"/>
          <w:sz w:val="22"/>
          <w:szCs w:val="22"/>
        </w:rPr>
      </w:pPr>
    </w:p>
    <w:p w14:paraId="1DB1BE8D" w14:textId="77777777"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On the other hand, the Management mentioned that their priority at this time is to refund first all the contributions to members and later work on the reconciliation of members’ accounts in order not to hamper the repayment process being made while the reconciliation is ongoing. </w:t>
      </w:r>
    </w:p>
    <w:p w14:paraId="46E7E6FD" w14:textId="77777777" w:rsidR="00B009D9" w:rsidRPr="00485272" w:rsidRDefault="00B009D9" w:rsidP="00485272">
      <w:pPr>
        <w:pStyle w:val="ListParagraph"/>
        <w:ind w:left="1276"/>
        <w:jc w:val="both"/>
        <w:rPr>
          <w:rFonts w:ascii="Arial" w:hAnsi="Arial" w:cs="Arial"/>
          <w:sz w:val="22"/>
          <w:szCs w:val="22"/>
        </w:rPr>
      </w:pPr>
    </w:p>
    <w:p w14:paraId="4995417D" w14:textId="3660C65D"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t xml:space="preserve">While we recognize Management’s effort of reconciling the P596.622 million noted variances in the CY 2015 audit which was reduced to P116.560 million as at report date, the said amount remains substantial. </w:t>
      </w:r>
      <w:r w:rsidR="000C2ED8" w:rsidRPr="00485272">
        <w:rPr>
          <w:rFonts w:ascii="Arial" w:hAnsi="Arial" w:cs="Arial"/>
          <w:sz w:val="22"/>
          <w:szCs w:val="22"/>
        </w:rPr>
        <w:t xml:space="preserve"> </w:t>
      </w:r>
      <w:r w:rsidRPr="00485272">
        <w:rPr>
          <w:rFonts w:ascii="Arial" w:hAnsi="Arial" w:cs="Arial"/>
          <w:sz w:val="22"/>
          <w:szCs w:val="22"/>
        </w:rPr>
        <w:t>It is to be emphasized that the AFPRSBS’ responsibility to have a complete, updated, and accurate SLs of the MC</w:t>
      </w:r>
      <w:r w:rsidR="0080471E" w:rsidRPr="00485272">
        <w:rPr>
          <w:rFonts w:ascii="Arial" w:hAnsi="Arial" w:cs="Arial"/>
          <w:sz w:val="22"/>
          <w:szCs w:val="22"/>
        </w:rPr>
        <w:t>s</w:t>
      </w:r>
      <w:r w:rsidRPr="00485272">
        <w:rPr>
          <w:rFonts w:ascii="Arial" w:hAnsi="Arial" w:cs="Arial"/>
          <w:sz w:val="22"/>
          <w:szCs w:val="22"/>
        </w:rPr>
        <w:t xml:space="preserve"> payable and Estimated liability on </w:t>
      </w:r>
      <w:r w:rsidR="000C2ED8" w:rsidRPr="00485272">
        <w:rPr>
          <w:rFonts w:ascii="Arial" w:hAnsi="Arial" w:cs="Arial"/>
          <w:sz w:val="22"/>
          <w:szCs w:val="22"/>
        </w:rPr>
        <w:t>E</w:t>
      </w:r>
      <w:r w:rsidRPr="00485272">
        <w:rPr>
          <w:rFonts w:ascii="Arial" w:hAnsi="Arial" w:cs="Arial"/>
          <w:sz w:val="22"/>
          <w:szCs w:val="22"/>
        </w:rPr>
        <w:t xml:space="preserve">arnings </w:t>
      </w:r>
      <w:r w:rsidR="000C2ED8" w:rsidRPr="00485272">
        <w:rPr>
          <w:rFonts w:ascii="Arial" w:hAnsi="Arial" w:cs="Arial"/>
          <w:sz w:val="22"/>
          <w:szCs w:val="22"/>
        </w:rPr>
        <w:t xml:space="preserve">of MCs </w:t>
      </w:r>
      <w:r w:rsidRPr="00485272">
        <w:rPr>
          <w:rFonts w:ascii="Arial" w:hAnsi="Arial" w:cs="Arial"/>
          <w:sz w:val="22"/>
          <w:szCs w:val="22"/>
        </w:rPr>
        <w:t xml:space="preserve">accounts are indispensable because these are the bases in the computation of the members’ refund of their contributions and interest earned.  Failure to do so may result in under or overpayment of refunds and may adversely affect the timely refund of the benefits that will consequently prolong the liquidation process of the AFPRSBS. </w:t>
      </w:r>
    </w:p>
    <w:p w14:paraId="7DFE407B" w14:textId="77777777" w:rsidR="00B009D9" w:rsidRPr="00485272" w:rsidRDefault="00B009D9" w:rsidP="00485272">
      <w:pPr>
        <w:pStyle w:val="ListParagraph"/>
        <w:ind w:left="1260"/>
        <w:jc w:val="both"/>
        <w:rPr>
          <w:rFonts w:ascii="Arial" w:hAnsi="Arial" w:cs="Arial"/>
          <w:sz w:val="22"/>
          <w:szCs w:val="22"/>
        </w:rPr>
      </w:pPr>
    </w:p>
    <w:p w14:paraId="1DFCBA5A" w14:textId="20B1BBD3" w:rsidR="00B009D9" w:rsidRPr="00485272" w:rsidRDefault="00B009D9"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485272">
        <w:rPr>
          <w:rFonts w:ascii="Arial" w:hAnsi="Arial" w:cs="Arial"/>
          <w:sz w:val="22"/>
          <w:szCs w:val="22"/>
        </w:rPr>
        <w:lastRenderedPageBreak/>
        <w:t>Thus, the non-reconciliation of the variance of P116.560 million between the balances per GL and IFMS SL of the MC</w:t>
      </w:r>
      <w:r w:rsidR="0080471E" w:rsidRPr="00485272">
        <w:rPr>
          <w:rFonts w:ascii="Arial" w:hAnsi="Arial" w:cs="Arial"/>
          <w:sz w:val="22"/>
          <w:szCs w:val="22"/>
        </w:rPr>
        <w:t>s</w:t>
      </w:r>
      <w:r w:rsidRPr="00485272">
        <w:rPr>
          <w:rFonts w:ascii="Arial" w:hAnsi="Arial" w:cs="Arial"/>
          <w:sz w:val="22"/>
          <w:szCs w:val="22"/>
        </w:rPr>
        <w:t xml:space="preserve"> Payable and Estimated Liability on Earnings of MC</w:t>
      </w:r>
      <w:r w:rsidR="0080471E" w:rsidRPr="00485272">
        <w:rPr>
          <w:rFonts w:ascii="Arial" w:hAnsi="Arial" w:cs="Arial"/>
          <w:sz w:val="22"/>
          <w:szCs w:val="22"/>
        </w:rPr>
        <w:t>s</w:t>
      </w:r>
      <w:r w:rsidRPr="00485272">
        <w:rPr>
          <w:rFonts w:ascii="Arial" w:hAnsi="Arial" w:cs="Arial"/>
          <w:sz w:val="22"/>
          <w:szCs w:val="22"/>
        </w:rPr>
        <w:t xml:space="preserve"> accounts amounting to P1.285 billion and P785.431 million, respectively, affected the accuracy and fair presentation of these accounts in the FS as at December 31, 2022.</w:t>
      </w:r>
    </w:p>
    <w:p w14:paraId="0385D85B" w14:textId="77777777" w:rsidR="00B009D9" w:rsidRPr="00485272" w:rsidRDefault="00B009D9" w:rsidP="00485272">
      <w:pPr>
        <w:pStyle w:val="ListParagraph"/>
        <w:rPr>
          <w:rFonts w:ascii="Arial" w:hAnsi="Arial" w:cs="Arial"/>
          <w:sz w:val="22"/>
          <w:szCs w:val="22"/>
        </w:rPr>
      </w:pPr>
    </w:p>
    <w:p w14:paraId="40C9BD60" w14:textId="67672A7F" w:rsidR="00B009D9" w:rsidRPr="00485272" w:rsidRDefault="00B009D9" w:rsidP="00485272">
      <w:pPr>
        <w:pStyle w:val="NormalWeb"/>
        <w:numPr>
          <w:ilvl w:val="0"/>
          <w:numId w:val="78"/>
        </w:numPr>
        <w:spacing w:before="0" w:beforeAutospacing="0" w:after="0" w:afterAutospacing="0"/>
        <w:ind w:left="1267" w:hanging="691"/>
        <w:jc w:val="both"/>
        <w:rPr>
          <w:rFonts w:ascii="Arial" w:hAnsi="Arial" w:cs="Arial"/>
          <w:b/>
          <w:sz w:val="22"/>
          <w:szCs w:val="22"/>
        </w:rPr>
      </w:pPr>
      <w:r w:rsidRPr="00485272">
        <w:rPr>
          <w:rFonts w:ascii="Arial" w:hAnsi="Arial" w:cs="Arial"/>
          <w:b/>
          <w:sz w:val="22"/>
          <w:szCs w:val="22"/>
        </w:rPr>
        <w:t>We reiterated our PYs</w:t>
      </w:r>
      <w:r w:rsidR="004B30CD" w:rsidRPr="00485272">
        <w:rPr>
          <w:rFonts w:ascii="Arial" w:hAnsi="Arial" w:cs="Arial"/>
          <w:b/>
          <w:sz w:val="22"/>
          <w:szCs w:val="22"/>
        </w:rPr>
        <w:t>’</w:t>
      </w:r>
      <w:r w:rsidRPr="00485272">
        <w:rPr>
          <w:rFonts w:ascii="Arial" w:hAnsi="Arial" w:cs="Arial"/>
          <w:b/>
          <w:sz w:val="22"/>
          <w:szCs w:val="22"/>
        </w:rPr>
        <w:t xml:space="preserve"> </w:t>
      </w:r>
      <w:r w:rsidR="00E74758" w:rsidRPr="00485272">
        <w:rPr>
          <w:rFonts w:ascii="Arial" w:hAnsi="Arial" w:cs="Arial"/>
          <w:b/>
          <w:sz w:val="22"/>
          <w:szCs w:val="22"/>
        </w:rPr>
        <w:t xml:space="preserve">audit </w:t>
      </w:r>
      <w:r w:rsidRPr="00485272">
        <w:rPr>
          <w:rFonts w:ascii="Arial" w:hAnsi="Arial" w:cs="Arial"/>
          <w:b/>
          <w:sz w:val="22"/>
          <w:szCs w:val="22"/>
        </w:rPr>
        <w:t>recommendation</w:t>
      </w:r>
      <w:r w:rsidR="00E74758" w:rsidRPr="00485272">
        <w:rPr>
          <w:rFonts w:ascii="Arial" w:hAnsi="Arial" w:cs="Arial"/>
          <w:b/>
          <w:sz w:val="22"/>
          <w:szCs w:val="22"/>
        </w:rPr>
        <w:t>s</w:t>
      </w:r>
      <w:r w:rsidRPr="00485272">
        <w:rPr>
          <w:rFonts w:ascii="Arial" w:hAnsi="Arial" w:cs="Arial"/>
          <w:b/>
          <w:sz w:val="22"/>
          <w:szCs w:val="22"/>
        </w:rPr>
        <w:t xml:space="preserve"> that Management:</w:t>
      </w:r>
    </w:p>
    <w:p w14:paraId="1672ED0F" w14:textId="77777777" w:rsidR="00B009D9" w:rsidRPr="00485272" w:rsidRDefault="00B009D9" w:rsidP="00485272">
      <w:pPr>
        <w:pStyle w:val="ListParagraph"/>
        <w:ind w:left="1996"/>
        <w:jc w:val="both"/>
        <w:rPr>
          <w:rFonts w:ascii="Arial" w:hAnsi="Arial" w:cs="Arial"/>
          <w:b/>
          <w:sz w:val="22"/>
          <w:szCs w:val="22"/>
        </w:rPr>
      </w:pPr>
    </w:p>
    <w:p w14:paraId="51FD227A" w14:textId="1BDC186E" w:rsidR="00B009D9" w:rsidRPr="00485272" w:rsidRDefault="00B009D9" w:rsidP="00485272">
      <w:pPr>
        <w:pStyle w:val="ListParagraph"/>
        <w:numPr>
          <w:ilvl w:val="0"/>
          <w:numId w:val="67"/>
        </w:numPr>
        <w:ind w:left="1656"/>
        <w:jc w:val="both"/>
        <w:rPr>
          <w:rFonts w:ascii="Arial" w:hAnsi="Arial" w:cs="Arial"/>
          <w:b/>
          <w:sz w:val="22"/>
          <w:szCs w:val="22"/>
        </w:rPr>
      </w:pPr>
      <w:r w:rsidRPr="00485272">
        <w:rPr>
          <w:rFonts w:ascii="Arial" w:hAnsi="Arial" w:cs="Arial"/>
          <w:b/>
          <w:sz w:val="22"/>
          <w:szCs w:val="22"/>
        </w:rPr>
        <w:t>Reconcile the IFMS SLs with the books of accounts/GL maintained by the AD in preparation for the transfer of MC</w:t>
      </w:r>
      <w:r w:rsidR="0080471E" w:rsidRPr="00485272">
        <w:rPr>
          <w:rFonts w:ascii="Arial" w:hAnsi="Arial" w:cs="Arial"/>
          <w:b/>
          <w:sz w:val="22"/>
          <w:szCs w:val="22"/>
        </w:rPr>
        <w:t>s</w:t>
      </w:r>
      <w:r w:rsidRPr="00485272">
        <w:rPr>
          <w:rFonts w:ascii="Arial" w:hAnsi="Arial" w:cs="Arial"/>
          <w:b/>
          <w:sz w:val="22"/>
          <w:szCs w:val="22"/>
        </w:rPr>
        <w:t xml:space="preserve"> records to the Government Financial Institution Trustee in accordance with EO Nos. 590 and 590-A, as amended by MO No. 90; and</w:t>
      </w:r>
    </w:p>
    <w:p w14:paraId="77208DD7" w14:textId="77777777" w:rsidR="00B009D9" w:rsidRPr="00485272" w:rsidRDefault="00B009D9" w:rsidP="00485272">
      <w:pPr>
        <w:tabs>
          <w:tab w:val="left" w:pos="321"/>
        </w:tabs>
        <w:spacing w:after="0" w:line="240" w:lineRule="auto"/>
        <w:jc w:val="both"/>
        <w:rPr>
          <w:rFonts w:ascii="Arial" w:hAnsi="Arial" w:cs="Arial"/>
          <w:b/>
        </w:rPr>
      </w:pPr>
    </w:p>
    <w:p w14:paraId="36EE640C" w14:textId="475C8589" w:rsidR="00B009D9" w:rsidRPr="00485272" w:rsidRDefault="00B009D9" w:rsidP="00485272">
      <w:pPr>
        <w:pStyle w:val="ListParagraph"/>
        <w:numPr>
          <w:ilvl w:val="0"/>
          <w:numId w:val="67"/>
        </w:numPr>
        <w:ind w:left="1656"/>
        <w:jc w:val="both"/>
        <w:rPr>
          <w:rFonts w:ascii="Arial" w:hAnsi="Arial" w:cs="Arial"/>
          <w:sz w:val="22"/>
          <w:szCs w:val="22"/>
        </w:rPr>
      </w:pPr>
      <w:r w:rsidRPr="00485272">
        <w:rPr>
          <w:rFonts w:ascii="Arial" w:hAnsi="Arial" w:cs="Arial"/>
          <w:b/>
          <w:sz w:val="22"/>
          <w:szCs w:val="22"/>
        </w:rPr>
        <w:t>Designate specific personnel who will focus on the reconciliation of accounts including the preparation of the complete schedule and/or list of members with outstanding balances to support the balances of the MC</w:t>
      </w:r>
      <w:r w:rsidR="0080471E" w:rsidRPr="00485272">
        <w:rPr>
          <w:rFonts w:ascii="Arial" w:hAnsi="Arial" w:cs="Arial"/>
          <w:b/>
          <w:sz w:val="22"/>
          <w:szCs w:val="22"/>
        </w:rPr>
        <w:t>s</w:t>
      </w:r>
      <w:r w:rsidRPr="00485272">
        <w:rPr>
          <w:rFonts w:ascii="Arial" w:hAnsi="Arial" w:cs="Arial"/>
          <w:b/>
          <w:sz w:val="22"/>
          <w:szCs w:val="22"/>
        </w:rPr>
        <w:t xml:space="preserve"> payable and the Estimated liability on </w:t>
      </w:r>
      <w:r w:rsidR="000C2ED8" w:rsidRPr="00485272">
        <w:rPr>
          <w:rFonts w:ascii="Arial" w:hAnsi="Arial" w:cs="Arial"/>
          <w:b/>
          <w:sz w:val="22"/>
          <w:szCs w:val="22"/>
        </w:rPr>
        <w:t xml:space="preserve">Earnings of </w:t>
      </w:r>
      <w:r w:rsidRPr="00485272">
        <w:rPr>
          <w:rFonts w:ascii="Arial" w:hAnsi="Arial" w:cs="Arial"/>
          <w:b/>
          <w:sz w:val="22"/>
          <w:szCs w:val="22"/>
        </w:rPr>
        <w:t>MC</w:t>
      </w:r>
      <w:r w:rsidR="0080471E" w:rsidRPr="00485272">
        <w:rPr>
          <w:rFonts w:ascii="Arial" w:hAnsi="Arial" w:cs="Arial"/>
          <w:b/>
          <w:sz w:val="22"/>
          <w:szCs w:val="22"/>
        </w:rPr>
        <w:t>s</w:t>
      </w:r>
      <w:r w:rsidRPr="00485272">
        <w:rPr>
          <w:rFonts w:ascii="Arial" w:hAnsi="Arial" w:cs="Arial"/>
          <w:b/>
          <w:sz w:val="22"/>
          <w:szCs w:val="22"/>
        </w:rPr>
        <w:t xml:space="preserve"> accounts.</w:t>
      </w:r>
    </w:p>
    <w:p w14:paraId="7280EC69" w14:textId="77777777" w:rsidR="00B009D9" w:rsidRPr="00485272" w:rsidRDefault="00B009D9" w:rsidP="00485272">
      <w:pPr>
        <w:pStyle w:val="NormalWeb"/>
        <w:spacing w:before="0" w:beforeAutospacing="0" w:after="0" w:afterAutospacing="0"/>
        <w:ind w:left="1260"/>
        <w:jc w:val="both"/>
        <w:rPr>
          <w:rFonts w:ascii="Arial" w:hAnsi="Arial" w:cs="Arial"/>
          <w:sz w:val="22"/>
          <w:szCs w:val="22"/>
        </w:rPr>
      </w:pPr>
    </w:p>
    <w:p w14:paraId="56FA5FFE" w14:textId="3DEA46E8" w:rsidR="00B009D9" w:rsidRPr="00892A58" w:rsidRDefault="00FC07DD" w:rsidP="00485272">
      <w:pPr>
        <w:pStyle w:val="NormalWeb"/>
        <w:numPr>
          <w:ilvl w:val="0"/>
          <w:numId w:val="78"/>
        </w:numPr>
        <w:spacing w:before="0" w:beforeAutospacing="0" w:after="0" w:afterAutospacing="0"/>
        <w:ind w:left="1267" w:hanging="691"/>
        <w:jc w:val="both"/>
        <w:rPr>
          <w:rFonts w:ascii="Arial" w:hAnsi="Arial" w:cs="Arial"/>
          <w:sz w:val="22"/>
          <w:szCs w:val="22"/>
        </w:rPr>
      </w:pPr>
      <w:r w:rsidRPr="00892A58">
        <w:rPr>
          <w:rFonts w:ascii="Arial" w:hAnsi="Arial" w:cs="Arial"/>
          <w:sz w:val="22"/>
          <w:szCs w:val="22"/>
        </w:rPr>
        <w:t>The Management ensures that it will continuously reconcile the balance of MC</w:t>
      </w:r>
      <w:r w:rsidR="0080471E" w:rsidRPr="00892A58">
        <w:rPr>
          <w:rFonts w:ascii="Arial" w:hAnsi="Arial" w:cs="Arial"/>
          <w:sz w:val="22"/>
          <w:szCs w:val="22"/>
        </w:rPr>
        <w:t>s</w:t>
      </w:r>
      <w:r w:rsidRPr="00892A58">
        <w:rPr>
          <w:rFonts w:ascii="Arial" w:hAnsi="Arial" w:cs="Arial"/>
          <w:sz w:val="22"/>
          <w:szCs w:val="22"/>
        </w:rPr>
        <w:t xml:space="preserve"> account per books with the SL available in the IFMS 2 and will double its effort to accelerate the progress of the collections.</w:t>
      </w:r>
    </w:p>
    <w:p w14:paraId="02F37DAC" w14:textId="77777777" w:rsidR="00FC07DD" w:rsidRPr="00892A58" w:rsidRDefault="00FC07DD" w:rsidP="00485272">
      <w:pPr>
        <w:pStyle w:val="NormalWeb"/>
        <w:spacing w:before="0" w:beforeAutospacing="0" w:after="0" w:afterAutospacing="0"/>
        <w:ind w:left="1260"/>
        <w:jc w:val="both"/>
        <w:rPr>
          <w:rFonts w:ascii="Arial" w:hAnsi="Arial" w:cs="Arial"/>
          <w:sz w:val="22"/>
          <w:szCs w:val="22"/>
        </w:rPr>
      </w:pPr>
    </w:p>
    <w:p w14:paraId="15E21C23" w14:textId="5A5C7C7D" w:rsidR="00FC07DD" w:rsidRPr="00892A58" w:rsidRDefault="00FC07DD" w:rsidP="00485272">
      <w:pPr>
        <w:pStyle w:val="NormalWeb"/>
        <w:numPr>
          <w:ilvl w:val="0"/>
          <w:numId w:val="78"/>
        </w:numPr>
        <w:spacing w:before="0" w:beforeAutospacing="0" w:after="0" w:afterAutospacing="0"/>
        <w:ind w:left="1267" w:hanging="691"/>
        <w:jc w:val="both"/>
        <w:rPr>
          <w:rFonts w:ascii="Arial" w:hAnsi="Arial" w:cs="Arial"/>
          <w:sz w:val="22"/>
          <w:szCs w:val="22"/>
        </w:rPr>
      </w:pPr>
      <w:r w:rsidRPr="00892A58">
        <w:rPr>
          <w:rFonts w:ascii="Arial" w:hAnsi="Arial" w:cs="Arial"/>
          <w:sz w:val="22"/>
          <w:szCs w:val="22"/>
        </w:rPr>
        <w:t>According to the Management, the accounts for reconciliation w</w:t>
      </w:r>
      <w:r w:rsidR="006110C0" w:rsidRPr="00892A58">
        <w:rPr>
          <w:rFonts w:ascii="Arial" w:hAnsi="Arial" w:cs="Arial"/>
          <w:sz w:val="22"/>
          <w:szCs w:val="22"/>
        </w:rPr>
        <w:t>ere</w:t>
      </w:r>
      <w:r w:rsidRPr="00892A58">
        <w:rPr>
          <w:rFonts w:ascii="Arial" w:hAnsi="Arial" w:cs="Arial"/>
          <w:sz w:val="22"/>
          <w:szCs w:val="22"/>
        </w:rPr>
        <w:t xml:space="preserve"> distributed to the Membership Accounting Branch personnel. The delay in the reconciliation is due to the non-renewal of contract and resignation of some concerned personnel.</w:t>
      </w:r>
    </w:p>
    <w:p w14:paraId="2920BB2D" w14:textId="39D5A09F" w:rsidR="00345ACF" w:rsidRDefault="00345ACF" w:rsidP="00485272">
      <w:pPr>
        <w:pStyle w:val="NormalWeb"/>
        <w:spacing w:before="0" w:beforeAutospacing="0" w:after="0" w:afterAutospacing="0"/>
        <w:ind w:left="1260"/>
        <w:jc w:val="both"/>
        <w:rPr>
          <w:rFonts w:ascii="Arial" w:hAnsi="Arial" w:cs="Arial"/>
          <w:sz w:val="22"/>
          <w:szCs w:val="22"/>
          <w:highlight w:val="yellow"/>
        </w:rPr>
      </w:pPr>
    </w:p>
    <w:p w14:paraId="537FCFFF" w14:textId="77777777" w:rsidR="00AC35C9" w:rsidRPr="00485272" w:rsidRDefault="00AC35C9" w:rsidP="00485272">
      <w:pPr>
        <w:pStyle w:val="NormalWeb"/>
        <w:spacing w:before="0" w:beforeAutospacing="0" w:after="0" w:afterAutospacing="0"/>
        <w:ind w:left="1260"/>
        <w:jc w:val="both"/>
        <w:rPr>
          <w:rFonts w:ascii="Arial" w:hAnsi="Arial" w:cs="Arial"/>
          <w:sz w:val="22"/>
          <w:szCs w:val="22"/>
          <w:highlight w:val="yellow"/>
        </w:rPr>
      </w:pPr>
    </w:p>
    <w:p w14:paraId="38F98D8D" w14:textId="65A1E45D" w:rsidR="004E07CA" w:rsidRPr="00485272" w:rsidRDefault="004E07CA"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485272">
        <w:rPr>
          <w:rFonts w:ascii="Arial" w:hAnsi="Arial" w:cs="Arial"/>
          <w:b/>
          <w:sz w:val="22"/>
          <w:szCs w:val="22"/>
        </w:rPr>
        <w:t xml:space="preserve">The correctness and fair presentation of the balances of the Real estate inventories and the </w:t>
      </w:r>
      <w:proofErr w:type="spellStart"/>
      <w:r w:rsidRPr="00485272">
        <w:rPr>
          <w:rFonts w:ascii="Arial" w:hAnsi="Arial" w:cs="Arial"/>
          <w:b/>
          <w:sz w:val="22"/>
          <w:szCs w:val="22"/>
        </w:rPr>
        <w:t>Landbanking</w:t>
      </w:r>
      <w:proofErr w:type="spellEnd"/>
      <w:r w:rsidRPr="00485272">
        <w:rPr>
          <w:rFonts w:ascii="Arial" w:hAnsi="Arial" w:cs="Arial"/>
          <w:b/>
          <w:sz w:val="22"/>
          <w:szCs w:val="22"/>
        </w:rPr>
        <w:t xml:space="preserve"> assets accounts with net carrying values of P3.531 billion and P1.748 billion, respectively, as at December 31, 2022 could not be ascertained due to: a) Unreconciled variances between the total land area per records and actual inventory of Transfer Certificates of Title (TCTs) amounting to P84.442 million; and b) Unrecorded seven (7) projects/</w:t>
      </w:r>
      <w:r w:rsidR="004220F9" w:rsidRPr="00485272">
        <w:rPr>
          <w:rFonts w:ascii="Arial" w:hAnsi="Arial" w:cs="Arial"/>
          <w:b/>
          <w:sz w:val="22"/>
          <w:szCs w:val="22"/>
        </w:rPr>
        <w:t xml:space="preserve"> </w:t>
      </w:r>
      <w:r w:rsidRPr="00485272">
        <w:rPr>
          <w:rFonts w:ascii="Arial" w:hAnsi="Arial" w:cs="Arial"/>
          <w:b/>
          <w:sz w:val="22"/>
          <w:szCs w:val="22"/>
        </w:rPr>
        <w:t xml:space="preserve">properties consisting of 120 TCTs in the books, contrary to Paragraph 2.23 of the </w:t>
      </w:r>
      <w:r w:rsidR="008B3AA9" w:rsidRPr="00485272">
        <w:rPr>
          <w:rFonts w:ascii="Arial" w:hAnsi="Arial" w:cs="Arial"/>
          <w:b/>
          <w:sz w:val="22"/>
          <w:szCs w:val="22"/>
        </w:rPr>
        <w:t xml:space="preserve">Revised </w:t>
      </w:r>
      <w:r w:rsidRPr="00485272">
        <w:rPr>
          <w:rFonts w:ascii="Arial" w:hAnsi="Arial" w:cs="Arial"/>
          <w:b/>
          <w:sz w:val="22"/>
          <w:szCs w:val="22"/>
        </w:rPr>
        <w:t>CFFR, and Section 112 of Presidential Decree (PD) No. 1445.</w:t>
      </w:r>
    </w:p>
    <w:p w14:paraId="58B83675" w14:textId="77777777" w:rsidR="004E07CA" w:rsidRPr="00485272" w:rsidRDefault="004E07CA" w:rsidP="00485272">
      <w:pPr>
        <w:pStyle w:val="NoSpacing"/>
        <w:jc w:val="both"/>
        <w:rPr>
          <w:rFonts w:ascii="Arial" w:hAnsi="Arial" w:cs="Arial"/>
        </w:rPr>
      </w:pPr>
    </w:p>
    <w:p w14:paraId="2E0E1759" w14:textId="67C49618"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This is a reiteration with modifications of PYs</w:t>
      </w:r>
      <w:r w:rsidR="006F5114" w:rsidRPr="00485272">
        <w:rPr>
          <w:rFonts w:ascii="Arial" w:hAnsi="Arial" w:cs="Arial"/>
          <w:sz w:val="22"/>
          <w:szCs w:val="22"/>
        </w:rPr>
        <w:t>’</w:t>
      </w:r>
      <w:r w:rsidRPr="00485272">
        <w:rPr>
          <w:rFonts w:ascii="Arial" w:hAnsi="Arial" w:cs="Arial"/>
          <w:sz w:val="22"/>
          <w:szCs w:val="22"/>
        </w:rPr>
        <w:t xml:space="preserve"> AO as embodied in the CYs 2018, 2020, and 2021 AAR. </w:t>
      </w:r>
    </w:p>
    <w:p w14:paraId="6DA279EF" w14:textId="77777777" w:rsidR="004E07CA" w:rsidRPr="00485272" w:rsidRDefault="004E07CA" w:rsidP="00485272">
      <w:pPr>
        <w:pStyle w:val="NormalWeb"/>
        <w:spacing w:before="0" w:beforeAutospacing="0" w:after="0" w:afterAutospacing="0"/>
        <w:ind w:left="792"/>
        <w:jc w:val="both"/>
        <w:rPr>
          <w:rFonts w:ascii="Arial" w:hAnsi="Arial" w:cs="Arial"/>
          <w:sz w:val="22"/>
          <w:szCs w:val="22"/>
        </w:rPr>
      </w:pPr>
    </w:p>
    <w:p w14:paraId="0D2CC668" w14:textId="77777777" w:rsidR="004E07CA" w:rsidRPr="00485272" w:rsidRDefault="004E07CA" w:rsidP="00485272">
      <w:pPr>
        <w:pStyle w:val="NormalWeb"/>
        <w:spacing w:before="0" w:beforeAutospacing="0" w:after="0" w:afterAutospacing="0"/>
        <w:ind w:left="576"/>
        <w:jc w:val="both"/>
        <w:rPr>
          <w:rFonts w:ascii="Arial" w:hAnsi="Arial" w:cs="Arial"/>
          <w:bCs/>
          <w:i/>
          <w:sz w:val="22"/>
          <w:szCs w:val="22"/>
        </w:rPr>
      </w:pPr>
      <w:r w:rsidRPr="00485272">
        <w:rPr>
          <w:rFonts w:ascii="Arial" w:hAnsi="Arial" w:cs="Arial"/>
          <w:bCs/>
          <w:i/>
          <w:sz w:val="22"/>
          <w:szCs w:val="22"/>
        </w:rPr>
        <w:t>Net variance of 146,010 square meter (sqm) or P84.442 million between the recorded total land area and actual inventory of TCTs</w:t>
      </w:r>
    </w:p>
    <w:p w14:paraId="09C42B92" w14:textId="77777777" w:rsidR="004E07CA" w:rsidRPr="00485272" w:rsidRDefault="004E07CA" w:rsidP="00485272">
      <w:pPr>
        <w:spacing w:after="0" w:line="240" w:lineRule="auto"/>
        <w:ind w:right="3987"/>
        <w:jc w:val="both"/>
        <w:rPr>
          <w:rFonts w:ascii="Arial" w:hAnsi="Arial" w:cs="Arial"/>
          <w:i/>
        </w:rPr>
      </w:pPr>
    </w:p>
    <w:p w14:paraId="45C844D3" w14:textId="0EC2AAAA" w:rsidR="004E07CA"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 xml:space="preserve">Paragraph 2.23 of the </w:t>
      </w:r>
      <w:r w:rsidR="008B3AA9" w:rsidRPr="00485272">
        <w:rPr>
          <w:rFonts w:ascii="Arial" w:hAnsi="Arial" w:cs="Arial"/>
          <w:sz w:val="22"/>
          <w:szCs w:val="22"/>
        </w:rPr>
        <w:t xml:space="preserve">Revised </w:t>
      </w:r>
      <w:r w:rsidRPr="00485272">
        <w:rPr>
          <w:rFonts w:ascii="Arial" w:hAnsi="Arial" w:cs="Arial"/>
          <w:sz w:val="22"/>
          <w:szCs w:val="22"/>
        </w:rPr>
        <w:t xml:space="preserve">CFFR provides that comparability, </w:t>
      </w:r>
      <w:r w:rsidRPr="00485272">
        <w:rPr>
          <w:rFonts w:ascii="Arial" w:hAnsi="Arial" w:cs="Arial"/>
          <w:bCs/>
          <w:sz w:val="22"/>
          <w:szCs w:val="22"/>
        </w:rPr>
        <w:t>verifiability</w:t>
      </w:r>
      <w:r w:rsidRPr="00485272">
        <w:rPr>
          <w:rFonts w:ascii="Arial" w:hAnsi="Arial" w:cs="Arial"/>
          <w:sz w:val="22"/>
          <w:szCs w:val="22"/>
        </w:rPr>
        <w:t xml:space="preserve">, timeliness and understandability are qualitative characteristics that enhance the usefulness of information that is relevant and faithfully represented. Moreover, Chapter 4, Section 4.2 of the same framework defines an asset as: (1) a present economic resource controlled by the entity as a result of past events; and (2) an economic resource is a right that has the potential to produce economic benefits. </w:t>
      </w:r>
    </w:p>
    <w:p w14:paraId="73130041" w14:textId="77777777"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lastRenderedPageBreak/>
        <w:t>Likewise, Section 112 of PD No. 1445, otherwise known as the Government Auditing Code of the Philippines, provides that:</w:t>
      </w:r>
    </w:p>
    <w:p w14:paraId="3AFDBC05" w14:textId="77777777" w:rsidR="004E07CA" w:rsidRPr="00485272" w:rsidRDefault="004E07CA" w:rsidP="00485272">
      <w:pPr>
        <w:spacing w:after="0" w:line="240" w:lineRule="auto"/>
        <w:ind w:right="227" w:firstLine="720"/>
        <w:jc w:val="both"/>
        <w:rPr>
          <w:rFonts w:ascii="Arial" w:hAnsi="Arial" w:cs="Arial"/>
        </w:rPr>
      </w:pPr>
    </w:p>
    <w:p w14:paraId="3322CFC7" w14:textId="77777777" w:rsidR="004E07CA" w:rsidRPr="00485272" w:rsidRDefault="004E07CA" w:rsidP="00485272">
      <w:pPr>
        <w:spacing w:after="0" w:line="240" w:lineRule="auto"/>
        <w:ind w:left="1728" w:right="432"/>
        <w:jc w:val="both"/>
        <w:rPr>
          <w:rFonts w:ascii="Arial" w:hAnsi="Arial" w:cs="Arial"/>
          <w:i/>
        </w:rPr>
      </w:pPr>
      <w:r w:rsidRPr="00485272">
        <w:rPr>
          <w:rFonts w:ascii="Arial" w:hAnsi="Arial" w:cs="Arial"/>
          <w:i/>
        </w:rPr>
        <w:t>Each government agency shall record its financial transactions and operations conformably with generally accepted accounting principles and in accordance with pertinent laws and regulations.</w:t>
      </w:r>
    </w:p>
    <w:p w14:paraId="5989D577" w14:textId="77777777" w:rsidR="004E07CA" w:rsidRPr="00485272" w:rsidRDefault="004E07CA" w:rsidP="00485272">
      <w:pPr>
        <w:spacing w:after="0" w:line="240" w:lineRule="auto"/>
        <w:ind w:left="720"/>
        <w:jc w:val="both"/>
        <w:rPr>
          <w:rFonts w:ascii="Arial" w:hAnsi="Arial" w:cs="Arial"/>
          <w:i/>
        </w:rPr>
      </w:pPr>
    </w:p>
    <w:p w14:paraId="17CF1DB6" w14:textId="77777777"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In addition, Sections 111 and 114 of the same law require that accounts should be kept in such detail for the agency’s needs and at the same time be adequate to furnish the information needed by fiscal or control agencies of the government.  These include the maintenance of SL.  Also, internal control dictates that an entity should maintain adequate records and systems for all aspects of its business including the maintenance of hard copies of individual SLs that will support the GL control account at any given period of time.</w:t>
      </w:r>
    </w:p>
    <w:p w14:paraId="7FB37CAC" w14:textId="77777777" w:rsidR="004E07CA" w:rsidRPr="00485272" w:rsidRDefault="004E07CA" w:rsidP="00485272">
      <w:pPr>
        <w:pStyle w:val="ListParagraph"/>
        <w:ind w:left="0" w:firstLine="709"/>
        <w:jc w:val="both"/>
        <w:rPr>
          <w:rFonts w:ascii="Arial" w:hAnsi="Arial" w:cs="Arial"/>
          <w:sz w:val="22"/>
          <w:szCs w:val="22"/>
        </w:rPr>
      </w:pPr>
    </w:p>
    <w:p w14:paraId="23C2BD1C" w14:textId="19074378"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 xml:space="preserve">The AFPRSBS’ </w:t>
      </w:r>
      <w:proofErr w:type="spellStart"/>
      <w:r w:rsidRPr="00485272">
        <w:rPr>
          <w:rFonts w:ascii="Arial" w:hAnsi="Arial" w:cs="Arial"/>
          <w:sz w:val="22"/>
          <w:szCs w:val="22"/>
        </w:rPr>
        <w:t>Landbanking</w:t>
      </w:r>
      <w:proofErr w:type="spellEnd"/>
      <w:r w:rsidRPr="00485272">
        <w:rPr>
          <w:rFonts w:ascii="Arial" w:hAnsi="Arial" w:cs="Arial"/>
          <w:sz w:val="22"/>
          <w:szCs w:val="22"/>
        </w:rPr>
        <w:t xml:space="preserve"> assets account refers to underdeveloped land properties located in various parts of the country which are not yet being offered for sale to the public. The net carrying value of the said account as at December 31, 2022 amounting to P1.748 billion is presented in Table </w:t>
      </w:r>
      <w:r w:rsidR="00E4192B" w:rsidRPr="00485272">
        <w:rPr>
          <w:rFonts w:ascii="Arial" w:hAnsi="Arial" w:cs="Arial"/>
          <w:sz w:val="22"/>
          <w:szCs w:val="22"/>
        </w:rPr>
        <w:t>5</w:t>
      </w:r>
      <w:r w:rsidRPr="00485272">
        <w:rPr>
          <w:rFonts w:ascii="Arial" w:hAnsi="Arial" w:cs="Arial"/>
          <w:sz w:val="22"/>
          <w:szCs w:val="22"/>
        </w:rPr>
        <w:t>.1.</w:t>
      </w:r>
    </w:p>
    <w:p w14:paraId="00DDA0EF" w14:textId="77777777" w:rsidR="004E07CA" w:rsidRPr="00485272" w:rsidRDefault="004E07CA" w:rsidP="00485272">
      <w:pPr>
        <w:pStyle w:val="ListParagraph"/>
        <w:ind w:left="1296"/>
        <w:jc w:val="both"/>
        <w:rPr>
          <w:rFonts w:ascii="Arial" w:hAnsi="Arial" w:cs="Arial"/>
          <w:sz w:val="22"/>
          <w:szCs w:val="22"/>
        </w:rPr>
      </w:pPr>
    </w:p>
    <w:p w14:paraId="5173A86C" w14:textId="2C345A7F" w:rsidR="004E07CA" w:rsidRPr="00485272" w:rsidRDefault="00E4192B" w:rsidP="00485272">
      <w:pPr>
        <w:spacing w:after="0" w:line="240" w:lineRule="auto"/>
        <w:ind w:left="720" w:firstLine="630"/>
        <w:jc w:val="center"/>
        <w:rPr>
          <w:rFonts w:ascii="Arial" w:hAnsi="Arial" w:cs="Arial"/>
          <w:b/>
        </w:rPr>
      </w:pPr>
      <w:r w:rsidRPr="00485272">
        <w:rPr>
          <w:rFonts w:ascii="Arial" w:hAnsi="Arial" w:cs="Arial"/>
          <w:b/>
        </w:rPr>
        <w:t>Table 5</w:t>
      </w:r>
      <w:r w:rsidR="004E07CA" w:rsidRPr="00485272">
        <w:rPr>
          <w:rFonts w:ascii="Arial" w:hAnsi="Arial" w:cs="Arial"/>
          <w:b/>
        </w:rPr>
        <w:t xml:space="preserve">.1 – Breakdown of </w:t>
      </w:r>
      <w:proofErr w:type="spellStart"/>
      <w:r w:rsidR="004E07CA" w:rsidRPr="00485272">
        <w:rPr>
          <w:rFonts w:ascii="Arial" w:hAnsi="Arial" w:cs="Arial"/>
          <w:b/>
        </w:rPr>
        <w:t>Landbanking</w:t>
      </w:r>
      <w:proofErr w:type="spellEnd"/>
      <w:r w:rsidR="004E07CA" w:rsidRPr="00485272">
        <w:rPr>
          <w:rFonts w:ascii="Arial" w:hAnsi="Arial" w:cs="Arial"/>
          <w:b/>
        </w:rPr>
        <w:t xml:space="preserve"> Assets Account</w:t>
      </w:r>
    </w:p>
    <w:p w14:paraId="5D110888" w14:textId="77777777" w:rsidR="004E07CA" w:rsidRPr="00485272" w:rsidRDefault="004E07CA" w:rsidP="00485272">
      <w:pPr>
        <w:spacing w:after="0" w:line="240" w:lineRule="auto"/>
        <w:ind w:left="720" w:firstLine="630"/>
        <w:jc w:val="center"/>
        <w:rPr>
          <w:rFonts w:ascii="Arial" w:hAnsi="Arial" w:cs="Arial"/>
          <w:b/>
        </w:rPr>
      </w:pPr>
      <w:r w:rsidRPr="00485272">
        <w:rPr>
          <w:rFonts w:ascii="Arial" w:hAnsi="Arial" w:cs="Arial"/>
          <w:b/>
        </w:rPr>
        <w:t>As at December 31, 2022</w:t>
      </w:r>
    </w:p>
    <w:p w14:paraId="718131C7" w14:textId="77777777" w:rsidR="004E07CA" w:rsidRPr="00485272" w:rsidRDefault="004E07CA" w:rsidP="00485272">
      <w:pPr>
        <w:spacing w:after="0" w:line="240" w:lineRule="auto"/>
        <w:jc w:val="center"/>
        <w:rPr>
          <w:rFonts w:ascii="Arial" w:hAnsi="Arial" w:cs="Arial"/>
        </w:rPr>
      </w:pPr>
    </w:p>
    <w:tbl>
      <w:tblPr>
        <w:tblW w:w="7380" w:type="dxa"/>
        <w:tblInd w:w="1260" w:type="dxa"/>
        <w:tblLook w:val="04A0" w:firstRow="1" w:lastRow="0" w:firstColumn="1" w:lastColumn="0" w:noHBand="0" w:noVBand="1"/>
      </w:tblPr>
      <w:tblGrid>
        <w:gridCol w:w="4950"/>
        <w:gridCol w:w="2430"/>
      </w:tblGrid>
      <w:tr w:rsidR="004E07CA" w:rsidRPr="00345ACF" w14:paraId="71FDEB2A" w14:textId="77777777" w:rsidTr="00E4192B">
        <w:trPr>
          <w:trHeight w:val="133"/>
        </w:trPr>
        <w:tc>
          <w:tcPr>
            <w:tcW w:w="4950" w:type="dxa"/>
            <w:tcBorders>
              <w:top w:val="single" w:sz="8" w:space="0" w:color="auto"/>
              <w:left w:val="nil"/>
              <w:bottom w:val="single" w:sz="8" w:space="0" w:color="auto"/>
              <w:right w:val="nil"/>
            </w:tcBorders>
            <w:shd w:val="clear" w:color="auto" w:fill="auto"/>
            <w:noWrap/>
            <w:vAlign w:val="center"/>
          </w:tcPr>
          <w:p w14:paraId="045FA079" w14:textId="77777777" w:rsidR="004E07CA" w:rsidRPr="00EB3FD2" w:rsidRDefault="004E07CA" w:rsidP="00E4192B">
            <w:pPr>
              <w:spacing w:after="0" w:line="240" w:lineRule="auto"/>
              <w:ind w:left="901"/>
              <w:rPr>
                <w:rFonts w:ascii="Arial" w:hAnsi="Arial" w:cs="Arial"/>
                <w:b/>
                <w:bCs/>
                <w:lang w:val="en-PH" w:eastAsia="en-PH"/>
              </w:rPr>
            </w:pPr>
            <w:r w:rsidRPr="00EB3FD2">
              <w:rPr>
                <w:rFonts w:ascii="Arial" w:hAnsi="Arial" w:cs="Arial"/>
                <w:b/>
                <w:bCs/>
                <w:lang w:val="en-PH" w:eastAsia="en-PH"/>
              </w:rPr>
              <w:t>Account title</w:t>
            </w:r>
          </w:p>
        </w:tc>
        <w:tc>
          <w:tcPr>
            <w:tcW w:w="2430" w:type="dxa"/>
            <w:tcBorders>
              <w:top w:val="single" w:sz="8" w:space="0" w:color="auto"/>
              <w:left w:val="nil"/>
              <w:bottom w:val="single" w:sz="8" w:space="0" w:color="auto"/>
              <w:right w:val="nil"/>
            </w:tcBorders>
            <w:shd w:val="clear" w:color="auto" w:fill="auto"/>
            <w:noWrap/>
            <w:vAlign w:val="center"/>
          </w:tcPr>
          <w:p w14:paraId="639BFB20" w14:textId="401A0778" w:rsidR="004E07CA" w:rsidRPr="00EB3FD2" w:rsidRDefault="00626CFF" w:rsidP="00E4192B">
            <w:pPr>
              <w:spacing w:after="0" w:line="240" w:lineRule="auto"/>
              <w:jc w:val="center"/>
              <w:rPr>
                <w:rFonts w:ascii="Arial" w:hAnsi="Arial" w:cs="Arial"/>
                <w:b/>
                <w:bCs/>
                <w:lang w:val="en-PH" w:eastAsia="en-PH"/>
              </w:rPr>
            </w:pPr>
            <w:r>
              <w:rPr>
                <w:rFonts w:ascii="Arial" w:hAnsi="Arial" w:cs="Arial"/>
                <w:b/>
                <w:bCs/>
                <w:lang w:val="en-PH" w:eastAsia="en-PH"/>
              </w:rPr>
              <w:t>Amount</w:t>
            </w:r>
          </w:p>
        </w:tc>
      </w:tr>
      <w:tr w:rsidR="004E07CA" w:rsidRPr="00345ACF" w14:paraId="778A273B" w14:textId="77777777" w:rsidTr="00E4192B">
        <w:trPr>
          <w:trHeight w:val="263"/>
        </w:trPr>
        <w:tc>
          <w:tcPr>
            <w:tcW w:w="4950" w:type="dxa"/>
            <w:tcBorders>
              <w:top w:val="single" w:sz="8" w:space="0" w:color="auto"/>
              <w:left w:val="nil"/>
              <w:right w:val="nil"/>
            </w:tcBorders>
            <w:shd w:val="clear" w:color="auto" w:fill="auto"/>
            <w:noWrap/>
            <w:vAlign w:val="center"/>
          </w:tcPr>
          <w:p w14:paraId="3533A3B8" w14:textId="77777777" w:rsidR="004E07CA" w:rsidRPr="00EB3FD2" w:rsidRDefault="004E07CA" w:rsidP="00E4192B">
            <w:pPr>
              <w:spacing w:after="0" w:line="240" w:lineRule="auto"/>
              <w:rPr>
                <w:rFonts w:ascii="Arial" w:hAnsi="Arial" w:cs="Arial"/>
                <w:lang w:val="en-PH" w:eastAsia="en-PH"/>
              </w:rPr>
            </w:pPr>
            <w:r w:rsidRPr="00EB3FD2">
              <w:rPr>
                <w:rFonts w:ascii="Arial" w:hAnsi="Arial" w:cs="Arial"/>
                <w:lang w:val="en-PH" w:eastAsia="en-PH"/>
              </w:rPr>
              <w:t xml:space="preserve">Investment in real estate, </w:t>
            </w:r>
            <w:proofErr w:type="spellStart"/>
            <w:r w:rsidRPr="00EB3FD2">
              <w:rPr>
                <w:rFonts w:ascii="Arial" w:hAnsi="Arial" w:cs="Arial"/>
                <w:lang w:val="en-PH" w:eastAsia="en-PH"/>
              </w:rPr>
              <w:t>landbanking</w:t>
            </w:r>
            <w:proofErr w:type="spellEnd"/>
          </w:p>
        </w:tc>
        <w:tc>
          <w:tcPr>
            <w:tcW w:w="2430" w:type="dxa"/>
            <w:tcBorders>
              <w:top w:val="single" w:sz="8" w:space="0" w:color="auto"/>
              <w:left w:val="nil"/>
              <w:right w:val="nil"/>
            </w:tcBorders>
            <w:shd w:val="clear" w:color="auto" w:fill="auto"/>
            <w:noWrap/>
          </w:tcPr>
          <w:p w14:paraId="191C8E42" w14:textId="77777777" w:rsidR="004E07CA" w:rsidRPr="00EB3FD2" w:rsidRDefault="004E07CA" w:rsidP="00E4192B">
            <w:pPr>
              <w:spacing w:after="0" w:line="240" w:lineRule="auto"/>
              <w:jc w:val="right"/>
              <w:rPr>
                <w:rFonts w:ascii="Arial" w:hAnsi="Arial" w:cs="Arial"/>
                <w:lang w:val="en-PH" w:eastAsia="en-PH"/>
              </w:rPr>
            </w:pPr>
            <w:r w:rsidRPr="00EB3FD2">
              <w:rPr>
                <w:rFonts w:ascii="Arial" w:hAnsi="Arial" w:cs="Arial"/>
              </w:rPr>
              <w:t xml:space="preserve">P 1,767,013,436 </w:t>
            </w:r>
          </w:p>
        </w:tc>
      </w:tr>
      <w:tr w:rsidR="004E07CA" w:rsidRPr="00345ACF" w14:paraId="74439DE7" w14:textId="77777777" w:rsidTr="00E4192B">
        <w:trPr>
          <w:trHeight w:val="263"/>
        </w:trPr>
        <w:tc>
          <w:tcPr>
            <w:tcW w:w="4950" w:type="dxa"/>
            <w:tcBorders>
              <w:top w:val="nil"/>
              <w:left w:val="nil"/>
              <w:bottom w:val="single" w:sz="4" w:space="0" w:color="auto"/>
              <w:right w:val="nil"/>
            </w:tcBorders>
            <w:shd w:val="clear" w:color="auto" w:fill="auto"/>
            <w:noWrap/>
            <w:vAlign w:val="center"/>
          </w:tcPr>
          <w:p w14:paraId="0A0FF78D" w14:textId="77777777" w:rsidR="004E07CA" w:rsidRPr="00EB3FD2" w:rsidRDefault="004E07CA" w:rsidP="00E4192B">
            <w:pPr>
              <w:spacing w:after="0" w:line="240" w:lineRule="auto"/>
              <w:rPr>
                <w:rFonts w:ascii="Arial" w:hAnsi="Arial" w:cs="Arial"/>
                <w:lang w:val="en-PH" w:eastAsia="en-PH"/>
              </w:rPr>
            </w:pPr>
            <w:r w:rsidRPr="00EB3FD2">
              <w:rPr>
                <w:rFonts w:ascii="Arial" w:hAnsi="Arial" w:cs="Arial"/>
                <w:lang w:val="en-PH" w:eastAsia="en-PH"/>
              </w:rPr>
              <w:t>Allowance for probable loss, other assets</w:t>
            </w:r>
          </w:p>
        </w:tc>
        <w:tc>
          <w:tcPr>
            <w:tcW w:w="2430" w:type="dxa"/>
            <w:tcBorders>
              <w:top w:val="nil"/>
              <w:left w:val="nil"/>
              <w:bottom w:val="single" w:sz="4" w:space="0" w:color="auto"/>
              <w:right w:val="nil"/>
            </w:tcBorders>
            <w:shd w:val="clear" w:color="auto" w:fill="auto"/>
            <w:noWrap/>
          </w:tcPr>
          <w:p w14:paraId="21988C1B" w14:textId="77777777" w:rsidR="004E07CA" w:rsidRPr="00EB3FD2" w:rsidRDefault="004E07CA" w:rsidP="00E4192B">
            <w:pPr>
              <w:spacing w:after="0" w:line="240" w:lineRule="auto"/>
              <w:ind w:right="-58"/>
              <w:jc w:val="right"/>
              <w:rPr>
                <w:rFonts w:ascii="Arial" w:hAnsi="Arial" w:cs="Arial"/>
                <w:lang w:val="en-PH" w:eastAsia="en-PH"/>
              </w:rPr>
            </w:pPr>
            <w:r w:rsidRPr="00EB3FD2">
              <w:rPr>
                <w:rFonts w:ascii="Arial" w:hAnsi="Arial" w:cs="Arial"/>
              </w:rPr>
              <w:t xml:space="preserve"> (19,232,230)</w:t>
            </w:r>
          </w:p>
        </w:tc>
      </w:tr>
      <w:tr w:rsidR="004E07CA" w:rsidRPr="00345ACF" w14:paraId="496D22FE" w14:textId="77777777" w:rsidTr="00E4192B">
        <w:trPr>
          <w:trHeight w:val="276"/>
        </w:trPr>
        <w:tc>
          <w:tcPr>
            <w:tcW w:w="4950" w:type="dxa"/>
            <w:tcBorders>
              <w:top w:val="single" w:sz="4" w:space="0" w:color="auto"/>
              <w:left w:val="nil"/>
              <w:bottom w:val="double" w:sz="6" w:space="0" w:color="auto"/>
              <w:right w:val="nil"/>
            </w:tcBorders>
            <w:shd w:val="clear" w:color="auto" w:fill="auto"/>
            <w:noWrap/>
            <w:vAlign w:val="center"/>
          </w:tcPr>
          <w:p w14:paraId="610DACAA" w14:textId="77777777" w:rsidR="004E07CA" w:rsidRPr="00EB3FD2" w:rsidRDefault="004E07CA" w:rsidP="00E4192B">
            <w:pPr>
              <w:spacing w:after="0" w:line="240" w:lineRule="auto"/>
              <w:rPr>
                <w:rFonts w:ascii="Arial" w:hAnsi="Arial" w:cs="Arial"/>
                <w:b/>
                <w:lang w:val="en-PH" w:eastAsia="en-PH"/>
              </w:rPr>
            </w:pPr>
            <w:r w:rsidRPr="00EB3FD2">
              <w:rPr>
                <w:rFonts w:ascii="Arial" w:hAnsi="Arial" w:cs="Arial"/>
                <w:b/>
                <w:lang w:val="en-PH" w:eastAsia="en-PH"/>
              </w:rPr>
              <w:t>Net carrying value</w:t>
            </w:r>
          </w:p>
        </w:tc>
        <w:tc>
          <w:tcPr>
            <w:tcW w:w="2430" w:type="dxa"/>
            <w:tcBorders>
              <w:top w:val="single" w:sz="4" w:space="0" w:color="auto"/>
              <w:left w:val="nil"/>
              <w:bottom w:val="double" w:sz="6" w:space="0" w:color="auto"/>
              <w:right w:val="nil"/>
            </w:tcBorders>
            <w:shd w:val="clear" w:color="auto" w:fill="auto"/>
            <w:noWrap/>
            <w:vAlign w:val="center"/>
          </w:tcPr>
          <w:p w14:paraId="64A5D870" w14:textId="77777777" w:rsidR="004E07CA" w:rsidRPr="00EB3FD2" w:rsidRDefault="004E07CA" w:rsidP="00E4192B">
            <w:pPr>
              <w:spacing w:after="0" w:line="240" w:lineRule="auto"/>
              <w:jc w:val="right"/>
              <w:rPr>
                <w:rFonts w:ascii="Arial" w:hAnsi="Arial" w:cs="Arial"/>
                <w:b/>
                <w:bCs/>
                <w:lang w:val="en-PH" w:eastAsia="en-PH"/>
              </w:rPr>
            </w:pPr>
            <w:r w:rsidRPr="00EB3FD2">
              <w:rPr>
                <w:rFonts w:ascii="Arial" w:hAnsi="Arial" w:cs="Arial"/>
                <w:b/>
                <w:bCs/>
                <w:lang w:val="en-PH" w:eastAsia="en-PH"/>
              </w:rPr>
              <w:t xml:space="preserve">P 1,747,781,206 </w:t>
            </w:r>
          </w:p>
        </w:tc>
      </w:tr>
    </w:tbl>
    <w:p w14:paraId="7AE45019" w14:textId="77777777" w:rsidR="004E07CA" w:rsidRPr="00485272" w:rsidRDefault="004E07CA" w:rsidP="004E07CA">
      <w:pPr>
        <w:spacing w:after="0" w:line="240" w:lineRule="auto"/>
        <w:ind w:firstLine="720"/>
        <w:jc w:val="both"/>
        <w:rPr>
          <w:rFonts w:ascii="Arial" w:hAnsi="Arial" w:cs="Arial"/>
        </w:rPr>
      </w:pPr>
    </w:p>
    <w:p w14:paraId="23E1C984" w14:textId="5564AFDE"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On the other hand, the AFPRSBS’ Real estate inventories refer to those real properties held for sale in the ordinary course of business.  As at</w:t>
      </w:r>
      <w:r w:rsidRPr="00485272">
        <w:rPr>
          <w:rFonts w:ascii="Arial" w:hAnsi="Arial" w:cs="Arial"/>
          <w:sz w:val="22"/>
          <w:szCs w:val="22"/>
        </w:rPr>
        <w:br/>
        <w:t>December 31, 2022, the account has a balance of P3.530</w:t>
      </w:r>
      <w:r w:rsidR="00E4192B" w:rsidRPr="00485272">
        <w:rPr>
          <w:rFonts w:ascii="Arial" w:hAnsi="Arial" w:cs="Arial"/>
          <w:sz w:val="22"/>
          <w:szCs w:val="22"/>
        </w:rPr>
        <w:t xml:space="preserve"> billion as presented in Table 5</w:t>
      </w:r>
      <w:r w:rsidRPr="00485272">
        <w:rPr>
          <w:rFonts w:ascii="Arial" w:hAnsi="Arial" w:cs="Arial"/>
          <w:sz w:val="22"/>
          <w:szCs w:val="22"/>
        </w:rPr>
        <w:t>.2.</w:t>
      </w:r>
    </w:p>
    <w:p w14:paraId="27FC9F4D" w14:textId="77777777" w:rsidR="004E07CA" w:rsidRPr="00485272" w:rsidRDefault="004E07CA" w:rsidP="004E07CA">
      <w:pPr>
        <w:spacing w:after="0" w:line="240" w:lineRule="auto"/>
        <w:jc w:val="center"/>
        <w:rPr>
          <w:rFonts w:ascii="Arial" w:hAnsi="Arial" w:cs="Arial"/>
          <w:b/>
        </w:rPr>
      </w:pPr>
    </w:p>
    <w:p w14:paraId="2178185A" w14:textId="62748CEE" w:rsidR="004E07CA" w:rsidRPr="00485272" w:rsidRDefault="004E07CA" w:rsidP="004E07CA">
      <w:pPr>
        <w:spacing w:after="0" w:line="240" w:lineRule="auto"/>
        <w:ind w:left="720" w:firstLine="630"/>
        <w:jc w:val="center"/>
        <w:rPr>
          <w:rFonts w:ascii="Arial" w:hAnsi="Arial" w:cs="Arial"/>
          <w:b/>
        </w:rPr>
      </w:pPr>
      <w:r w:rsidRPr="00485272">
        <w:rPr>
          <w:rFonts w:ascii="Arial" w:hAnsi="Arial" w:cs="Arial"/>
          <w:b/>
        </w:rPr>
        <w:t>Ta</w:t>
      </w:r>
      <w:r w:rsidR="00E4192B" w:rsidRPr="00485272">
        <w:rPr>
          <w:rFonts w:ascii="Arial" w:hAnsi="Arial" w:cs="Arial"/>
          <w:b/>
        </w:rPr>
        <w:t>ble 5</w:t>
      </w:r>
      <w:r w:rsidRPr="00485272">
        <w:rPr>
          <w:rFonts w:ascii="Arial" w:hAnsi="Arial" w:cs="Arial"/>
          <w:b/>
        </w:rPr>
        <w:t>.2 – Breakdown of Real Estate Inventories Account</w:t>
      </w:r>
    </w:p>
    <w:p w14:paraId="174B0432" w14:textId="77777777" w:rsidR="004E07CA" w:rsidRPr="00485272" w:rsidRDefault="004E07CA" w:rsidP="004E07CA">
      <w:pPr>
        <w:spacing w:after="0" w:line="240" w:lineRule="auto"/>
        <w:ind w:left="720" w:firstLine="630"/>
        <w:jc w:val="center"/>
        <w:rPr>
          <w:rFonts w:ascii="Arial" w:hAnsi="Arial" w:cs="Arial"/>
          <w:b/>
        </w:rPr>
      </w:pPr>
      <w:r w:rsidRPr="00485272">
        <w:rPr>
          <w:rFonts w:ascii="Arial" w:hAnsi="Arial" w:cs="Arial"/>
          <w:b/>
        </w:rPr>
        <w:t>As at December 31, 2022</w:t>
      </w:r>
    </w:p>
    <w:p w14:paraId="33ECC14A" w14:textId="77777777" w:rsidR="004E07CA" w:rsidRPr="00485272" w:rsidRDefault="004E07CA" w:rsidP="004E07CA">
      <w:pPr>
        <w:spacing w:after="0" w:line="240" w:lineRule="auto"/>
        <w:ind w:left="720" w:firstLine="720"/>
        <w:jc w:val="center"/>
        <w:rPr>
          <w:rFonts w:ascii="Arial" w:hAnsi="Arial" w:cs="Arial"/>
          <w:b/>
        </w:rPr>
      </w:pPr>
    </w:p>
    <w:tbl>
      <w:tblPr>
        <w:tblW w:w="7380" w:type="dxa"/>
        <w:tblInd w:w="1260" w:type="dxa"/>
        <w:tblLook w:val="04A0" w:firstRow="1" w:lastRow="0" w:firstColumn="1" w:lastColumn="0" w:noHBand="0" w:noVBand="1"/>
      </w:tblPr>
      <w:tblGrid>
        <w:gridCol w:w="3945"/>
        <w:gridCol w:w="3435"/>
      </w:tblGrid>
      <w:tr w:rsidR="004E07CA" w14:paraId="326032A0" w14:textId="77777777" w:rsidTr="00E4192B">
        <w:trPr>
          <w:trHeight w:val="250"/>
        </w:trPr>
        <w:tc>
          <w:tcPr>
            <w:tcW w:w="3945" w:type="dxa"/>
            <w:tcBorders>
              <w:top w:val="single" w:sz="8" w:space="0" w:color="auto"/>
              <w:left w:val="nil"/>
              <w:bottom w:val="single" w:sz="8" w:space="0" w:color="auto"/>
              <w:right w:val="nil"/>
            </w:tcBorders>
            <w:shd w:val="clear" w:color="auto" w:fill="auto"/>
            <w:noWrap/>
            <w:vAlign w:val="center"/>
          </w:tcPr>
          <w:p w14:paraId="1CC00688" w14:textId="77777777" w:rsidR="004E07CA" w:rsidRDefault="004E07CA" w:rsidP="00E4192B">
            <w:pPr>
              <w:spacing w:after="0" w:line="240" w:lineRule="auto"/>
              <w:jc w:val="center"/>
              <w:rPr>
                <w:rFonts w:ascii="Arial" w:hAnsi="Arial" w:cs="Arial"/>
                <w:b/>
                <w:bCs/>
                <w:lang w:val="en-PH" w:eastAsia="en-PH"/>
              </w:rPr>
            </w:pPr>
            <w:r>
              <w:rPr>
                <w:rFonts w:ascii="Arial" w:hAnsi="Arial" w:cs="Arial"/>
                <w:b/>
                <w:bCs/>
                <w:lang w:val="en-PH" w:eastAsia="en-PH"/>
              </w:rPr>
              <w:t>Account title</w:t>
            </w:r>
          </w:p>
        </w:tc>
        <w:tc>
          <w:tcPr>
            <w:tcW w:w="3435" w:type="dxa"/>
            <w:tcBorders>
              <w:top w:val="single" w:sz="8" w:space="0" w:color="auto"/>
              <w:left w:val="nil"/>
              <w:bottom w:val="single" w:sz="8" w:space="0" w:color="auto"/>
              <w:right w:val="nil"/>
            </w:tcBorders>
            <w:shd w:val="clear" w:color="auto" w:fill="auto"/>
            <w:noWrap/>
            <w:vAlign w:val="center"/>
          </w:tcPr>
          <w:p w14:paraId="0DC7504C" w14:textId="36C8BCE4" w:rsidR="004E07CA" w:rsidRDefault="00626CFF" w:rsidP="00E4192B">
            <w:pPr>
              <w:spacing w:after="0" w:line="240" w:lineRule="auto"/>
              <w:jc w:val="center"/>
              <w:rPr>
                <w:rFonts w:ascii="Arial" w:hAnsi="Arial" w:cs="Arial"/>
                <w:b/>
                <w:bCs/>
                <w:lang w:val="en-PH" w:eastAsia="en-PH"/>
              </w:rPr>
            </w:pPr>
            <w:r>
              <w:rPr>
                <w:rFonts w:ascii="Arial" w:hAnsi="Arial" w:cs="Arial"/>
                <w:b/>
                <w:bCs/>
                <w:lang w:val="en-PH" w:eastAsia="en-PH"/>
              </w:rPr>
              <w:t>Amount</w:t>
            </w:r>
          </w:p>
        </w:tc>
      </w:tr>
      <w:tr w:rsidR="004E07CA" w14:paraId="2BA16E42" w14:textId="77777777" w:rsidTr="00E4192B">
        <w:trPr>
          <w:trHeight w:val="20"/>
        </w:trPr>
        <w:tc>
          <w:tcPr>
            <w:tcW w:w="3945" w:type="dxa"/>
            <w:tcBorders>
              <w:top w:val="single" w:sz="8" w:space="0" w:color="auto"/>
              <w:left w:val="nil"/>
              <w:right w:val="nil"/>
            </w:tcBorders>
            <w:shd w:val="clear" w:color="auto" w:fill="auto"/>
            <w:noWrap/>
            <w:vAlign w:val="center"/>
          </w:tcPr>
          <w:p w14:paraId="2F82F4C0" w14:textId="77777777" w:rsidR="004E07CA" w:rsidRDefault="004E07CA" w:rsidP="00E4192B">
            <w:pPr>
              <w:spacing w:after="0" w:line="240" w:lineRule="auto"/>
              <w:rPr>
                <w:rFonts w:ascii="Arial" w:hAnsi="Arial" w:cs="Arial"/>
                <w:lang w:val="en-PH" w:eastAsia="en-PH"/>
              </w:rPr>
            </w:pPr>
            <w:r>
              <w:rPr>
                <w:rFonts w:ascii="Arial" w:hAnsi="Arial" w:cs="Arial"/>
              </w:rPr>
              <w:t>Club share inventory</w:t>
            </w:r>
          </w:p>
        </w:tc>
        <w:tc>
          <w:tcPr>
            <w:tcW w:w="3435" w:type="dxa"/>
            <w:tcBorders>
              <w:top w:val="single" w:sz="8" w:space="0" w:color="auto"/>
              <w:left w:val="nil"/>
              <w:right w:val="nil"/>
            </w:tcBorders>
            <w:shd w:val="clear" w:color="auto" w:fill="auto"/>
            <w:noWrap/>
            <w:vAlign w:val="center"/>
          </w:tcPr>
          <w:p w14:paraId="4DF42E4F" w14:textId="77777777" w:rsidR="004E07CA" w:rsidRDefault="004E07CA" w:rsidP="00E4192B">
            <w:pPr>
              <w:spacing w:after="0" w:line="240" w:lineRule="auto"/>
              <w:jc w:val="right"/>
              <w:rPr>
                <w:rFonts w:ascii="Arial" w:hAnsi="Arial" w:cs="Arial"/>
                <w:lang w:val="en-PH" w:eastAsia="en-PH"/>
              </w:rPr>
            </w:pPr>
            <w:r>
              <w:rPr>
                <w:rFonts w:ascii="Arial" w:hAnsi="Arial" w:cs="Arial"/>
              </w:rPr>
              <w:t>P 1,008,825,205</w:t>
            </w:r>
          </w:p>
        </w:tc>
      </w:tr>
      <w:tr w:rsidR="004E07CA" w14:paraId="17E2512F" w14:textId="77777777" w:rsidTr="00E4192B">
        <w:trPr>
          <w:trHeight w:val="20"/>
        </w:trPr>
        <w:tc>
          <w:tcPr>
            <w:tcW w:w="3945" w:type="dxa"/>
            <w:tcBorders>
              <w:top w:val="nil"/>
              <w:left w:val="nil"/>
              <w:right w:val="nil"/>
            </w:tcBorders>
            <w:shd w:val="clear" w:color="auto" w:fill="auto"/>
            <w:noWrap/>
            <w:vAlign w:val="center"/>
          </w:tcPr>
          <w:p w14:paraId="6B0FA07B" w14:textId="77777777" w:rsidR="004E07CA" w:rsidRDefault="004E07CA" w:rsidP="00E4192B">
            <w:pPr>
              <w:spacing w:after="0" w:line="240" w:lineRule="auto"/>
              <w:rPr>
                <w:rFonts w:ascii="Arial" w:hAnsi="Arial" w:cs="Arial"/>
                <w:lang w:val="en-PH" w:eastAsia="en-PH"/>
              </w:rPr>
            </w:pPr>
            <w:r>
              <w:rPr>
                <w:rFonts w:ascii="Arial" w:hAnsi="Arial" w:cs="Arial"/>
              </w:rPr>
              <w:t>Other inventories</w:t>
            </w:r>
          </w:p>
        </w:tc>
        <w:tc>
          <w:tcPr>
            <w:tcW w:w="3435" w:type="dxa"/>
            <w:tcBorders>
              <w:top w:val="nil"/>
              <w:left w:val="nil"/>
              <w:right w:val="nil"/>
            </w:tcBorders>
            <w:shd w:val="clear" w:color="auto" w:fill="auto"/>
            <w:noWrap/>
            <w:vAlign w:val="center"/>
          </w:tcPr>
          <w:p w14:paraId="518C8BF7" w14:textId="77777777" w:rsidR="004E07CA" w:rsidRDefault="004E07CA" w:rsidP="00E4192B">
            <w:pPr>
              <w:spacing w:after="0" w:line="240" w:lineRule="auto"/>
              <w:jc w:val="right"/>
              <w:rPr>
                <w:rFonts w:ascii="Arial" w:hAnsi="Arial" w:cs="Arial"/>
                <w:lang w:val="en-PH" w:eastAsia="en-PH"/>
              </w:rPr>
            </w:pPr>
            <w:r>
              <w:rPr>
                <w:rFonts w:ascii="Arial" w:hAnsi="Arial" w:cs="Arial"/>
              </w:rPr>
              <w:t>2,592,816,695</w:t>
            </w:r>
          </w:p>
        </w:tc>
      </w:tr>
      <w:tr w:rsidR="004E07CA" w14:paraId="54F17BA1" w14:textId="77777777" w:rsidTr="00E4192B">
        <w:trPr>
          <w:trHeight w:val="20"/>
        </w:trPr>
        <w:tc>
          <w:tcPr>
            <w:tcW w:w="3945" w:type="dxa"/>
            <w:tcBorders>
              <w:left w:val="nil"/>
              <w:bottom w:val="single" w:sz="4" w:space="0" w:color="auto"/>
              <w:right w:val="nil"/>
            </w:tcBorders>
            <w:shd w:val="clear" w:color="auto" w:fill="auto"/>
            <w:noWrap/>
            <w:vAlign w:val="center"/>
          </w:tcPr>
          <w:p w14:paraId="6051325E" w14:textId="77777777" w:rsidR="004E07CA" w:rsidRDefault="004E07CA" w:rsidP="00E4192B">
            <w:pPr>
              <w:spacing w:after="0" w:line="240" w:lineRule="auto"/>
              <w:rPr>
                <w:rFonts w:ascii="Arial" w:hAnsi="Arial" w:cs="Arial"/>
                <w:lang w:val="en-PH" w:eastAsia="en-PH"/>
              </w:rPr>
            </w:pPr>
            <w:r>
              <w:rPr>
                <w:rFonts w:ascii="Arial" w:hAnsi="Arial" w:cs="Arial"/>
              </w:rPr>
              <w:t>Allowance</w:t>
            </w:r>
          </w:p>
        </w:tc>
        <w:tc>
          <w:tcPr>
            <w:tcW w:w="3435" w:type="dxa"/>
            <w:tcBorders>
              <w:left w:val="nil"/>
              <w:bottom w:val="single" w:sz="4" w:space="0" w:color="auto"/>
              <w:right w:val="nil"/>
            </w:tcBorders>
            <w:shd w:val="clear" w:color="auto" w:fill="auto"/>
            <w:noWrap/>
            <w:vAlign w:val="center"/>
          </w:tcPr>
          <w:p w14:paraId="26062621" w14:textId="77777777" w:rsidR="004E07CA" w:rsidRDefault="004E07CA" w:rsidP="00E4192B">
            <w:pPr>
              <w:spacing w:after="0" w:line="240" w:lineRule="auto"/>
              <w:ind w:right="-58"/>
              <w:jc w:val="right"/>
              <w:rPr>
                <w:rFonts w:ascii="Arial" w:hAnsi="Arial" w:cs="Arial"/>
                <w:b/>
                <w:bCs/>
                <w:lang w:val="en-PH" w:eastAsia="en-PH"/>
              </w:rPr>
            </w:pPr>
            <w:r>
              <w:rPr>
                <w:rFonts w:ascii="Arial" w:hAnsi="Arial" w:cs="Arial"/>
              </w:rPr>
              <w:t>(70,893,191)</w:t>
            </w:r>
          </w:p>
        </w:tc>
      </w:tr>
      <w:tr w:rsidR="004E07CA" w14:paraId="47AC9B07" w14:textId="77777777" w:rsidTr="00E4192B">
        <w:trPr>
          <w:trHeight w:val="315"/>
        </w:trPr>
        <w:tc>
          <w:tcPr>
            <w:tcW w:w="3945" w:type="dxa"/>
            <w:tcBorders>
              <w:top w:val="single" w:sz="4" w:space="0" w:color="auto"/>
              <w:left w:val="nil"/>
              <w:bottom w:val="double" w:sz="6" w:space="0" w:color="auto"/>
              <w:right w:val="nil"/>
            </w:tcBorders>
            <w:shd w:val="clear" w:color="auto" w:fill="auto"/>
            <w:noWrap/>
            <w:vAlign w:val="center"/>
          </w:tcPr>
          <w:p w14:paraId="4F20BFCE" w14:textId="77777777" w:rsidR="004E07CA" w:rsidRDefault="004E07CA" w:rsidP="00E4192B">
            <w:pPr>
              <w:spacing w:after="0" w:line="240" w:lineRule="auto"/>
              <w:rPr>
                <w:rFonts w:ascii="Arial" w:hAnsi="Arial" w:cs="Arial"/>
                <w:b/>
                <w:lang w:val="en-PH" w:eastAsia="en-PH"/>
              </w:rPr>
            </w:pPr>
            <w:r>
              <w:rPr>
                <w:rFonts w:ascii="Arial" w:hAnsi="Arial" w:cs="Arial"/>
                <w:b/>
                <w:lang w:val="en-PH" w:eastAsia="en-PH"/>
              </w:rPr>
              <w:t>Net carrying value</w:t>
            </w:r>
          </w:p>
        </w:tc>
        <w:tc>
          <w:tcPr>
            <w:tcW w:w="3435" w:type="dxa"/>
            <w:tcBorders>
              <w:top w:val="single" w:sz="4" w:space="0" w:color="auto"/>
              <w:left w:val="nil"/>
              <w:bottom w:val="double" w:sz="6" w:space="0" w:color="auto"/>
              <w:right w:val="nil"/>
            </w:tcBorders>
            <w:shd w:val="clear" w:color="auto" w:fill="auto"/>
            <w:noWrap/>
            <w:vAlign w:val="center"/>
          </w:tcPr>
          <w:p w14:paraId="366B2664" w14:textId="77777777" w:rsidR="004E07CA" w:rsidRDefault="004E07CA" w:rsidP="00E4192B">
            <w:pPr>
              <w:spacing w:after="0" w:line="240" w:lineRule="auto"/>
              <w:jc w:val="right"/>
              <w:rPr>
                <w:rFonts w:ascii="Arial" w:hAnsi="Arial" w:cs="Arial"/>
                <w:b/>
                <w:bCs/>
              </w:rPr>
            </w:pPr>
            <w:r>
              <w:rPr>
                <w:rFonts w:ascii="Arial" w:hAnsi="Arial" w:cs="Arial"/>
                <w:b/>
                <w:bCs/>
              </w:rPr>
              <w:t>P 3,530,748,709</w:t>
            </w:r>
          </w:p>
        </w:tc>
      </w:tr>
    </w:tbl>
    <w:p w14:paraId="43C42712" w14:textId="77777777" w:rsidR="004E07CA" w:rsidRPr="00485272" w:rsidRDefault="004E07CA" w:rsidP="004E07CA">
      <w:pPr>
        <w:spacing w:after="0" w:line="240" w:lineRule="auto"/>
        <w:ind w:firstLine="720"/>
        <w:jc w:val="both"/>
        <w:rPr>
          <w:rFonts w:ascii="Arial" w:hAnsi="Arial" w:cs="Arial"/>
        </w:rPr>
      </w:pPr>
    </w:p>
    <w:p w14:paraId="571BBAF9" w14:textId="1ED55A28"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 xml:space="preserve">For CY 2022, the same exceptions were noted vis-a-vis the PYs AOs that cast doubt on the reliability of the presented balances of the </w:t>
      </w:r>
      <w:proofErr w:type="spellStart"/>
      <w:r w:rsidRPr="00485272">
        <w:rPr>
          <w:rFonts w:ascii="Arial" w:hAnsi="Arial" w:cs="Arial"/>
          <w:sz w:val="22"/>
          <w:szCs w:val="22"/>
        </w:rPr>
        <w:t>Landbanking</w:t>
      </w:r>
      <w:proofErr w:type="spellEnd"/>
      <w:r w:rsidRPr="00485272">
        <w:rPr>
          <w:rFonts w:ascii="Arial" w:hAnsi="Arial" w:cs="Arial"/>
          <w:sz w:val="22"/>
          <w:szCs w:val="22"/>
        </w:rPr>
        <w:t xml:space="preserve"> assets account in the Statement of Financial Position. The land area variances between the actual TCT and the AFPRSBS’ record which were first observed in the CY 2018 audit were still not fully reconciled as at December 31, 2022.  Nevertheless, as at October 31, 2022, the AFPRSBS was able to reconcile some variances between the total area per physical inventory of TCTs in the custody of Internal Records Management </w:t>
      </w:r>
      <w:r w:rsidRPr="00485272">
        <w:rPr>
          <w:rFonts w:ascii="Arial" w:hAnsi="Arial" w:cs="Arial"/>
          <w:sz w:val="22"/>
          <w:szCs w:val="22"/>
        </w:rPr>
        <w:lastRenderedPageBreak/>
        <w:t xml:space="preserve">Department (IRMD) and the balance of the </w:t>
      </w:r>
      <w:proofErr w:type="spellStart"/>
      <w:r w:rsidRPr="00485272">
        <w:rPr>
          <w:rFonts w:ascii="Arial" w:hAnsi="Arial" w:cs="Arial"/>
          <w:sz w:val="22"/>
          <w:szCs w:val="22"/>
        </w:rPr>
        <w:t>Landbanking</w:t>
      </w:r>
      <w:proofErr w:type="spellEnd"/>
      <w:r w:rsidRPr="00485272">
        <w:rPr>
          <w:rFonts w:ascii="Arial" w:hAnsi="Arial" w:cs="Arial"/>
          <w:sz w:val="22"/>
          <w:szCs w:val="22"/>
        </w:rPr>
        <w:t xml:space="preserve"> assets account, per record of Accounting Department (AD), amounting to P582.988</w:t>
      </w:r>
      <w:r w:rsidR="00E4192B" w:rsidRPr="00485272">
        <w:rPr>
          <w:rFonts w:ascii="Arial" w:hAnsi="Arial" w:cs="Arial"/>
          <w:sz w:val="22"/>
          <w:szCs w:val="22"/>
        </w:rPr>
        <w:t xml:space="preserve"> million as presented in Table 5</w:t>
      </w:r>
      <w:r w:rsidRPr="00485272">
        <w:rPr>
          <w:rFonts w:ascii="Arial" w:hAnsi="Arial" w:cs="Arial"/>
          <w:sz w:val="22"/>
          <w:szCs w:val="22"/>
        </w:rPr>
        <w:t>.3.</w:t>
      </w:r>
    </w:p>
    <w:p w14:paraId="5DE0CFB3" w14:textId="77777777" w:rsidR="004E07CA" w:rsidRPr="00485272" w:rsidRDefault="004E07CA" w:rsidP="004E07CA">
      <w:pPr>
        <w:spacing w:after="0" w:line="240" w:lineRule="auto"/>
        <w:ind w:firstLine="720"/>
        <w:jc w:val="both"/>
        <w:rPr>
          <w:rFonts w:ascii="Arial" w:hAnsi="Arial" w:cs="Arial"/>
        </w:rPr>
      </w:pPr>
    </w:p>
    <w:p w14:paraId="148CFFCA" w14:textId="186426B0" w:rsidR="004E07CA" w:rsidRPr="00485272" w:rsidRDefault="004E07CA" w:rsidP="0037517B">
      <w:pPr>
        <w:spacing w:after="0" w:line="240" w:lineRule="auto"/>
        <w:ind w:left="720" w:right="-180" w:hanging="990"/>
        <w:jc w:val="center"/>
        <w:rPr>
          <w:rFonts w:ascii="Arial" w:hAnsi="Arial" w:cs="Arial"/>
          <w:b/>
        </w:rPr>
      </w:pPr>
      <w:r w:rsidRPr="00485272">
        <w:rPr>
          <w:rFonts w:ascii="Arial" w:hAnsi="Arial" w:cs="Arial"/>
          <w:b/>
        </w:rPr>
        <w:t xml:space="preserve">Table </w:t>
      </w:r>
      <w:r w:rsidR="00E4192B" w:rsidRPr="00485272">
        <w:rPr>
          <w:rFonts w:ascii="Arial" w:hAnsi="Arial" w:cs="Arial"/>
          <w:b/>
        </w:rPr>
        <w:t>5</w:t>
      </w:r>
      <w:r w:rsidRPr="00485272">
        <w:rPr>
          <w:rFonts w:ascii="Arial" w:hAnsi="Arial" w:cs="Arial"/>
          <w:b/>
        </w:rPr>
        <w:t xml:space="preserve">.3 – Breakdown of Reconciled Variances </w:t>
      </w:r>
    </w:p>
    <w:p w14:paraId="003DA23B" w14:textId="77777777" w:rsidR="004E07CA" w:rsidRPr="00485272" w:rsidRDefault="004E07CA" w:rsidP="0037517B">
      <w:pPr>
        <w:spacing w:after="0" w:line="240" w:lineRule="auto"/>
        <w:ind w:left="720" w:right="-180" w:hanging="990"/>
        <w:jc w:val="center"/>
        <w:rPr>
          <w:rFonts w:ascii="Arial" w:hAnsi="Arial" w:cs="Arial"/>
          <w:b/>
        </w:rPr>
      </w:pPr>
      <w:r w:rsidRPr="00485272">
        <w:rPr>
          <w:rFonts w:ascii="Arial" w:hAnsi="Arial" w:cs="Arial"/>
          <w:b/>
        </w:rPr>
        <w:t>For CY 2022</w:t>
      </w:r>
    </w:p>
    <w:p w14:paraId="57856D9A" w14:textId="77777777" w:rsidR="004E07CA" w:rsidRPr="00485272" w:rsidRDefault="004E07CA" w:rsidP="004E07CA">
      <w:pPr>
        <w:spacing w:after="0" w:line="240" w:lineRule="auto"/>
        <w:ind w:firstLine="720"/>
        <w:jc w:val="center"/>
        <w:rPr>
          <w:rFonts w:ascii="Arial" w:hAnsi="Arial" w:cs="Arial"/>
        </w:rPr>
      </w:pPr>
    </w:p>
    <w:tbl>
      <w:tblPr>
        <w:tblW w:w="9180" w:type="dxa"/>
        <w:tblInd w:w="-270" w:type="dxa"/>
        <w:tblLayout w:type="fixed"/>
        <w:tblLook w:val="04A0" w:firstRow="1" w:lastRow="0" w:firstColumn="1" w:lastColumn="0" w:noHBand="0" w:noVBand="1"/>
      </w:tblPr>
      <w:tblGrid>
        <w:gridCol w:w="1260"/>
        <w:gridCol w:w="90"/>
        <w:gridCol w:w="900"/>
        <w:gridCol w:w="1139"/>
        <w:gridCol w:w="931"/>
        <w:gridCol w:w="1080"/>
        <w:gridCol w:w="1350"/>
        <w:gridCol w:w="2430"/>
      </w:tblGrid>
      <w:tr w:rsidR="004E07CA" w14:paraId="0F484AD5" w14:textId="77777777" w:rsidTr="00E4192B">
        <w:trPr>
          <w:trHeight w:val="864"/>
          <w:tblHeader/>
        </w:trPr>
        <w:tc>
          <w:tcPr>
            <w:tcW w:w="1260" w:type="dxa"/>
            <w:tcBorders>
              <w:top w:val="single" w:sz="4" w:space="0" w:color="auto"/>
              <w:left w:val="nil"/>
              <w:bottom w:val="single" w:sz="4" w:space="0" w:color="auto"/>
              <w:right w:val="nil"/>
            </w:tcBorders>
            <w:shd w:val="clear" w:color="auto" w:fill="auto"/>
            <w:vAlign w:val="center"/>
          </w:tcPr>
          <w:p w14:paraId="34CA8151" w14:textId="77777777" w:rsidR="004E07CA" w:rsidRPr="00530B21" w:rsidRDefault="004E07CA" w:rsidP="00E4192B">
            <w:pPr>
              <w:spacing w:after="0" w:line="240" w:lineRule="auto"/>
              <w:jc w:val="center"/>
              <w:rPr>
                <w:rFonts w:ascii="Arial" w:eastAsia="Times New Roman" w:hAnsi="Arial" w:cs="Arial"/>
                <w:b/>
                <w:bCs/>
                <w:sz w:val="18"/>
                <w:lang w:val="en-PH" w:eastAsia="en-PH"/>
              </w:rPr>
            </w:pPr>
            <w:r w:rsidRPr="00530B21">
              <w:rPr>
                <w:rFonts w:ascii="Arial" w:eastAsia="Times New Roman" w:hAnsi="Arial" w:cs="Arial"/>
                <w:b/>
                <w:bCs/>
                <w:sz w:val="18"/>
                <w:lang w:val="en-PH" w:eastAsia="en-PH"/>
              </w:rPr>
              <w:t>Project name</w:t>
            </w:r>
          </w:p>
        </w:tc>
        <w:tc>
          <w:tcPr>
            <w:tcW w:w="990" w:type="dxa"/>
            <w:gridSpan w:val="2"/>
            <w:tcBorders>
              <w:top w:val="single" w:sz="4" w:space="0" w:color="auto"/>
              <w:left w:val="nil"/>
              <w:bottom w:val="single" w:sz="4" w:space="0" w:color="auto"/>
              <w:right w:val="nil"/>
            </w:tcBorders>
            <w:shd w:val="clear" w:color="auto" w:fill="auto"/>
            <w:vAlign w:val="center"/>
          </w:tcPr>
          <w:p w14:paraId="57CFD684" w14:textId="77777777" w:rsidR="004E07CA" w:rsidRPr="00530B21" w:rsidRDefault="004E07CA" w:rsidP="00E4192B">
            <w:pPr>
              <w:spacing w:after="0" w:line="240" w:lineRule="auto"/>
              <w:jc w:val="center"/>
              <w:rPr>
                <w:rFonts w:ascii="Arial" w:eastAsia="Times New Roman" w:hAnsi="Arial" w:cs="Arial"/>
                <w:b/>
                <w:bCs/>
                <w:sz w:val="18"/>
                <w:lang w:val="en-PH" w:eastAsia="en-PH"/>
              </w:rPr>
            </w:pPr>
            <w:r w:rsidRPr="00530B21">
              <w:rPr>
                <w:rFonts w:ascii="Arial" w:eastAsia="Times New Roman" w:hAnsi="Arial" w:cs="Arial"/>
                <w:b/>
                <w:bCs/>
                <w:sz w:val="18"/>
                <w:lang w:val="en-PH" w:eastAsia="en-PH"/>
              </w:rPr>
              <w:t>Total area in sqm per books-AD</w:t>
            </w:r>
          </w:p>
        </w:tc>
        <w:tc>
          <w:tcPr>
            <w:tcW w:w="1139" w:type="dxa"/>
            <w:tcBorders>
              <w:top w:val="single" w:sz="4" w:space="0" w:color="auto"/>
              <w:left w:val="nil"/>
              <w:bottom w:val="single" w:sz="4" w:space="0" w:color="auto"/>
              <w:right w:val="nil"/>
            </w:tcBorders>
            <w:shd w:val="clear" w:color="auto" w:fill="auto"/>
            <w:vAlign w:val="center"/>
          </w:tcPr>
          <w:p w14:paraId="5B657AD7" w14:textId="77777777" w:rsidR="004E07CA" w:rsidRPr="00530B21" w:rsidRDefault="004E07CA" w:rsidP="00E4192B">
            <w:pPr>
              <w:spacing w:after="0" w:line="240" w:lineRule="auto"/>
              <w:jc w:val="center"/>
              <w:rPr>
                <w:rFonts w:ascii="Arial" w:hAnsi="Arial" w:cs="Arial"/>
                <w:b/>
                <w:bCs/>
                <w:sz w:val="18"/>
                <w:lang w:val="en-PH" w:eastAsia="en-PH"/>
              </w:rPr>
            </w:pPr>
            <w:r w:rsidRPr="00530B21">
              <w:rPr>
                <w:rFonts w:ascii="Arial" w:hAnsi="Arial" w:cs="Arial"/>
                <w:b/>
                <w:bCs/>
                <w:sz w:val="18"/>
                <w:lang w:val="en-PH" w:eastAsia="en-PH"/>
              </w:rPr>
              <w:t>Total area- per TCTs net of sold lots (sqm)-</w:t>
            </w:r>
          </w:p>
          <w:p w14:paraId="5F2671BB" w14:textId="77777777" w:rsidR="004E07CA" w:rsidRPr="00530B21" w:rsidRDefault="004E07CA" w:rsidP="00E4192B">
            <w:pPr>
              <w:spacing w:after="0" w:line="240" w:lineRule="auto"/>
              <w:jc w:val="center"/>
              <w:rPr>
                <w:rFonts w:ascii="Arial" w:hAnsi="Arial" w:cs="Arial"/>
                <w:b/>
                <w:bCs/>
                <w:sz w:val="18"/>
                <w:lang w:val="en-PH" w:eastAsia="en-PH"/>
              </w:rPr>
            </w:pPr>
            <w:r w:rsidRPr="00530B21">
              <w:rPr>
                <w:rFonts w:ascii="Arial" w:hAnsi="Arial" w:cs="Arial"/>
                <w:b/>
                <w:bCs/>
                <w:sz w:val="18"/>
                <w:lang w:val="en-PH" w:eastAsia="en-PH"/>
              </w:rPr>
              <w:t>IRMD</w:t>
            </w:r>
          </w:p>
        </w:tc>
        <w:tc>
          <w:tcPr>
            <w:tcW w:w="931" w:type="dxa"/>
            <w:tcBorders>
              <w:top w:val="single" w:sz="4" w:space="0" w:color="auto"/>
              <w:left w:val="nil"/>
              <w:bottom w:val="single" w:sz="4" w:space="0" w:color="auto"/>
              <w:right w:val="nil"/>
            </w:tcBorders>
            <w:shd w:val="clear" w:color="auto" w:fill="auto"/>
            <w:vAlign w:val="center"/>
          </w:tcPr>
          <w:p w14:paraId="60E5F4CA" w14:textId="77777777" w:rsidR="004E07CA" w:rsidRPr="00530B21" w:rsidRDefault="004E07CA" w:rsidP="00E4192B">
            <w:pPr>
              <w:spacing w:after="0" w:line="240" w:lineRule="auto"/>
              <w:ind w:left="-103" w:right="-109"/>
              <w:jc w:val="center"/>
              <w:rPr>
                <w:rFonts w:ascii="Arial" w:eastAsia="Times New Roman" w:hAnsi="Arial" w:cs="Arial"/>
                <w:b/>
                <w:bCs/>
                <w:sz w:val="18"/>
                <w:lang w:val="en-PH" w:eastAsia="en-PH"/>
              </w:rPr>
            </w:pPr>
            <w:r w:rsidRPr="00530B21">
              <w:rPr>
                <w:rFonts w:ascii="Arial" w:eastAsia="Times New Roman" w:hAnsi="Arial" w:cs="Arial"/>
                <w:b/>
                <w:bCs/>
                <w:sz w:val="18"/>
                <w:lang w:val="en-PH" w:eastAsia="en-PH"/>
              </w:rPr>
              <w:t>Variance</w:t>
            </w:r>
          </w:p>
        </w:tc>
        <w:tc>
          <w:tcPr>
            <w:tcW w:w="1080" w:type="dxa"/>
            <w:tcBorders>
              <w:top w:val="single" w:sz="4" w:space="0" w:color="auto"/>
              <w:left w:val="nil"/>
              <w:bottom w:val="single" w:sz="4" w:space="0" w:color="auto"/>
              <w:right w:val="nil"/>
            </w:tcBorders>
            <w:shd w:val="clear" w:color="auto" w:fill="auto"/>
            <w:vAlign w:val="center"/>
          </w:tcPr>
          <w:p w14:paraId="70ECCBC3" w14:textId="77777777" w:rsidR="004E07CA" w:rsidRPr="00530B21" w:rsidRDefault="004E07CA" w:rsidP="00E4192B">
            <w:pPr>
              <w:spacing w:after="0" w:line="240" w:lineRule="auto"/>
              <w:jc w:val="center"/>
              <w:rPr>
                <w:rFonts w:ascii="Arial" w:eastAsia="Times New Roman" w:hAnsi="Arial" w:cs="Arial"/>
                <w:b/>
                <w:bCs/>
                <w:sz w:val="18"/>
                <w:lang w:val="en-PH" w:eastAsia="en-PH"/>
              </w:rPr>
            </w:pPr>
            <w:r w:rsidRPr="00530B21">
              <w:rPr>
                <w:rFonts w:ascii="Arial" w:eastAsia="Times New Roman" w:hAnsi="Arial" w:cs="Arial"/>
                <w:b/>
                <w:bCs/>
                <w:sz w:val="18"/>
                <w:lang w:val="en-PH" w:eastAsia="en-PH"/>
              </w:rPr>
              <w:t>Cost per sqm/lot</w:t>
            </w:r>
          </w:p>
        </w:tc>
        <w:tc>
          <w:tcPr>
            <w:tcW w:w="1350" w:type="dxa"/>
            <w:tcBorders>
              <w:top w:val="single" w:sz="4" w:space="0" w:color="auto"/>
              <w:left w:val="nil"/>
              <w:bottom w:val="single" w:sz="4" w:space="0" w:color="auto"/>
              <w:right w:val="nil"/>
            </w:tcBorders>
            <w:shd w:val="clear" w:color="auto" w:fill="auto"/>
            <w:vAlign w:val="center"/>
          </w:tcPr>
          <w:p w14:paraId="4751E4A3" w14:textId="77777777" w:rsidR="004E07CA" w:rsidRPr="00530B21" w:rsidRDefault="004E07CA" w:rsidP="00E4192B">
            <w:pPr>
              <w:spacing w:after="0" w:line="240" w:lineRule="auto"/>
              <w:jc w:val="center"/>
              <w:rPr>
                <w:rFonts w:ascii="Arial" w:eastAsia="Times New Roman" w:hAnsi="Arial" w:cs="Arial"/>
                <w:b/>
                <w:bCs/>
                <w:sz w:val="18"/>
                <w:lang w:val="en-PH" w:eastAsia="en-PH"/>
              </w:rPr>
            </w:pPr>
            <w:r w:rsidRPr="00530B21">
              <w:rPr>
                <w:rFonts w:ascii="Arial" w:eastAsia="Times New Roman" w:hAnsi="Arial" w:cs="Arial"/>
                <w:b/>
                <w:bCs/>
                <w:sz w:val="18"/>
                <w:lang w:val="en-PH" w:eastAsia="en-PH"/>
              </w:rPr>
              <w:t>Equivalent value/ cost</w:t>
            </w:r>
          </w:p>
        </w:tc>
        <w:tc>
          <w:tcPr>
            <w:tcW w:w="2430" w:type="dxa"/>
            <w:tcBorders>
              <w:top w:val="single" w:sz="4" w:space="0" w:color="auto"/>
              <w:left w:val="nil"/>
              <w:bottom w:val="single" w:sz="4" w:space="0" w:color="auto"/>
              <w:right w:val="nil"/>
            </w:tcBorders>
            <w:vAlign w:val="center"/>
          </w:tcPr>
          <w:p w14:paraId="2BBD112A" w14:textId="77777777" w:rsidR="004E07CA" w:rsidRPr="00530B21" w:rsidRDefault="004E07CA" w:rsidP="00E4192B">
            <w:pPr>
              <w:spacing w:after="0" w:line="240" w:lineRule="auto"/>
              <w:jc w:val="center"/>
              <w:rPr>
                <w:rFonts w:ascii="Arial" w:eastAsia="Times New Roman" w:hAnsi="Arial" w:cs="Arial"/>
                <w:b/>
                <w:bCs/>
                <w:sz w:val="18"/>
                <w:lang w:val="en-PH" w:eastAsia="en-PH"/>
              </w:rPr>
            </w:pPr>
            <w:r w:rsidRPr="00530B21">
              <w:rPr>
                <w:rFonts w:ascii="Arial" w:eastAsia="Times New Roman" w:hAnsi="Arial" w:cs="Arial"/>
                <w:b/>
                <w:bCs/>
                <w:sz w:val="18"/>
                <w:lang w:val="en-PH" w:eastAsia="en-PH"/>
              </w:rPr>
              <w:t>Results of COA Validation</w:t>
            </w:r>
          </w:p>
        </w:tc>
      </w:tr>
      <w:tr w:rsidR="004E07CA" w14:paraId="29B7C8C5" w14:textId="77777777" w:rsidTr="00E4192B">
        <w:trPr>
          <w:trHeight w:val="288"/>
        </w:trPr>
        <w:tc>
          <w:tcPr>
            <w:tcW w:w="1260" w:type="dxa"/>
            <w:tcBorders>
              <w:left w:val="nil"/>
              <w:right w:val="nil"/>
            </w:tcBorders>
            <w:shd w:val="clear" w:color="auto" w:fill="auto"/>
            <w:noWrap/>
          </w:tcPr>
          <w:p w14:paraId="636B874C" w14:textId="77777777" w:rsidR="004E07CA" w:rsidRPr="00530B21" w:rsidRDefault="004E07CA" w:rsidP="00E4192B">
            <w:pPr>
              <w:spacing w:after="0" w:line="240" w:lineRule="auto"/>
              <w:ind w:left="144" w:hanging="144"/>
              <w:rPr>
                <w:rFonts w:ascii="Arial" w:eastAsia="Times New Roman" w:hAnsi="Arial" w:cs="Arial"/>
                <w:sz w:val="18"/>
                <w:lang w:val="en-PH" w:eastAsia="en-PH"/>
              </w:rPr>
            </w:pPr>
            <w:r w:rsidRPr="00530B21">
              <w:rPr>
                <w:rFonts w:ascii="Arial" w:eastAsia="Times New Roman" w:hAnsi="Arial" w:cs="Arial"/>
                <w:sz w:val="18"/>
                <w:lang w:val="en-PH" w:eastAsia="en-PH"/>
              </w:rPr>
              <w:t>Calamba (Tanauan)</w:t>
            </w:r>
          </w:p>
        </w:tc>
        <w:tc>
          <w:tcPr>
            <w:tcW w:w="990" w:type="dxa"/>
            <w:gridSpan w:val="2"/>
            <w:tcBorders>
              <w:left w:val="nil"/>
              <w:right w:val="nil"/>
            </w:tcBorders>
            <w:shd w:val="clear" w:color="auto" w:fill="auto"/>
            <w:noWrap/>
          </w:tcPr>
          <w:p w14:paraId="2F32581C" w14:textId="77777777" w:rsidR="004E07CA" w:rsidRPr="00530B21" w:rsidRDefault="004E07CA" w:rsidP="00E4192B">
            <w:pPr>
              <w:spacing w:after="0" w:line="240" w:lineRule="auto"/>
              <w:ind w:left="-105"/>
              <w:jc w:val="right"/>
              <w:rPr>
                <w:rFonts w:ascii="Arial" w:eastAsia="Times New Roman" w:hAnsi="Arial" w:cs="Arial"/>
                <w:sz w:val="18"/>
                <w:lang w:val="en-PH" w:eastAsia="en-PH"/>
              </w:rPr>
            </w:pPr>
            <w:r w:rsidRPr="00530B21">
              <w:rPr>
                <w:rFonts w:ascii="Arial" w:eastAsia="Times New Roman" w:hAnsi="Arial" w:cs="Arial"/>
                <w:sz w:val="18"/>
                <w:lang w:val="en-PH" w:eastAsia="en-PH"/>
              </w:rPr>
              <w:t>1,615,133</w:t>
            </w:r>
          </w:p>
        </w:tc>
        <w:tc>
          <w:tcPr>
            <w:tcW w:w="1139" w:type="dxa"/>
            <w:tcBorders>
              <w:left w:val="nil"/>
              <w:right w:val="nil"/>
            </w:tcBorders>
            <w:shd w:val="clear" w:color="auto" w:fill="auto"/>
            <w:noWrap/>
          </w:tcPr>
          <w:p w14:paraId="396AFA6C"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588,678</w:t>
            </w:r>
          </w:p>
        </w:tc>
        <w:tc>
          <w:tcPr>
            <w:tcW w:w="931" w:type="dxa"/>
            <w:tcBorders>
              <w:left w:val="nil"/>
              <w:right w:val="nil"/>
            </w:tcBorders>
            <w:shd w:val="clear" w:color="auto" w:fill="auto"/>
            <w:noWrap/>
          </w:tcPr>
          <w:p w14:paraId="5815C950" w14:textId="77777777" w:rsidR="004E07CA" w:rsidRPr="00530B21" w:rsidRDefault="004E07CA" w:rsidP="00E4192B">
            <w:pPr>
              <w:spacing w:after="0" w:line="240" w:lineRule="auto"/>
              <w:ind w:left="-107"/>
              <w:jc w:val="right"/>
              <w:rPr>
                <w:rFonts w:ascii="Arial" w:eastAsia="Times New Roman" w:hAnsi="Arial" w:cs="Arial"/>
                <w:sz w:val="18"/>
                <w:lang w:val="en-PH" w:eastAsia="en-PH"/>
              </w:rPr>
            </w:pPr>
            <w:r w:rsidRPr="00530B21">
              <w:rPr>
                <w:rFonts w:ascii="Arial" w:eastAsia="Times New Roman" w:hAnsi="Arial" w:cs="Arial"/>
                <w:sz w:val="18"/>
                <w:lang w:val="en-PH" w:eastAsia="en-PH"/>
              </w:rPr>
              <w:t>1,026,455</w:t>
            </w:r>
          </w:p>
        </w:tc>
        <w:tc>
          <w:tcPr>
            <w:tcW w:w="1080" w:type="dxa"/>
            <w:tcBorders>
              <w:left w:val="nil"/>
              <w:right w:val="nil"/>
            </w:tcBorders>
            <w:shd w:val="clear" w:color="auto" w:fill="auto"/>
            <w:noWrap/>
          </w:tcPr>
          <w:p w14:paraId="56D8F839" w14:textId="77777777" w:rsidR="004E07CA" w:rsidRPr="00530B21" w:rsidRDefault="004E07CA" w:rsidP="00E4192B">
            <w:pPr>
              <w:spacing w:after="0" w:line="240" w:lineRule="auto"/>
              <w:ind w:left="-108"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P272.9394</w:t>
            </w:r>
          </w:p>
        </w:tc>
        <w:tc>
          <w:tcPr>
            <w:tcW w:w="1350" w:type="dxa"/>
            <w:tcBorders>
              <w:left w:val="nil"/>
              <w:right w:val="nil"/>
            </w:tcBorders>
            <w:shd w:val="clear" w:color="auto" w:fill="auto"/>
            <w:noWrap/>
          </w:tcPr>
          <w:p w14:paraId="5CB78DB4" w14:textId="77777777" w:rsidR="004E07CA" w:rsidRPr="00530B21" w:rsidRDefault="004E07CA" w:rsidP="00E4192B">
            <w:pPr>
              <w:spacing w:after="0" w:line="240" w:lineRule="auto"/>
              <w:ind w:left="-114"/>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P 280,160,012 </w:t>
            </w:r>
          </w:p>
        </w:tc>
        <w:tc>
          <w:tcPr>
            <w:tcW w:w="2430" w:type="dxa"/>
            <w:tcBorders>
              <w:left w:val="nil"/>
              <w:right w:val="nil"/>
            </w:tcBorders>
          </w:tcPr>
          <w:p w14:paraId="08C41AEB" w14:textId="77777777" w:rsidR="004E07CA" w:rsidRPr="00530B21" w:rsidRDefault="004E07CA" w:rsidP="00E4192B">
            <w:pPr>
              <w:spacing w:after="0" w:line="240" w:lineRule="auto"/>
              <w:jc w:val="both"/>
              <w:rPr>
                <w:rFonts w:ascii="Arial" w:eastAsia="Times New Roman" w:hAnsi="Arial" w:cs="Arial"/>
                <w:sz w:val="18"/>
                <w:lang w:val="en-PH" w:eastAsia="en-PH"/>
              </w:rPr>
            </w:pPr>
            <w:r w:rsidRPr="00530B21">
              <w:rPr>
                <w:rFonts w:ascii="Arial" w:eastAsia="Times New Roman" w:hAnsi="Arial" w:cs="Arial"/>
                <w:sz w:val="18"/>
                <w:lang w:val="en-PH" w:eastAsia="en-PH"/>
              </w:rPr>
              <w:t>The variance was traced and determined as those sold assets on installment basis. However, various accounts still included are already past due for more than 180 days as of CY 2022, hence, for cancellation of installment sales.</w:t>
            </w:r>
          </w:p>
          <w:p w14:paraId="66496BC1" w14:textId="77777777" w:rsidR="004E07CA" w:rsidRPr="00530B21" w:rsidRDefault="004E07CA" w:rsidP="00E4192B">
            <w:pPr>
              <w:spacing w:after="0" w:line="240" w:lineRule="auto"/>
              <w:jc w:val="both"/>
              <w:rPr>
                <w:rFonts w:ascii="Arial" w:eastAsia="Times New Roman" w:hAnsi="Arial" w:cs="Arial"/>
                <w:sz w:val="18"/>
                <w:lang w:val="en-PH" w:eastAsia="en-PH"/>
              </w:rPr>
            </w:pPr>
          </w:p>
        </w:tc>
      </w:tr>
      <w:tr w:rsidR="004E07CA" w14:paraId="2C9E8B10" w14:textId="77777777" w:rsidTr="00E4192B">
        <w:trPr>
          <w:trHeight w:val="288"/>
        </w:trPr>
        <w:tc>
          <w:tcPr>
            <w:tcW w:w="1260" w:type="dxa"/>
            <w:tcBorders>
              <w:left w:val="nil"/>
              <w:right w:val="nil"/>
            </w:tcBorders>
            <w:shd w:val="clear" w:color="auto" w:fill="auto"/>
            <w:noWrap/>
          </w:tcPr>
          <w:p w14:paraId="0A9DF880" w14:textId="77777777" w:rsidR="004E07CA" w:rsidRPr="00530B21" w:rsidRDefault="004E07CA" w:rsidP="00E4192B">
            <w:pPr>
              <w:spacing w:after="0" w:line="240" w:lineRule="auto"/>
              <w:ind w:left="144" w:hanging="144"/>
              <w:rPr>
                <w:rFonts w:ascii="Arial" w:eastAsia="Times New Roman" w:hAnsi="Arial" w:cs="Arial"/>
                <w:sz w:val="18"/>
                <w:lang w:val="en-PH" w:eastAsia="en-PH"/>
              </w:rPr>
            </w:pPr>
            <w:r w:rsidRPr="00530B21">
              <w:rPr>
                <w:rFonts w:ascii="Arial" w:eastAsia="Times New Roman" w:hAnsi="Arial" w:cs="Arial"/>
                <w:sz w:val="18"/>
                <w:lang w:val="en-PH" w:eastAsia="en-PH"/>
              </w:rPr>
              <w:t>General Santos City</w:t>
            </w:r>
          </w:p>
        </w:tc>
        <w:tc>
          <w:tcPr>
            <w:tcW w:w="990" w:type="dxa"/>
            <w:gridSpan w:val="2"/>
            <w:tcBorders>
              <w:left w:val="nil"/>
              <w:right w:val="nil"/>
            </w:tcBorders>
            <w:shd w:val="clear" w:color="auto" w:fill="auto"/>
            <w:noWrap/>
          </w:tcPr>
          <w:p w14:paraId="6952EC30"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49,421 </w:t>
            </w:r>
          </w:p>
        </w:tc>
        <w:tc>
          <w:tcPr>
            <w:tcW w:w="1139" w:type="dxa"/>
            <w:tcBorders>
              <w:left w:val="nil"/>
              <w:right w:val="nil"/>
            </w:tcBorders>
            <w:shd w:val="clear" w:color="auto" w:fill="auto"/>
            <w:noWrap/>
          </w:tcPr>
          <w:p w14:paraId="2D3BD54A"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    34,191 </w:t>
            </w:r>
          </w:p>
        </w:tc>
        <w:tc>
          <w:tcPr>
            <w:tcW w:w="931" w:type="dxa"/>
            <w:tcBorders>
              <w:left w:val="nil"/>
              <w:right w:val="nil"/>
            </w:tcBorders>
            <w:shd w:val="clear" w:color="auto" w:fill="auto"/>
            <w:noWrap/>
          </w:tcPr>
          <w:p w14:paraId="6B724847"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15,230 </w:t>
            </w:r>
          </w:p>
        </w:tc>
        <w:tc>
          <w:tcPr>
            <w:tcW w:w="1080" w:type="dxa"/>
            <w:tcBorders>
              <w:left w:val="nil"/>
              <w:right w:val="nil"/>
            </w:tcBorders>
            <w:shd w:val="clear" w:color="auto" w:fill="auto"/>
            <w:noWrap/>
          </w:tcPr>
          <w:p w14:paraId="1A4BC82D" w14:textId="77777777" w:rsidR="004E07CA" w:rsidRPr="00530B21" w:rsidRDefault="004E07CA" w:rsidP="00E4192B">
            <w:pPr>
              <w:spacing w:after="0" w:line="240" w:lineRule="auto"/>
              <w:ind w:left="-108"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11,373.1884 </w:t>
            </w:r>
          </w:p>
        </w:tc>
        <w:tc>
          <w:tcPr>
            <w:tcW w:w="1350" w:type="dxa"/>
            <w:tcBorders>
              <w:left w:val="nil"/>
              <w:right w:val="nil"/>
            </w:tcBorders>
            <w:shd w:val="clear" w:color="auto" w:fill="auto"/>
            <w:noWrap/>
          </w:tcPr>
          <w:p w14:paraId="684B2DE7"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173,213,660 </w:t>
            </w:r>
          </w:p>
        </w:tc>
        <w:tc>
          <w:tcPr>
            <w:tcW w:w="2430" w:type="dxa"/>
            <w:tcBorders>
              <w:left w:val="nil"/>
              <w:right w:val="nil"/>
            </w:tcBorders>
          </w:tcPr>
          <w:p w14:paraId="272CE2AB" w14:textId="77777777" w:rsidR="004E07CA" w:rsidRPr="00530B21" w:rsidRDefault="004E07CA" w:rsidP="00E4192B">
            <w:pPr>
              <w:spacing w:after="0" w:line="240" w:lineRule="auto"/>
              <w:jc w:val="both"/>
              <w:rPr>
                <w:rFonts w:ascii="Arial" w:eastAsia="Times New Roman" w:hAnsi="Arial" w:cs="Arial"/>
                <w:sz w:val="18"/>
                <w:lang w:val="en-PH" w:eastAsia="en-PH"/>
              </w:rPr>
            </w:pPr>
            <w:r w:rsidRPr="00530B21">
              <w:rPr>
                <w:rFonts w:ascii="Arial" w:eastAsia="Times New Roman" w:hAnsi="Arial" w:cs="Arial"/>
                <w:sz w:val="18"/>
                <w:lang w:val="en-PH" w:eastAsia="en-PH"/>
              </w:rPr>
              <w:t xml:space="preserve">The 15,020 sqm variance is properly accounted and cancelled due to the Supreme Court decision to revert the properties as public domain for public use. The remaining 210 sqm variance pertains to the property it purchased from </w:t>
            </w:r>
            <w:proofErr w:type="spellStart"/>
            <w:r w:rsidRPr="00530B21">
              <w:rPr>
                <w:rFonts w:ascii="Arial" w:eastAsia="Times New Roman" w:hAnsi="Arial" w:cs="Arial"/>
                <w:sz w:val="18"/>
                <w:lang w:val="en-PH" w:eastAsia="en-PH"/>
              </w:rPr>
              <w:t>Bulaong</w:t>
            </w:r>
            <w:proofErr w:type="spellEnd"/>
            <w:r w:rsidRPr="00530B21">
              <w:rPr>
                <w:rFonts w:ascii="Arial" w:eastAsia="Times New Roman" w:hAnsi="Arial" w:cs="Arial"/>
                <w:sz w:val="18"/>
                <w:lang w:val="en-PH" w:eastAsia="en-PH"/>
              </w:rPr>
              <w:t xml:space="preserve"> Enterprises., which was erroneously accounted as part of its assets, but has not yet been fully paid by the Management since 1997iat its agreed purchase price. Hence, derecognition of the property from the books of the AFPRSBS is proper unless a compromise agreement is successfully entered into with the seller.</w:t>
            </w:r>
          </w:p>
          <w:p w14:paraId="0000753E" w14:textId="77777777" w:rsidR="004E07CA" w:rsidRPr="00530B21" w:rsidRDefault="004E07CA" w:rsidP="00E4192B">
            <w:pPr>
              <w:spacing w:after="0" w:line="240" w:lineRule="auto"/>
              <w:jc w:val="both"/>
              <w:rPr>
                <w:rFonts w:ascii="Arial" w:eastAsia="Times New Roman" w:hAnsi="Arial" w:cs="Arial"/>
                <w:sz w:val="18"/>
                <w:lang w:val="en-PH" w:eastAsia="en-PH"/>
              </w:rPr>
            </w:pPr>
          </w:p>
        </w:tc>
      </w:tr>
      <w:tr w:rsidR="004E07CA" w14:paraId="10D07CFA" w14:textId="77777777" w:rsidTr="00E4192B">
        <w:trPr>
          <w:trHeight w:val="288"/>
        </w:trPr>
        <w:tc>
          <w:tcPr>
            <w:tcW w:w="1260" w:type="dxa"/>
            <w:tcBorders>
              <w:left w:val="nil"/>
              <w:right w:val="nil"/>
            </w:tcBorders>
            <w:shd w:val="clear" w:color="auto" w:fill="auto"/>
            <w:noWrap/>
          </w:tcPr>
          <w:p w14:paraId="5949BFDA" w14:textId="77777777" w:rsidR="004E07CA" w:rsidRPr="00530B21" w:rsidRDefault="004E07CA" w:rsidP="00E4192B">
            <w:pPr>
              <w:spacing w:after="0" w:line="240" w:lineRule="auto"/>
              <w:ind w:left="144" w:hanging="144"/>
              <w:rPr>
                <w:rFonts w:ascii="Arial" w:eastAsia="Times New Roman" w:hAnsi="Arial" w:cs="Arial"/>
                <w:sz w:val="18"/>
                <w:lang w:val="en-PH" w:eastAsia="en-PH"/>
              </w:rPr>
            </w:pPr>
            <w:r w:rsidRPr="00530B21">
              <w:rPr>
                <w:rFonts w:ascii="Arial" w:eastAsia="Times New Roman" w:hAnsi="Arial" w:cs="Arial"/>
                <w:sz w:val="18"/>
                <w:lang w:val="en-PH" w:eastAsia="en-PH"/>
              </w:rPr>
              <w:t>Benjamin 9, Pampanga</w:t>
            </w:r>
          </w:p>
        </w:tc>
        <w:tc>
          <w:tcPr>
            <w:tcW w:w="990" w:type="dxa"/>
            <w:gridSpan w:val="2"/>
            <w:tcBorders>
              <w:left w:val="nil"/>
              <w:right w:val="nil"/>
            </w:tcBorders>
            <w:shd w:val="clear" w:color="auto" w:fill="auto"/>
            <w:noWrap/>
          </w:tcPr>
          <w:p w14:paraId="7D51EA0E"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227,808</w:t>
            </w:r>
          </w:p>
        </w:tc>
        <w:tc>
          <w:tcPr>
            <w:tcW w:w="1139" w:type="dxa"/>
            <w:tcBorders>
              <w:left w:val="nil"/>
              <w:right w:val="nil"/>
            </w:tcBorders>
            <w:shd w:val="clear" w:color="auto" w:fill="auto"/>
            <w:noWrap/>
          </w:tcPr>
          <w:p w14:paraId="4A8D0F73"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63,894</w:t>
            </w:r>
          </w:p>
        </w:tc>
        <w:tc>
          <w:tcPr>
            <w:tcW w:w="931" w:type="dxa"/>
            <w:tcBorders>
              <w:left w:val="nil"/>
              <w:right w:val="nil"/>
            </w:tcBorders>
            <w:shd w:val="clear" w:color="auto" w:fill="auto"/>
            <w:noWrap/>
          </w:tcPr>
          <w:p w14:paraId="20968C11"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163,914</w:t>
            </w:r>
          </w:p>
        </w:tc>
        <w:tc>
          <w:tcPr>
            <w:tcW w:w="1080" w:type="dxa"/>
            <w:tcBorders>
              <w:left w:val="nil"/>
              <w:right w:val="nil"/>
            </w:tcBorders>
            <w:shd w:val="clear" w:color="auto" w:fill="auto"/>
            <w:noWrap/>
          </w:tcPr>
          <w:p w14:paraId="4A88211F" w14:textId="77777777" w:rsidR="004E07CA" w:rsidRPr="00530B21" w:rsidRDefault="004E07CA" w:rsidP="00E4192B">
            <w:pPr>
              <w:spacing w:after="0" w:line="240" w:lineRule="auto"/>
              <w:ind w:left="-108"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  537.9327</w:t>
            </w:r>
          </w:p>
        </w:tc>
        <w:tc>
          <w:tcPr>
            <w:tcW w:w="1350" w:type="dxa"/>
            <w:tcBorders>
              <w:left w:val="nil"/>
              <w:right w:val="nil"/>
            </w:tcBorders>
            <w:shd w:val="clear" w:color="auto" w:fill="auto"/>
            <w:noWrap/>
          </w:tcPr>
          <w:p w14:paraId="636B7DE6"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  88,174,701 </w:t>
            </w:r>
          </w:p>
        </w:tc>
        <w:tc>
          <w:tcPr>
            <w:tcW w:w="2430" w:type="dxa"/>
            <w:tcBorders>
              <w:left w:val="nil"/>
              <w:right w:val="nil"/>
            </w:tcBorders>
          </w:tcPr>
          <w:p w14:paraId="2DC9C004" w14:textId="77777777" w:rsidR="004E07CA" w:rsidRPr="00530B21" w:rsidRDefault="004E07CA" w:rsidP="00E4192B">
            <w:pPr>
              <w:spacing w:after="0" w:line="240" w:lineRule="auto"/>
              <w:jc w:val="both"/>
              <w:rPr>
                <w:rFonts w:ascii="Arial" w:eastAsia="Times New Roman" w:hAnsi="Arial" w:cs="Arial"/>
                <w:sz w:val="18"/>
                <w:lang w:val="en-PH" w:eastAsia="en-PH"/>
              </w:rPr>
            </w:pPr>
            <w:r w:rsidRPr="00530B21">
              <w:rPr>
                <w:rFonts w:ascii="Arial" w:eastAsia="Times New Roman" w:hAnsi="Arial" w:cs="Arial"/>
                <w:sz w:val="18"/>
                <w:lang w:val="en-PH" w:eastAsia="en-PH"/>
              </w:rPr>
              <w:t>Properly reconciled and accounted.</w:t>
            </w:r>
          </w:p>
          <w:p w14:paraId="2FD81CAA" w14:textId="77777777" w:rsidR="004E07CA" w:rsidRPr="00530B21" w:rsidRDefault="004E07CA" w:rsidP="00E4192B">
            <w:pPr>
              <w:spacing w:after="0" w:line="240" w:lineRule="auto"/>
              <w:rPr>
                <w:rFonts w:ascii="Arial" w:eastAsia="Times New Roman" w:hAnsi="Arial" w:cs="Arial"/>
                <w:sz w:val="18"/>
                <w:lang w:val="en-PH" w:eastAsia="en-PH"/>
              </w:rPr>
            </w:pPr>
          </w:p>
        </w:tc>
      </w:tr>
      <w:tr w:rsidR="004E07CA" w14:paraId="77B987BE" w14:textId="77777777" w:rsidTr="0037517B">
        <w:trPr>
          <w:trHeight w:val="288"/>
        </w:trPr>
        <w:tc>
          <w:tcPr>
            <w:tcW w:w="1350" w:type="dxa"/>
            <w:gridSpan w:val="2"/>
            <w:tcBorders>
              <w:left w:val="nil"/>
              <w:right w:val="nil"/>
            </w:tcBorders>
            <w:shd w:val="clear" w:color="auto" w:fill="auto"/>
            <w:noWrap/>
          </w:tcPr>
          <w:p w14:paraId="295746C8" w14:textId="77777777" w:rsidR="004E07CA" w:rsidRPr="00530B21" w:rsidRDefault="004E07CA" w:rsidP="00E4192B">
            <w:pPr>
              <w:spacing w:after="0" w:line="240" w:lineRule="auto"/>
              <w:ind w:left="144" w:right="-102" w:hanging="144"/>
              <w:rPr>
                <w:rFonts w:ascii="Arial" w:eastAsia="Times New Roman" w:hAnsi="Arial" w:cs="Arial"/>
                <w:sz w:val="18"/>
                <w:lang w:val="en-PH" w:eastAsia="en-PH"/>
              </w:rPr>
            </w:pPr>
            <w:r w:rsidRPr="00530B21">
              <w:rPr>
                <w:rFonts w:ascii="Arial" w:eastAsia="Times New Roman" w:hAnsi="Arial" w:cs="Arial"/>
                <w:sz w:val="18"/>
                <w:lang w:val="en-PH" w:eastAsia="en-PH"/>
              </w:rPr>
              <w:t>Eastridge Golf Course and Subdivision I</w:t>
            </w:r>
          </w:p>
          <w:p w14:paraId="719B4A7D" w14:textId="77777777" w:rsidR="004E07CA" w:rsidRPr="00530B21" w:rsidRDefault="004E07CA" w:rsidP="0037517B">
            <w:pPr>
              <w:spacing w:after="0" w:line="240" w:lineRule="auto"/>
              <w:ind w:right="-102"/>
              <w:rPr>
                <w:rFonts w:ascii="Arial" w:eastAsia="Times New Roman" w:hAnsi="Arial" w:cs="Arial"/>
                <w:sz w:val="18"/>
                <w:lang w:val="en-PH" w:eastAsia="en-PH"/>
              </w:rPr>
            </w:pPr>
          </w:p>
        </w:tc>
        <w:tc>
          <w:tcPr>
            <w:tcW w:w="900" w:type="dxa"/>
            <w:tcBorders>
              <w:left w:val="nil"/>
              <w:right w:val="nil"/>
            </w:tcBorders>
            <w:shd w:val="clear" w:color="auto" w:fill="auto"/>
            <w:noWrap/>
          </w:tcPr>
          <w:p w14:paraId="6D8597B1"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74,570 </w:t>
            </w:r>
          </w:p>
        </w:tc>
        <w:tc>
          <w:tcPr>
            <w:tcW w:w="1139" w:type="dxa"/>
            <w:tcBorders>
              <w:left w:val="nil"/>
              <w:right w:val="nil"/>
            </w:tcBorders>
            <w:shd w:val="clear" w:color="auto" w:fill="auto"/>
            <w:noWrap/>
          </w:tcPr>
          <w:p w14:paraId="39194BED"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0</w:t>
            </w:r>
          </w:p>
        </w:tc>
        <w:tc>
          <w:tcPr>
            <w:tcW w:w="931" w:type="dxa"/>
            <w:tcBorders>
              <w:left w:val="nil"/>
              <w:right w:val="nil"/>
            </w:tcBorders>
            <w:shd w:val="clear" w:color="auto" w:fill="auto"/>
            <w:noWrap/>
          </w:tcPr>
          <w:p w14:paraId="1A8288DC"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74,570 </w:t>
            </w:r>
          </w:p>
        </w:tc>
        <w:tc>
          <w:tcPr>
            <w:tcW w:w="1080" w:type="dxa"/>
            <w:tcBorders>
              <w:left w:val="nil"/>
              <w:right w:val="nil"/>
            </w:tcBorders>
            <w:shd w:val="clear" w:color="auto" w:fill="auto"/>
            <w:noWrap/>
          </w:tcPr>
          <w:p w14:paraId="1CC91785" w14:textId="77777777" w:rsidR="004E07CA" w:rsidRPr="00530B21" w:rsidRDefault="004E07CA" w:rsidP="00E4192B">
            <w:pPr>
              <w:spacing w:after="0" w:line="240" w:lineRule="auto"/>
              <w:ind w:left="-108"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1,009.4353 </w:t>
            </w:r>
          </w:p>
        </w:tc>
        <w:tc>
          <w:tcPr>
            <w:tcW w:w="1350" w:type="dxa"/>
            <w:tcBorders>
              <w:left w:val="nil"/>
              <w:right w:val="nil"/>
            </w:tcBorders>
            <w:shd w:val="clear" w:color="auto" w:fill="auto"/>
            <w:noWrap/>
          </w:tcPr>
          <w:p w14:paraId="69981A9D"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75,273,590 </w:t>
            </w:r>
          </w:p>
        </w:tc>
        <w:tc>
          <w:tcPr>
            <w:tcW w:w="2430" w:type="dxa"/>
            <w:tcBorders>
              <w:left w:val="nil"/>
              <w:right w:val="nil"/>
            </w:tcBorders>
          </w:tcPr>
          <w:p w14:paraId="0B41D5F3" w14:textId="77777777" w:rsidR="004E07CA" w:rsidRPr="00530B21" w:rsidRDefault="004E07CA" w:rsidP="00E4192B">
            <w:pPr>
              <w:spacing w:after="0" w:line="240" w:lineRule="auto"/>
              <w:jc w:val="both"/>
              <w:rPr>
                <w:rFonts w:ascii="Arial" w:eastAsia="Times New Roman" w:hAnsi="Arial" w:cs="Arial"/>
                <w:sz w:val="18"/>
                <w:lang w:val="en-PH" w:eastAsia="en-PH"/>
              </w:rPr>
            </w:pPr>
            <w:r w:rsidRPr="00530B21">
              <w:rPr>
                <w:rFonts w:ascii="Arial" w:eastAsia="Times New Roman" w:hAnsi="Arial" w:cs="Arial"/>
                <w:sz w:val="18"/>
                <w:lang w:val="en-PH" w:eastAsia="en-PH"/>
              </w:rPr>
              <w:t>Properly reconciled and accounted.</w:t>
            </w:r>
          </w:p>
        </w:tc>
      </w:tr>
      <w:tr w:rsidR="004E07CA" w14:paraId="31FCB2FC" w14:textId="77777777" w:rsidTr="00E4192B">
        <w:trPr>
          <w:trHeight w:val="288"/>
        </w:trPr>
        <w:tc>
          <w:tcPr>
            <w:tcW w:w="1260" w:type="dxa"/>
            <w:tcBorders>
              <w:left w:val="nil"/>
              <w:right w:val="nil"/>
            </w:tcBorders>
            <w:shd w:val="clear" w:color="auto" w:fill="auto"/>
            <w:noWrap/>
          </w:tcPr>
          <w:p w14:paraId="23997445" w14:textId="77777777" w:rsidR="004E07CA" w:rsidRPr="00530B21" w:rsidRDefault="004E07CA" w:rsidP="00E4192B">
            <w:pPr>
              <w:spacing w:after="0" w:line="240" w:lineRule="auto"/>
              <w:ind w:left="144" w:hanging="144"/>
              <w:rPr>
                <w:rFonts w:ascii="Arial" w:eastAsia="Times New Roman" w:hAnsi="Arial" w:cs="Arial"/>
                <w:sz w:val="18"/>
                <w:lang w:val="en-PH" w:eastAsia="en-PH"/>
              </w:rPr>
            </w:pPr>
            <w:r w:rsidRPr="00530B21">
              <w:rPr>
                <w:rFonts w:ascii="Arial" w:eastAsia="Times New Roman" w:hAnsi="Arial" w:cs="Arial"/>
                <w:sz w:val="18"/>
                <w:lang w:val="en-PH" w:eastAsia="en-PH"/>
              </w:rPr>
              <w:t>SLSS Phase I-E</w:t>
            </w:r>
          </w:p>
          <w:p w14:paraId="400C4DEF" w14:textId="77777777" w:rsidR="004E07CA" w:rsidRDefault="004E07CA" w:rsidP="00E4192B">
            <w:pPr>
              <w:spacing w:after="0" w:line="240" w:lineRule="auto"/>
              <w:ind w:left="144" w:hanging="144"/>
              <w:rPr>
                <w:rFonts w:ascii="Arial" w:eastAsia="Times New Roman" w:hAnsi="Arial" w:cs="Arial"/>
                <w:sz w:val="18"/>
                <w:lang w:val="en-PH" w:eastAsia="en-PH"/>
              </w:rPr>
            </w:pPr>
          </w:p>
          <w:p w14:paraId="06C2603C" w14:textId="529A0CAE" w:rsidR="00EB778E" w:rsidRPr="00EB778E" w:rsidRDefault="00EB778E" w:rsidP="00E4192B">
            <w:pPr>
              <w:spacing w:after="0" w:line="240" w:lineRule="auto"/>
              <w:ind w:left="144" w:hanging="144"/>
              <w:rPr>
                <w:rFonts w:ascii="Arial" w:eastAsia="Times New Roman" w:hAnsi="Arial" w:cs="Arial"/>
                <w:i/>
                <w:sz w:val="18"/>
                <w:lang w:val="en-PH" w:eastAsia="en-PH"/>
              </w:rPr>
            </w:pPr>
            <w:r>
              <w:rPr>
                <w:rFonts w:ascii="Arial" w:eastAsia="Times New Roman" w:hAnsi="Arial" w:cs="Arial"/>
                <w:i/>
                <w:sz w:val="18"/>
                <w:lang w:val="en-PH" w:eastAsia="en-PH"/>
              </w:rPr>
              <w:t>(Forward)</w:t>
            </w:r>
          </w:p>
          <w:p w14:paraId="1AAA915F" w14:textId="77777777" w:rsidR="00EB778E" w:rsidRDefault="00EB778E" w:rsidP="00E4192B">
            <w:pPr>
              <w:spacing w:after="0" w:line="240" w:lineRule="auto"/>
              <w:ind w:left="144" w:hanging="144"/>
              <w:rPr>
                <w:rFonts w:ascii="Arial" w:eastAsia="Times New Roman" w:hAnsi="Arial" w:cs="Arial"/>
                <w:sz w:val="18"/>
                <w:lang w:val="en-PH" w:eastAsia="en-PH"/>
              </w:rPr>
            </w:pPr>
          </w:p>
          <w:p w14:paraId="510E3270" w14:textId="69F2977D" w:rsidR="00EB778E" w:rsidRPr="00530B21" w:rsidRDefault="00EB778E" w:rsidP="00E4192B">
            <w:pPr>
              <w:spacing w:after="0" w:line="240" w:lineRule="auto"/>
              <w:ind w:left="144" w:hanging="144"/>
              <w:rPr>
                <w:rFonts w:ascii="Arial" w:eastAsia="Times New Roman" w:hAnsi="Arial" w:cs="Arial"/>
                <w:sz w:val="18"/>
                <w:lang w:val="en-PH" w:eastAsia="en-PH"/>
              </w:rPr>
            </w:pPr>
          </w:p>
        </w:tc>
        <w:tc>
          <w:tcPr>
            <w:tcW w:w="990" w:type="dxa"/>
            <w:gridSpan w:val="2"/>
            <w:tcBorders>
              <w:left w:val="nil"/>
              <w:right w:val="nil"/>
            </w:tcBorders>
            <w:shd w:val="clear" w:color="auto" w:fill="auto"/>
            <w:noWrap/>
          </w:tcPr>
          <w:p w14:paraId="28B1D572"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264 </w:t>
            </w:r>
          </w:p>
        </w:tc>
        <w:tc>
          <w:tcPr>
            <w:tcW w:w="1139" w:type="dxa"/>
            <w:tcBorders>
              <w:left w:val="nil"/>
              <w:right w:val="nil"/>
            </w:tcBorders>
            <w:shd w:val="clear" w:color="auto" w:fill="auto"/>
            <w:noWrap/>
          </w:tcPr>
          <w:p w14:paraId="49563953"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330 </w:t>
            </w:r>
          </w:p>
        </w:tc>
        <w:tc>
          <w:tcPr>
            <w:tcW w:w="931" w:type="dxa"/>
            <w:tcBorders>
              <w:left w:val="nil"/>
              <w:right w:val="nil"/>
            </w:tcBorders>
            <w:shd w:val="clear" w:color="auto" w:fill="auto"/>
            <w:noWrap/>
          </w:tcPr>
          <w:p w14:paraId="0BE206DD" w14:textId="77777777" w:rsidR="004E07CA" w:rsidRPr="00530B21" w:rsidRDefault="004E07CA" w:rsidP="00E4192B">
            <w:pPr>
              <w:spacing w:after="0" w:line="240" w:lineRule="auto"/>
              <w:ind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(66) </w:t>
            </w:r>
          </w:p>
        </w:tc>
        <w:tc>
          <w:tcPr>
            <w:tcW w:w="1080" w:type="dxa"/>
            <w:tcBorders>
              <w:left w:val="nil"/>
              <w:right w:val="nil"/>
            </w:tcBorders>
            <w:shd w:val="clear" w:color="auto" w:fill="auto"/>
            <w:noWrap/>
          </w:tcPr>
          <w:p w14:paraId="792DFA5D" w14:textId="77777777" w:rsidR="004E07CA" w:rsidRPr="00530B21" w:rsidRDefault="004E07CA" w:rsidP="00E4192B">
            <w:pPr>
              <w:spacing w:after="0" w:line="240" w:lineRule="auto"/>
              <w:ind w:left="-108"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2,600.7576</w:t>
            </w:r>
          </w:p>
        </w:tc>
        <w:tc>
          <w:tcPr>
            <w:tcW w:w="1350" w:type="dxa"/>
            <w:tcBorders>
              <w:left w:val="nil"/>
              <w:right w:val="nil"/>
            </w:tcBorders>
            <w:shd w:val="clear" w:color="auto" w:fill="auto"/>
            <w:noWrap/>
          </w:tcPr>
          <w:p w14:paraId="73EAB6D2" w14:textId="77777777" w:rsidR="004E07CA" w:rsidRPr="00530B21" w:rsidRDefault="004E07CA" w:rsidP="00E4192B">
            <w:pPr>
              <w:spacing w:after="0" w:line="240" w:lineRule="auto"/>
              <w:ind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(171,650) </w:t>
            </w:r>
          </w:p>
        </w:tc>
        <w:tc>
          <w:tcPr>
            <w:tcW w:w="2430" w:type="dxa"/>
            <w:tcBorders>
              <w:left w:val="nil"/>
              <w:right w:val="nil"/>
            </w:tcBorders>
          </w:tcPr>
          <w:p w14:paraId="0E748C01" w14:textId="77777777" w:rsidR="004E07CA" w:rsidRPr="00530B21" w:rsidRDefault="004E07CA" w:rsidP="00E4192B">
            <w:pPr>
              <w:spacing w:after="0" w:line="240" w:lineRule="auto"/>
              <w:jc w:val="both"/>
              <w:rPr>
                <w:rFonts w:ascii="Arial" w:eastAsia="Times New Roman" w:hAnsi="Arial" w:cs="Arial"/>
                <w:sz w:val="18"/>
                <w:lang w:val="en-PH" w:eastAsia="en-PH"/>
              </w:rPr>
            </w:pPr>
            <w:r w:rsidRPr="00530B21">
              <w:rPr>
                <w:rFonts w:ascii="Arial" w:eastAsia="Times New Roman" w:hAnsi="Arial" w:cs="Arial"/>
                <w:sz w:val="18"/>
                <w:lang w:val="en-PH" w:eastAsia="en-PH"/>
              </w:rPr>
              <w:t>Properly reconciled and accounted.</w:t>
            </w:r>
          </w:p>
          <w:p w14:paraId="282BC3A1" w14:textId="77777777" w:rsidR="004E07CA" w:rsidRPr="00530B21" w:rsidRDefault="004E07CA" w:rsidP="00E4192B">
            <w:pPr>
              <w:spacing w:after="0" w:line="240" w:lineRule="auto"/>
              <w:jc w:val="both"/>
              <w:rPr>
                <w:rFonts w:ascii="Arial" w:eastAsia="Times New Roman" w:hAnsi="Arial" w:cs="Arial"/>
                <w:sz w:val="18"/>
                <w:lang w:val="en-PH" w:eastAsia="en-PH"/>
              </w:rPr>
            </w:pPr>
          </w:p>
        </w:tc>
      </w:tr>
      <w:tr w:rsidR="004E07CA" w14:paraId="29BECE06" w14:textId="77777777" w:rsidTr="00E4192B">
        <w:trPr>
          <w:trHeight w:val="288"/>
        </w:trPr>
        <w:tc>
          <w:tcPr>
            <w:tcW w:w="1260" w:type="dxa"/>
            <w:tcBorders>
              <w:left w:val="nil"/>
              <w:right w:val="nil"/>
            </w:tcBorders>
            <w:shd w:val="clear" w:color="auto" w:fill="auto"/>
            <w:noWrap/>
          </w:tcPr>
          <w:p w14:paraId="466B2990" w14:textId="77777777" w:rsidR="004E07CA" w:rsidRPr="00530B21" w:rsidRDefault="004E07CA" w:rsidP="00E4192B">
            <w:pPr>
              <w:spacing w:after="0" w:line="240" w:lineRule="auto"/>
              <w:rPr>
                <w:rFonts w:ascii="Arial" w:eastAsia="Times New Roman" w:hAnsi="Arial" w:cs="Arial"/>
                <w:sz w:val="18"/>
                <w:lang w:val="en-PH" w:eastAsia="en-PH"/>
              </w:rPr>
            </w:pPr>
            <w:r w:rsidRPr="00530B21">
              <w:rPr>
                <w:rFonts w:ascii="Arial" w:eastAsia="Times New Roman" w:hAnsi="Arial" w:cs="Arial"/>
                <w:sz w:val="18"/>
                <w:lang w:val="en-PH" w:eastAsia="en-PH"/>
              </w:rPr>
              <w:lastRenderedPageBreak/>
              <w:t xml:space="preserve">Ciudad Verde </w:t>
            </w:r>
          </w:p>
        </w:tc>
        <w:tc>
          <w:tcPr>
            <w:tcW w:w="990" w:type="dxa"/>
            <w:gridSpan w:val="2"/>
            <w:tcBorders>
              <w:left w:val="nil"/>
              <w:right w:val="nil"/>
            </w:tcBorders>
            <w:shd w:val="clear" w:color="auto" w:fill="auto"/>
            <w:noWrap/>
          </w:tcPr>
          <w:p w14:paraId="1826661C"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50,268 </w:t>
            </w:r>
          </w:p>
        </w:tc>
        <w:tc>
          <w:tcPr>
            <w:tcW w:w="1139" w:type="dxa"/>
            <w:tcBorders>
              <w:left w:val="nil"/>
              <w:right w:val="nil"/>
            </w:tcBorders>
            <w:shd w:val="clear" w:color="auto" w:fill="auto"/>
            <w:noWrap/>
          </w:tcPr>
          <w:p w14:paraId="14281020" w14:textId="77777777" w:rsidR="004E07CA" w:rsidRPr="00530B21" w:rsidRDefault="004E07CA" w:rsidP="00E4192B">
            <w:pPr>
              <w:spacing w:after="0" w:line="240" w:lineRule="auto"/>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67,479 </w:t>
            </w:r>
          </w:p>
        </w:tc>
        <w:tc>
          <w:tcPr>
            <w:tcW w:w="931" w:type="dxa"/>
            <w:tcBorders>
              <w:left w:val="nil"/>
              <w:right w:val="nil"/>
            </w:tcBorders>
            <w:shd w:val="clear" w:color="auto" w:fill="auto"/>
            <w:noWrap/>
          </w:tcPr>
          <w:p w14:paraId="5FFF47D5" w14:textId="77777777" w:rsidR="004E07CA" w:rsidRPr="00530B21" w:rsidRDefault="004E07CA" w:rsidP="00E4192B">
            <w:pPr>
              <w:spacing w:after="0" w:line="240" w:lineRule="auto"/>
              <w:ind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(17,211) </w:t>
            </w:r>
          </w:p>
        </w:tc>
        <w:tc>
          <w:tcPr>
            <w:tcW w:w="1080" w:type="dxa"/>
            <w:tcBorders>
              <w:left w:val="nil"/>
              <w:right w:val="nil"/>
            </w:tcBorders>
            <w:shd w:val="clear" w:color="auto" w:fill="auto"/>
            <w:noWrap/>
          </w:tcPr>
          <w:p w14:paraId="5F7396A9" w14:textId="77777777" w:rsidR="004E07CA" w:rsidRPr="00530B21" w:rsidRDefault="004E07CA" w:rsidP="00E4192B">
            <w:pPr>
              <w:spacing w:after="0" w:line="240" w:lineRule="auto"/>
              <w:ind w:left="-108"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 1,955.8860  </w:t>
            </w:r>
          </w:p>
        </w:tc>
        <w:tc>
          <w:tcPr>
            <w:tcW w:w="1350" w:type="dxa"/>
            <w:tcBorders>
              <w:left w:val="nil"/>
              <w:right w:val="nil"/>
            </w:tcBorders>
            <w:shd w:val="clear" w:color="auto" w:fill="auto"/>
            <w:noWrap/>
          </w:tcPr>
          <w:p w14:paraId="7067BAE4" w14:textId="77777777" w:rsidR="004E07CA" w:rsidRPr="00530B21" w:rsidRDefault="004E07CA" w:rsidP="00E4192B">
            <w:pPr>
              <w:spacing w:after="0" w:line="240" w:lineRule="auto"/>
              <w:ind w:right="-58"/>
              <w:jc w:val="right"/>
              <w:rPr>
                <w:rFonts w:ascii="Arial" w:eastAsia="Times New Roman" w:hAnsi="Arial" w:cs="Arial"/>
                <w:sz w:val="18"/>
                <w:lang w:val="en-PH" w:eastAsia="en-PH"/>
              </w:rPr>
            </w:pPr>
            <w:r w:rsidRPr="00530B21">
              <w:rPr>
                <w:rFonts w:ascii="Arial" w:eastAsia="Times New Roman" w:hAnsi="Arial" w:cs="Arial"/>
                <w:sz w:val="18"/>
                <w:lang w:val="en-PH" w:eastAsia="en-PH"/>
              </w:rPr>
              <w:t xml:space="preserve">(33,662,754) </w:t>
            </w:r>
          </w:p>
        </w:tc>
        <w:tc>
          <w:tcPr>
            <w:tcW w:w="2430" w:type="dxa"/>
            <w:tcBorders>
              <w:left w:val="nil"/>
              <w:right w:val="nil"/>
            </w:tcBorders>
            <w:vAlign w:val="center"/>
          </w:tcPr>
          <w:p w14:paraId="5679B370" w14:textId="77777777" w:rsidR="004E07CA" w:rsidRPr="00530B21" w:rsidRDefault="004E07CA" w:rsidP="00E4192B">
            <w:pPr>
              <w:spacing w:after="0" w:line="240" w:lineRule="auto"/>
              <w:jc w:val="both"/>
              <w:rPr>
                <w:rFonts w:ascii="Arial" w:eastAsia="Times New Roman" w:hAnsi="Arial" w:cs="Arial"/>
                <w:sz w:val="18"/>
                <w:lang w:val="en-PH" w:eastAsia="en-PH"/>
              </w:rPr>
            </w:pPr>
            <w:r w:rsidRPr="00530B21">
              <w:rPr>
                <w:rFonts w:ascii="Arial" w:eastAsia="Times New Roman" w:hAnsi="Arial" w:cs="Arial"/>
                <w:sz w:val="18"/>
                <w:lang w:val="en-PH" w:eastAsia="en-PH"/>
              </w:rPr>
              <w:t xml:space="preserve">Variances noted pertains to sold properties on installment basis which were properly derecognized in the books as assets but past due accounts for more than 180 days were not cancelled. </w:t>
            </w:r>
          </w:p>
          <w:p w14:paraId="15E5BE36" w14:textId="77777777" w:rsidR="004E07CA" w:rsidRPr="00530B21" w:rsidRDefault="004E07CA" w:rsidP="00E4192B">
            <w:pPr>
              <w:spacing w:after="0" w:line="240" w:lineRule="auto"/>
              <w:jc w:val="both"/>
              <w:rPr>
                <w:rFonts w:ascii="Arial" w:eastAsia="Times New Roman" w:hAnsi="Arial" w:cs="Arial"/>
                <w:sz w:val="18"/>
                <w:lang w:val="en-PH" w:eastAsia="en-PH"/>
              </w:rPr>
            </w:pPr>
          </w:p>
        </w:tc>
      </w:tr>
      <w:tr w:rsidR="004E07CA" w14:paraId="61EFB6CE" w14:textId="77777777" w:rsidTr="00E4192B">
        <w:trPr>
          <w:trHeight w:val="288"/>
        </w:trPr>
        <w:tc>
          <w:tcPr>
            <w:tcW w:w="1260" w:type="dxa"/>
            <w:tcBorders>
              <w:top w:val="single" w:sz="4" w:space="0" w:color="auto"/>
              <w:left w:val="nil"/>
              <w:bottom w:val="double" w:sz="4" w:space="0" w:color="auto"/>
              <w:right w:val="nil"/>
            </w:tcBorders>
            <w:shd w:val="clear" w:color="auto" w:fill="auto"/>
            <w:noWrap/>
            <w:vAlign w:val="center"/>
          </w:tcPr>
          <w:p w14:paraId="17F27CB2" w14:textId="77777777" w:rsidR="004E07CA" w:rsidRPr="00530B21" w:rsidRDefault="004E07CA" w:rsidP="00E4192B">
            <w:pPr>
              <w:spacing w:after="0" w:line="240" w:lineRule="auto"/>
              <w:rPr>
                <w:rFonts w:ascii="Arial" w:eastAsia="Times New Roman" w:hAnsi="Arial" w:cs="Arial"/>
                <w:b/>
                <w:bCs/>
                <w:sz w:val="18"/>
                <w:lang w:val="en-PH" w:eastAsia="en-PH"/>
              </w:rPr>
            </w:pPr>
            <w:r w:rsidRPr="00530B21">
              <w:rPr>
                <w:rFonts w:ascii="Arial" w:eastAsia="Times New Roman" w:hAnsi="Arial" w:cs="Arial"/>
                <w:b/>
                <w:bCs/>
                <w:sz w:val="18"/>
                <w:lang w:val="en-PH" w:eastAsia="en-PH"/>
              </w:rPr>
              <w:t xml:space="preserve">Total </w:t>
            </w:r>
          </w:p>
        </w:tc>
        <w:tc>
          <w:tcPr>
            <w:tcW w:w="990" w:type="dxa"/>
            <w:gridSpan w:val="2"/>
            <w:tcBorders>
              <w:top w:val="single" w:sz="4" w:space="0" w:color="auto"/>
              <w:left w:val="nil"/>
              <w:bottom w:val="double" w:sz="4" w:space="0" w:color="auto"/>
              <w:right w:val="nil"/>
            </w:tcBorders>
            <w:shd w:val="clear" w:color="auto" w:fill="auto"/>
            <w:noWrap/>
            <w:vAlign w:val="center"/>
          </w:tcPr>
          <w:p w14:paraId="4CA67B33" w14:textId="77777777" w:rsidR="004E07CA" w:rsidRPr="00530B21" w:rsidRDefault="004E07CA" w:rsidP="00E4192B">
            <w:pPr>
              <w:spacing w:after="0" w:line="240" w:lineRule="auto"/>
              <w:ind w:left="-105"/>
              <w:jc w:val="right"/>
              <w:rPr>
                <w:rFonts w:ascii="Arial" w:eastAsia="Times New Roman" w:hAnsi="Arial" w:cs="Arial"/>
                <w:b/>
                <w:bCs/>
                <w:sz w:val="18"/>
                <w:lang w:val="en-PH" w:eastAsia="en-PH"/>
              </w:rPr>
            </w:pPr>
            <w:r w:rsidRPr="00530B21">
              <w:rPr>
                <w:rFonts w:ascii="Arial" w:eastAsia="Times New Roman" w:hAnsi="Arial" w:cs="Arial"/>
                <w:b/>
                <w:bCs/>
                <w:sz w:val="18"/>
                <w:lang w:val="en-PH" w:eastAsia="en-PH"/>
              </w:rPr>
              <w:t xml:space="preserve">2,074,481 </w:t>
            </w:r>
          </w:p>
        </w:tc>
        <w:tc>
          <w:tcPr>
            <w:tcW w:w="1139" w:type="dxa"/>
            <w:tcBorders>
              <w:top w:val="single" w:sz="4" w:space="0" w:color="auto"/>
              <w:left w:val="nil"/>
              <w:bottom w:val="double" w:sz="4" w:space="0" w:color="auto"/>
              <w:right w:val="nil"/>
            </w:tcBorders>
            <w:shd w:val="clear" w:color="auto" w:fill="auto"/>
            <w:noWrap/>
            <w:vAlign w:val="center"/>
          </w:tcPr>
          <w:p w14:paraId="29D138C2" w14:textId="77777777" w:rsidR="004E07CA" w:rsidRPr="00530B21" w:rsidRDefault="004E07CA" w:rsidP="00E4192B">
            <w:pPr>
              <w:spacing w:after="0" w:line="240" w:lineRule="auto"/>
              <w:jc w:val="right"/>
              <w:rPr>
                <w:rFonts w:ascii="Arial" w:eastAsia="Times New Roman" w:hAnsi="Arial" w:cs="Arial"/>
                <w:b/>
                <w:bCs/>
                <w:sz w:val="18"/>
                <w:lang w:val="en-PH" w:eastAsia="en-PH"/>
              </w:rPr>
            </w:pPr>
            <w:r w:rsidRPr="00530B21">
              <w:rPr>
                <w:rFonts w:ascii="Arial" w:eastAsia="Times New Roman" w:hAnsi="Arial" w:cs="Arial"/>
                <w:b/>
                <w:bCs/>
                <w:sz w:val="18"/>
                <w:lang w:val="en-PH" w:eastAsia="en-PH"/>
              </w:rPr>
              <w:t xml:space="preserve">  754,572 </w:t>
            </w:r>
          </w:p>
        </w:tc>
        <w:tc>
          <w:tcPr>
            <w:tcW w:w="931" w:type="dxa"/>
            <w:tcBorders>
              <w:top w:val="single" w:sz="4" w:space="0" w:color="auto"/>
              <w:left w:val="nil"/>
              <w:bottom w:val="double" w:sz="4" w:space="0" w:color="auto"/>
              <w:right w:val="nil"/>
            </w:tcBorders>
            <w:shd w:val="clear" w:color="auto" w:fill="auto"/>
            <w:noWrap/>
            <w:vAlign w:val="center"/>
          </w:tcPr>
          <w:p w14:paraId="5A7B2D29" w14:textId="77777777" w:rsidR="004E07CA" w:rsidRPr="00530B21" w:rsidRDefault="004E07CA" w:rsidP="00E4192B">
            <w:pPr>
              <w:spacing w:after="0" w:line="240" w:lineRule="auto"/>
              <w:ind w:left="-245"/>
              <w:jc w:val="right"/>
              <w:rPr>
                <w:rFonts w:ascii="Arial" w:eastAsia="Times New Roman" w:hAnsi="Arial" w:cs="Arial"/>
                <w:b/>
                <w:bCs/>
                <w:sz w:val="18"/>
                <w:lang w:val="en-PH" w:eastAsia="en-PH"/>
              </w:rPr>
            </w:pPr>
            <w:r w:rsidRPr="00530B21">
              <w:rPr>
                <w:rFonts w:ascii="Arial" w:eastAsia="Times New Roman" w:hAnsi="Arial" w:cs="Arial"/>
                <w:b/>
                <w:bCs/>
                <w:sz w:val="18"/>
                <w:lang w:val="en-PH" w:eastAsia="en-PH"/>
              </w:rPr>
              <w:t xml:space="preserve"> 1,319,909 </w:t>
            </w:r>
          </w:p>
        </w:tc>
        <w:tc>
          <w:tcPr>
            <w:tcW w:w="1080" w:type="dxa"/>
            <w:tcBorders>
              <w:top w:val="single" w:sz="4" w:space="0" w:color="auto"/>
              <w:left w:val="nil"/>
              <w:bottom w:val="double" w:sz="4" w:space="0" w:color="auto"/>
              <w:right w:val="nil"/>
            </w:tcBorders>
            <w:shd w:val="clear" w:color="auto" w:fill="auto"/>
            <w:noWrap/>
            <w:vAlign w:val="center"/>
          </w:tcPr>
          <w:p w14:paraId="4280710F" w14:textId="77777777" w:rsidR="004E07CA" w:rsidRPr="00530B21" w:rsidRDefault="004E07CA" w:rsidP="00E4192B">
            <w:pPr>
              <w:spacing w:after="0" w:line="240" w:lineRule="auto"/>
              <w:jc w:val="right"/>
              <w:rPr>
                <w:rFonts w:ascii="Arial" w:eastAsia="Times New Roman" w:hAnsi="Arial" w:cs="Arial"/>
                <w:b/>
                <w:bCs/>
                <w:sz w:val="18"/>
                <w:lang w:val="en-PH" w:eastAsia="en-PH"/>
              </w:rPr>
            </w:pPr>
            <w:r w:rsidRPr="00530B21">
              <w:rPr>
                <w:rFonts w:ascii="Arial" w:eastAsia="Times New Roman" w:hAnsi="Arial" w:cs="Arial"/>
                <w:b/>
                <w:bCs/>
                <w:sz w:val="18"/>
                <w:lang w:val="en-PH" w:eastAsia="en-PH"/>
              </w:rPr>
              <w:t> </w:t>
            </w:r>
          </w:p>
        </w:tc>
        <w:tc>
          <w:tcPr>
            <w:tcW w:w="1350" w:type="dxa"/>
            <w:tcBorders>
              <w:top w:val="single" w:sz="4" w:space="0" w:color="auto"/>
              <w:left w:val="nil"/>
              <w:bottom w:val="double" w:sz="4" w:space="0" w:color="auto"/>
              <w:right w:val="nil"/>
            </w:tcBorders>
            <w:shd w:val="clear" w:color="auto" w:fill="auto"/>
            <w:noWrap/>
            <w:vAlign w:val="center"/>
          </w:tcPr>
          <w:p w14:paraId="547E2D41" w14:textId="77777777" w:rsidR="004E07CA" w:rsidRPr="00530B21" w:rsidRDefault="004E07CA" w:rsidP="00E4192B">
            <w:pPr>
              <w:spacing w:after="0" w:line="240" w:lineRule="auto"/>
              <w:ind w:left="-105"/>
              <w:jc w:val="right"/>
              <w:rPr>
                <w:rFonts w:ascii="Arial" w:eastAsia="Times New Roman" w:hAnsi="Arial" w:cs="Arial"/>
                <w:b/>
                <w:bCs/>
                <w:sz w:val="18"/>
                <w:lang w:val="en-PH" w:eastAsia="en-PH"/>
              </w:rPr>
            </w:pPr>
            <w:r w:rsidRPr="00530B21">
              <w:rPr>
                <w:rFonts w:ascii="Arial" w:eastAsia="Times New Roman" w:hAnsi="Arial" w:cs="Arial"/>
                <w:b/>
                <w:bCs/>
                <w:sz w:val="18"/>
                <w:lang w:val="en-PH" w:eastAsia="en-PH"/>
              </w:rPr>
              <w:t>P 582,987,558</w:t>
            </w:r>
          </w:p>
        </w:tc>
        <w:tc>
          <w:tcPr>
            <w:tcW w:w="2430" w:type="dxa"/>
            <w:tcBorders>
              <w:top w:val="single" w:sz="4" w:space="0" w:color="auto"/>
              <w:left w:val="nil"/>
              <w:bottom w:val="double" w:sz="4" w:space="0" w:color="auto"/>
              <w:right w:val="nil"/>
            </w:tcBorders>
            <w:vAlign w:val="center"/>
          </w:tcPr>
          <w:p w14:paraId="079B0A88" w14:textId="77777777" w:rsidR="004E07CA" w:rsidRPr="00530B21" w:rsidRDefault="004E07CA" w:rsidP="00E4192B">
            <w:pPr>
              <w:spacing w:after="0" w:line="240" w:lineRule="auto"/>
              <w:jc w:val="right"/>
              <w:rPr>
                <w:rFonts w:ascii="Arial" w:eastAsia="Times New Roman" w:hAnsi="Arial" w:cs="Arial"/>
                <w:b/>
                <w:bCs/>
                <w:sz w:val="18"/>
                <w:lang w:val="en-PH" w:eastAsia="en-PH"/>
              </w:rPr>
            </w:pPr>
          </w:p>
        </w:tc>
      </w:tr>
    </w:tbl>
    <w:p w14:paraId="4444EDE7" w14:textId="77777777" w:rsidR="004E07CA" w:rsidRPr="00485272" w:rsidRDefault="004E07CA" w:rsidP="00485272">
      <w:pPr>
        <w:spacing w:after="0" w:line="240" w:lineRule="auto"/>
        <w:ind w:firstLine="720"/>
        <w:jc w:val="both"/>
        <w:rPr>
          <w:rFonts w:ascii="Arial" w:hAnsi="Arial" w:cs="Arial"/>
        </w:rPr>
      </w:pPr>
    </w:p>
    <w:p w14:paraId="2367946E" w14:textId="68E16C26"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 xml:space="preserve">After the validation of the reconciliation conducted by the AFPRSBS, the Audit Team found out that there are still remaining variances between the books and the TCTs totaling P84.442 million as presented in Table </w:t>
      </w:r>
      <w:r w:rsidR="00E4192B" w:rsidRPr="00485272">
        <w:rPr>
          <w:rFonts w:ascii="Arial" w:hAnsi="Arial" w:cs="Arial"/>
          <w:sz w:val="22"/>
          <w:szCs w:val="22"/>
        </w:rPr>
        <w:t>5</w:t>
      </w:r>
      <w:r w:rsidRPr="00485272">
        <w:rPr>
          <w:rFonts w:ascii="Arial" w:hAnsi="Arial" w:cs="Arial"/>
          <w:sz w:val="22"/>
          <w:szCs w:val="22"/>
        </w:rPr>
        <w:t>.4.</w:t>
      </w:r>
    </w:p>
    <w:p w14:paraId="07FD9BD4" w14:textId="77777777" w:rsidR="00626CFF" w:rsidRPr="00485272" w:rsidRDefault="00626CFF" w:rsidP="00485272">
      <w:pPr>
        <w:spacing w:after="0" w:line="240" w:lineRule="auto"/>
        <w:ind w:left="450"/>
        <w:jc w:val="center"/>
        <w:rPr>
          <w:rFonts w:ascii="Arial" w:hAnsi="Arial" w:cs="Arial"/>
          <w:b/>
        </w:rPr>
      </w:pPr>
    </w:p>
    <w:p w14:paraId="7E3CB3D5" w14:textId="1157959D" w:rsidR="004E07CA" w:rsidRPr="00485272" w:rsidRDefault="004E07CA" w:rsidP="00485272">
      <w:pPr>
        <w:spacing w:after="0" w:line="240" w:lineRule="auto"/>
        <w:ind w:left="450"/>
        <w:jc w:val="center"/>
        <w:rPr>
          <w:rFonts w:ascii="Arial" w:hAnsi="Arial" w:cs="Arial"/>
          <w:b/>
        </w:rPr>
      </w:pPr>
      <w:r w:rsidRPr="00485272">
        <w:rPr>
          <w:rFonts w:ascii="Arial" w:hAnsi="Arial" w:cs="Arial"/>
          <w:b/>
        </w:rPr>
        <w:t xml:space="preserve">Table </w:t>
      </w:r>
      <w:r w:rsidR="00E4192B" w:rsidRPr="00485272">
        <w:rPr>
          <w:rFonts w:ascii="Arial" w:hAnsi="Arial" w:cs="Arial"/>
          <w:b/>
        </w:rPr>
        <w:t>5</w:t>
      </w:r>
      <w:r w:rsidRPr="00485272">
        <w:rPr>
          <w:rFonts w:ascii="Arial" w:hAnsi="Arial" w:cs="Arial"/>
          <w:b/>
        </w:rPr>
        <w:t>.4 – Variance between the Recorded and Actual Inventory of TCTs</w:t>
      </w:r>
    </w:p>
    <w:p w14:paraId="79CBF952" w14:textId="0C5DE967" w:rsidR="004E07CA" w:rsidRPr="00485272" w:rsidRDefault="004E07CA" w:rsidP="00485272">
      <w:pPr>
        <w:spacing w:after="0" w:line="240" w:lineRule="auto"/>
        <w:ind w:firstLine="450"/>
        <w:jc w:val="center"/>
        <w:rPr>
          <w:rFonts w:ascii="Arial" w:hAnsi="Arial" w:cs="Arial"/>
          <w:b/>
        </w:rPr>
      </w:pPr>
      <w:r w:rsidRPr="00485272">
        <w:rPr>
          <w:rFonts w:ascii="Arial" w:hAnsi="Arial" w:cs="Arial"/>
          <w:b/>
        </w:rPr>
        <w:t>As at December 31, 2022</w:t>
      </w:r>
    </w:p>
    <w:p w14:paraId="09CFC7BF" w14:textId="77777777" w:rsidR="00EB3FD2" w:rsidRPr="00485272" w:rsidRDefault="00EB3FD2" w:rsidP="00485272">
      <w:pPr>
        <w:spacing w:after="0" w:line="240" w:lineRule="auto"/>
        <w:ind w:firstLine="450"/>
        <w:jc w:val="center"/>
        <w:rPr>
          <w:rFonts w:ascii="Arial" w:hAnsi="Arial" w:cs="Arial"/>
          <w:b/>
        </w:rPr>
      </w:pPr>
    </w:p>
    <w:tbl>
      <w:tblPr>
        <w:tblW w:w="8437" w:type="dxa"/>
        <w:tblInd w:w="426" w:type="dxa"/>
        <w:tblLayout w:type="fixed"/>
        <w:tblLook w:val="04A0" w:firstRow="1" w:lastRow="0" w:firstColumn="1" w:lastColumn="0" w:noHBand="0" w:noVBand="1"/>
      </w:tblPr>
      <w:tblGrid>
        <w:gridCol w:w="2454"/>
        <w:gridCol w:w="90"/>
        <w:gridCol w:w="90"/>
        <w:gridCol w:w="900"/>
        <w:gridCol w:w="1260"/>
        <w:gridCol w:w="1080"/>
        <w:gridCol w:w="1260"/>
        <w:gridCol w:w="1303"/>
      </w:tblGrid>
      <w:tr w:rsidR="004E07CA" w:rsidRPr="00663D1C" w14:paraId="302316CC" w14:textId="77777777" w:rsidTr="00AF7DBF">
        <w:trPr>
          <w:trHeight w:val="20"/>
          <w:tblHeader/>
        </w:trPr>
        <w:tc>
          <w:tcPr>
            <w:tcW w:w="2454" w:type="dxa"/>
            <w:vMerge w:val="restart"/>
            <w:tcBorders>
              <w:top w:val="single" w:sz="8" w:space="0" w:color="auto"/>
              <w:left w:val="nil"/>
              <w:bottom w:val="single" w:sz="8" w:space="0" w:color="000000"/>
              <w:right w:val="nil"/>
            </w:tcBorders>
            <w:shd w:val="clear" w:color="auto" w:fill="auto"/>
            <w:vAlign w:val="center"/>
          </w:tcPr>
          <w:p w14:paraId="33FD1EF8"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Project Name</w:t>
            </w:r>
          </w:p>
        </w:tc>
        <w:tc>
          <w:tcPr>
            <w:tcW w:w="1080" w:type="dxa"/>
            <w:gridSpan w:val="3"/>
            <w:tcBorders>
              <w:top w:val="single" w:sz="8" w:space="0" w:color="auto"/>
              <w:left w:val="nil"/>
              <w:bottom w:val="nil"/>
              <w:right w:val="nil"/>
            </w:tcBorders>
            <w:shd w:val="clear" w:color="auto" w:fill="auto"/>
            <w:vAlign w:val="center"/>
          </w:tcPr>
          <w:p w14:paraId="1099DC86"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Total area per books</w:t>
            </w:r>
          </w:p>
        </w:tc>
        <w:tc>
          <w:tcPr>
            <w:tcW w:w="1260" w:type="dxa"/>
            <w:tcBorders>
              <w:top w:val="single" w:sz="8" w:space="0" w:color="auto"/>
              <w:left w:val="nil"/>
              <w:bottom w:val="nil"/>
              <w:right w:val="nil"/>
            </w:tcBorders>
            <w:shd w:val="clear" w:color="auto" w:fill="auto"/>
            <w:vAlign w:val="center"/>
          </w:tcPr>
          <w:p w14:paraId="79ADBEA4"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Total area- per TCTs net of sold lots</w:t>
            </w:r>
          </w:p>
        </w:tc>
        <w:tc>
          <w:tcPr>
            <w:tcW w:w="1080" w:type="dxa"/>
            <w:tcBorders>
              <w:top w:val="single" w:sz="8" w:space="0" w:color="auto"/>
              <w:left w:val="nil"/>
              <w:bottom w:val="nil"/>
              <w:right w:val="nil"/>
            </w:tcBorders>
            <w:shd w:val="clear" w:color="auto" w:fill="auto"/>
            <w:vAlign w:val="center"/>
          </w:tcPr>
          <w:p w14:paraId="1977A21A"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Variance</w:t>
            </w:r>
          </w:p>
        </w:tc>
        <w:tc>
          <w:tcPr>
            <w:tcW w:w="1260" w:type="dxa"/>
            <w:vMerge w:val="restart"/>
            <w:tcBorders>
              <w:top w:val="single" w:sz="8" w:space="0" w:color="auto"/>
              <w:left w:val="nil"/>
              <w:bottom w:val="single" w:sz="8" w:space="0" w:color="000000"/>
              <w:right w:val="nil"/>
            </w:tcBorders>
            <w:shd w:val="clear" w:color="auto" w:fill="auto"/>
            <w:vAlign w:val="center"/>
          </w:tcPr>
          <w:p w14:paraId="1D927120"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Cost per sqm/plot</w:t>
            </w:r>
          </w:p>
        </w:tc>
        <w:tc>
          <w:tcPr>
            <w:tcW w:w="1303" w:type="dxa"/>
            <w:vMerge w:val="restart"/>
            <w:tcBorders>
              <w:top w:val="single" w:sz="8" w:space="0" w:color="auto"/>
              <w:left w:val="nil"/>
              <w:bottom w:val="single" w:sz="8" w:space="0" w:color="000000"/>
              <w:right w:val="nil"/>
            </w:tcBorders>
            <w:shd w:val="clear" w:color="auto" w:fill="auto"/>
            <w:vAlign w:val="center"/>
          </w:tcPr>
          <w:p w14:paraId="160A9C83"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Equivalent amount of variance (net)</w:t>
            </w:r>
          </w:p>
        </w:tc>
      </w:tr>
      <w:tr w:rsidR="004E07CA" w:rsidRPr="00663D1C" w14:paraId="63656680" w14:textId="77777777" w:rsidTr="00AF7DBF">
        <w:trPr>
          <w:trHeight w:val="20"/>
          <w:tblHeader/>
        </w:trPr>
        <w:tc>
          <w:tcPr>
            <w:tcW w:w="2454" w:type="dxa"/>
            <w:vMerge/>
            <w:tcBorders>
              <w:top w:val="single" w:sz="8" w:space="0" w:color="auto"/>
              <w:left w:val="nil"/>
              <w:bottom w:val="single" w:sz="8" w:space="0" w:color="000000"/>
              <w:right w:val="nil"/>
            </w:tcBorders>
            <w:vAlign w:val="center"/>
          </w:tcPr>
          <w:p w14:paraId="4D2E5558" w14:textId="77777777" w:rsidR="004E07CA" w:rsidRPr="00530B21" w:rsidRDefault="004E07CA" w:rsidP="00AF7DBF">
            <w:pPr>
              <w:spacing w:after="0" w:line="240" w:lineRule="auto"/>
              <w:ind w:left="-72" w:right="-72"/>
              <w:rPr>
                <w:rFonts w:ascii="Arial" w:eastAsia="Times New Roman" w:hAnsi="Arial" w:cs="Arial"/>
                <w:b/>
                <w:bCs/>
                <w:color w:val="000000"/>
                <w:sz w:val="18"/>
                <w:szCs w:val="16"/>
                <w:lang w:val="en-PH" w:eastAsia="en-PH"/>
              </w:rPr>
            </w:pPr>
          </w:p>
        </w:tc>
        <w:tc>
          <w:tcPr>
            <w:tcW w:w="1080" w:type="dxa"/>
            <w:gridSpan w:val="3"/>
            <w:tcBorders>
              <w:top w:val="nil"/>
              <w:left w:val="nil"/>
              <w:bottom w:val="single" w:sz="8" w:space="0" w:color="auto"/>
              <w:right w:val="nil"/>
            </w:tcBorders>
            <w:shd w:val="clear" w:color="auto" w:fill="auto"/>
            <w:vAlign w:val="center"/>
          </w:tcPr>
          <w:p w14:paraId="058CE485" w14:textId="77777777" w:rsidR="004E07CA" w:rsidRPr="00530B21" w:rsidRDefault="004E07CA" w:rsidP="00AF7DBF">
            <w:pPr>
              <w:spacing w:after="0" w:line="240" w:lineRule="auto"/>
              <w:ind w:left="-144" w:right="-144"/>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(sqm/ plots)</w:t>
            </w:r>
          </w:p>
        </w:tc>
        <w:tc>
          <w:tcPr>
            <w:tcW w:w="1260" w:type="dxa"/>
            <w:tcBorders>
              <w:top w:val="nil"/>
              <w:left w:val="nil"/>
              <w:bottom w:val="single" w:sz="8" w:space="0" w:color="auto"/>
              <w:right w:val="nil"/>
            </w:tcBorders>
            <w:shd w:val="clear" w:color="auto" w:fill="auto"/>
            <w:vAlign w:val="center"/>
          </w:tcPr>
          <w:p w14:paraId="092763BD"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(sqm)</w:t>
            </w:r>
          </w:p>
        </w:tc>
        <w:tc>
          <w:tcPr>
            <w:tcW w:w="1080" w:type="dxa"/>
            <w:tcBorders>
              <w:top w:val="nil"/>
              <w:left w:val="nil"/>
              <w:bottom w:val="single" w:sz="8" w:space="0" w:color="auto"/>
              <w:right w:val="nil"/>
            </w:tcBorders>
            <w:shd w:val="clear" w:color="auto" w:fill="auto"/>
            <w:vAlign w:val="center"/>
          </w:tcPr>
          <w:p w14:paraId="4729FD96"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(sqm)</w:t>
            </w:r>
          </w:p>
        </w:tc>
        <w:tc>
          <w:tcPr>
            <w:tcW w:w="1260" w:type="dxa"/>
            <w:vMerge/>
            <w:tcBorders>
              <w:top w:val="single" w:sz="8" w:space="0" w:color="auto"/>
              <w:left w:val="nil"/>
              <w:bottom w:val="single" w:sz="8" w:space="0" w:color="000000"/>
              <w:right w:val="nil"/>
            </w:tcBorders>
            <w:vAlign w:val="center"/>
          </w:tcPr>
          <w:p w14:paraId="30F2389D" w14:textId="77777777" w:rsidR="004E07CA" w:rsidRPr="00530B21" w:rsidRDefault="004E07CA" w:rsidP="00AF7DBF">
            <w:pPr>
              <w:spacing w:after="0" w:line="240" w:lineRule="auto"/>
              <w:ind w:left="-72" w:right="-72"/>
              <w:rPr>
                <w:rFonts w:ascii="Arial" w:eastAsia="Times New Roman" w:hAnsi="Arial" w:cs="Arial"/>
                <w:b/>
                <w:bCs/>
                <w:color w:val="000000"/>
                <w:sz w:val="18"/>
                <w:szCs w:val="16"/>
                <w:lang w:val="en-PH" w:eastAsia="en-PH"/>
              </w:rPr>
            </w:pPr>
          </w:p>
        </w:tc>
        <w:tc>
          <w:tcPr>
            <w:tcW w:w="1303" w:type="dxa"/>
            <w:vMerge/>
            <w:tcBorders>
              <w:top w:val="single" w:sz="8" w:space="0" w:color="auto"/>
              <w:left w:val="nil"/>
              <w:bottom w:val="single" w:sz="8" w:space="0" w:color="000000"/>
              <w:right w:val="nil"/>
            </w:tcBorders>
            <w:vAlign w:val="center"/>
          </w:tcPr>
          <w:p w14:paraId="57729FB2" w14:textId="77777777" w:rsidR="004E07CA" w:rsidRPr="00530B21" w:rsidRDefault="004E07CA" w:rsidP="00AF7DBF">
            <w:pPr>
              <w:spacing w:after="0" w:line="240" w:lineRule="auto"/>
              <w:ind w:left="-72" w:right="-72"/>
              <w:rPr>
                <w:rFonts w:ascii="Arial" w:eastAsia="Times New Roman" w:hAnsi="Arial" w:cs="Arial"/>
                <w:b/>
                <w:bCs/>
                <w:color w:val="000000"/>
                <w:sz w:val="18"/>
                <w:szCs w:val="16"/>
                <w:lang w:val="en-PH" w:eastAsia="en-PH"/>
              </w:rPr>
            </w:pPr>
          </w:p>
        </w:tc>
      </w:tr>
      <w:tr w:rsidR="004E07CA" w:rsidRPr="00663D1C" w14:paraId="25206D3B" w14:textId="77777777" w:rsidTr="00AF7DBF">
        <w:trPr>
          <w:trHeight w:val="288"/>
          <w:tblHeader/>
        </w:trPr>
        <w:tc>
          <w:tcPr>
            <w:tcW w:w="2454" w:type="dxa"/>
            <w:vMerge/>
            <w:tcBorders>
              <w:top w:val="single" w:sz="8" w:space="0" w:color="auto"/>
              <w:left w:val="nil"/>
              <w:bottom w:val="single" w:sz="8" w:space="0" w:color="000000"/>
              <w:right w:val="nil"/>
            </w:tcBorders>
            <w:vAlign w:val="center"/>
          </w:tcPr>
          <w:p w14:paraId="441A197C" w14:textId="77777777" w:rsidR="004E07CA" w:rsidRPr="00530B21" w:rsidRDefault="004E07CA" w:rsidP="00AF7DBF">
            <w:pPr>
              <w:spacing w:after="0" w:line="240" w:lineRule="auto"/>
              <w:ind w:left="-72" w:right="-72"/>
              <w:rPr>
                <w:rFonts w:ascii="Arial" w:eastAsia="Times New Roman" w:hAnsi="Arial" w:cs="Arial"/>
                <w:b/>
                <w:bCs/>
                <w:color w:val="000000"/>
                <w:sz w:val="18"/>
                <w:szCs w:val="16"/>
                <w:lang w:val="en-PH" w:eastAsia="en-PH"/>
              </w:rPr>
            </w:pPr>
          </w:p>
        </w:tc>
        <w:tc>
          <w:tcPr>
            <w:tcW w:w="1080" w:type="dxa"/>
            <w:gridSpan w:val="3"/>
            <w:tcBorders>
              <w:top w:val="nil"/>
              <w:left w:val="nil"/>
              <w:bottom w:val="single" w:sz="8" w:space="0" w:color="auto"/>
              <w:right w:val="nil"/>
            </w:tcBorders>
            <w:shd w:val="clear" w:color="auto" w:fill="auto"/>
            <w:vAlign w:val="center"/>
          </w:tcPr>
          <w:p w14:paraId="385093D9"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(A)</w:t>
            </w:r>
          </w:p>
        </w:tc>
        <w:tc>
          <w:tcPr>
            <w:tcW w:w="1260" w:type="dxa"/>
            <w:tcBorders>
              <w:top w:val="nil"/>
              <w:left w:val="nil"/>
              <w:bottom w:val="single" w:sz="8" w:space="0" w:color="auto"/>
              <w:right w:val="nil"/>
            </w:tcBorders>
            <w:shd w:val="clear" w:color="auto" w:fill="auto"/>
            <w:vAlign w:val="center"/>
          </w:tcPr>
          <w:p w14:paraId="0644B198"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(B)</w:t>
            </w:r>
          </w:p>
        </w:tc>
        <w:tc>
          <w:tcPr>
            <w:tcW w:w="1080" w:type="dxa"/>
            <w:tcBorders>
              <w:top w:val="nil"/>
              <w:left w:val="nil"/>
              <w:bottom w:val="single" w:sz="8" w:space="0" w:color="auto"/>
              <w:right w:val="nil"/>
            </w:tcBorders>
            <w:shd w:val="clear" w:color="auto" w:fill="auto"/>
            <w:vAlign w:val="center"/>
          </w:tcPr>
          <w:p w14:paraId="145DCBD2" w14:textId="30F6C40D"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 xml:space="preserve">(C) = (A </w:t>
            </w:r>
            <w:r w:rsidR="00AF7DBF">
              <w:rPr>
                <w:rFonts w:ascii="Arial" w:eastAsia="Times New Roman" w:hAnsi="Arial" w:cs="Arial"/>
                <w:b/>
                <w:bCs/>
                <w:color w:val="000000"/>
                <w:sz w:val="18"/>
                <w:szCs w:val="16"/>
                <w:lang w:val="en-PH" w:eastAsia="en-PH"/>
              </w:rPr>
              <w:t>-</w:t>
            </w:r>
            <w:r w:rsidRPr="00530B21">
              <w:rPr>
                <w:rFonts w:ascii="Arial" w:eastAsia="Times New Roman" w:hAnsi="Arial" w:cs="Arial"/>
                <w:b/>
                <w:bCs/>
                <w:color w:val="000000"/>
                <w:sz w:val="18"/>
                <w:szCs w:val="16"/>
                <w:lang w:val="en-PH" w:eastAsia="en-PH"/>
              </w:rPr>
              <w:t xml:space="preserve"> B)</w:t>
            </w:r>
          </w:p>
        </w:tc>
        <w:tc>
          <w:tcPr>
            <w:tcW w:w="1260" w:type="dxa"/>
            <w:tcBorders>
              <w:top w:val="nil"/>
              <w:left w:val="nil"/>
              <w:bottom w:val="single" w:sz="8" w:space="0" w:color="auto"/>
              <w:right w:val="nil"/>
            </w:tcBorders>
            <w:shd w:val="clear" w:color="auto" w:fill="auto"/>
            <w:vAlign w:val="center"/>
          </w:tcPr>
          <w:p w14:paraId="6D60E238"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(D)</w:t>
            </w:r>
          </w:p>
        </w:tc>
        <w:tc>
          <w:tcPr>
            <w:tcW w:w="1303" w:type="dxa"/>
            <w:tcBorders>
              <w:top w:val="nil"/>
              <w:left w:val="nil"/>
              <w:bottom w:val="single" w:sz="8" w:space="0" w:color="auto"/>
              <w:right w:val="nil"/>
            </w:tcBorders>
            <w:shd w:val="clear" w:color="auto" w:fill="auto"/>
            <w:vAlign w:val="center"/>
          </w:tcPr>
          <w:p w14:paraId="38D3819E" w14:textId="77777777" w:rsidR="004E07CA" w:rsidRPr="00530B21" w:rsidRDefault="004E07CA" w:rsidP="00AF7DBF">
            <w:pPr>
              <w:spacing w:after="0" w:line="240" w:lineRule="auto"/>
              <w:ind w:left="-72" w:right="-72"/>
              <w:jc w:val="center"/>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val="en-PH" w:eastAsia="en-PH"/>
              </w:rPr>
              <w:t>(C x D)</w:t>
            </w:r>
          </w:p>
        </w:tc>
      </w:tr>
      <w:tr w:rsidR="004E07CA" w:rsidRPr="00663D1C" w14:paraId="776607EC" w14:textId="77777777" w:rsidTr="00AF7DBF">
        <w:trPr>
          <w:trHeight w:val="20"/>
        </w:trPr>
        <w:tc>
          <w:tcPr>
            <w:tcW w:w="2454" w:type="dxa"/>
            <w:tcBorders>
              <w:top w:val="nil"/>
              <w:left w:val="nil"/>
              <w:bottom w:val="nil"/>
              <w:right w:val="nil"/>
            </w:tcBorders>
            <w:shd w:val="clear" w:color="auto" w:fill="auto"/>
            <w:vAlign w:val="center"/>
          </w:tcPr>
          <w:p w14:paraId="680B3A50"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Riviera Project- Residential</w:t>
            </w:r>
          </w:p>
        </w:tc>
        <w:tc>
          <w:tcPr>
            <w:tcW w:w="1080" w:type="dxa"/>
            <w:gridSpan w:val="3"/>
            <w:tcBorders>
              <w:top w:val="nil"/>
              <w:left w:val="nil"/>
              <w:bottom w:val="nil"/>
              <w:right w:val="nil"/>
            </w:tcBorders>
            <w:shd w:val="clear" w:color="auto" w:fill="auto"/>
            <w:vAlign w:val="bottom"/>
          </w:tcPr>
          <w:p w14:paraId="11C8ECA7"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175,586 </w:t>
            </w:r>
          </w:p>
        </w:tc>
        <w:tc>
          <w:tcPr>
            <w:tcW w:w="1260" w:type="dxa"/>
            <w:tcBorders>
              <w:top w:val="nil"/>
              <w:left w:val="nil"/>
              <w:bottom w:val="nil"/>
              <w:right w:val="nil"/>
            </w:tcBorders>
            <w:shd w:val="clear" w:color="auto" w:fill="auto"/>
            <w:vAlign w:val="bottom"/>
          </w:tcPr>
          <w:p w14:paraId="642B711F"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105,580 </w:t>
            </w:r>
          </w:p>
        </w:tc>
        <w:tc>
          <w:tcPr>
            <w:tcW w:w="1080" w:type="dxa"/>
            <w:tcBorders>
              <w:top w:val="nil"/>
              <w:left w:val="nil"/>
              <w:bottom w:val="nil"/>
              <w:right w:val="nil"/>
            </w:tcBorders>
            <w:shd w:val="clear" w:color="auto" w:fill="auto"/>
            <w:vAlign w:val="bottom"/>
          </w:tcPr>
          <w:p w14:paraId="719FA3C6"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70,006 </w:t>
            </w:r>
          </w:p>
        </w:tc>
        <w:tc>
          <w:tcPr>
            <w:tcW w:w="1260" w:type="dxa"/>
            <w:tcBorders>
              <w:top w:val="nil"/>
              <w:left w:val="nil"/>
              <w:bottom w:val="nil"/>
              <w:right w:val="nil"/>
            </w:tcBorders>
            <w:shd w:val="clear" w:color="auto" w:fill="auto"/>
            <w:vAlign w:val="bottom"/>
          </w:tcPr>
          <w:p w14:paraId="145AEA41" w14:textId="77777777" w:rsidR="004E07CA" w:rsidRPr="00530B21" w:rsidRDefault="004E07CA" w:rsidP="00E4192B">
            <w:pPr>
              <w:spacing w:after="0" w:line="240" w:lineRule="auto"/>
              <w:ind w:left="-173"/>
              <w:jc w:val="right"/>
              <w:rPr>
                <w:rFonts w:ascii="Arial" w:eastAsia="Times New Roman" w:hAnsi="Arial" w:cs="Arial"/>
                <w:color w:val="000000"/>
                <w:sz w:val="18"/>
                <w:szCs w:val="16"/>
                <w:lang w:val="en-PH" w:eastAsia="en-PH"/>
              </w:rPr>
            </w:pPr>
            <w:r>
              <w:rPr>
                <w:rFonts w:ascii="Arial" w:hAnsi="Arial" w:cs="Arial"/>
                <w:color w:val="000000"/>
                <w:sz w:val="18"/>
                <w:szCs w:val="16"/>
              </w:rPr>
              <w:t xml:space="preserve">P    </w:t>
            </w:r>
            <w:r w:rsidRPr="00530B21">
              <w:rPr>
                <w:rFonts w:ascii="Arial" w:hAnsi="Arial" w:cs="Arial"/>
                <w:color w:val="000000"/>
                <w:sz w:val="18"/>
                <w:szCs w:val="16"/>
              </w:rPr>
              <w:t>913.8632</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7ED974E2"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P 63,975,90</w:t>
            </w:r>
            <w:r>
              <w:rPr>
                <w:rFonts w:ascii="Arial" w:eastAsia="Times New Roman" w:hAnsi="Arial" w:cs="Arial"/>
                <w:color w:val="000000"/>
                <w:sz w:val="18"/>
                <w:szCs w:val="16"/>
                <w:lang w:eastAsia="en-PH"/>
              </w:rPr>
              <w:t>7</w:t>
            </w:r>
            <w:r w:rsidRPr="00530B21">
              <w:rPr>
                <w:rFonts w:ascii="Arial" w:eastAsia="Times New Roman" w:hAnsi="Arial" w:cs="Arial"/>
                <w:color w:val="000000"/>
                <w:sz w:val="18"/>
                <w:szCs w:val="16"/>
                <w:lang w:eastAsia="en-PH"/>
              </w:rPr>
              <w:t xml:space="preserve"> </w:t>
            </w:r>
          </w:p>
        </w:tc>
      </w:tr>
      <w:tr w:rsidR="004E07CA" w:rsidRPr="00663D1C" w14:paraId="07C47CBD" w14:textId="77777777" w:rsidTr="00AF7DBF">
        <w:trPr>
          <w:trHeight w:val="20"/>
        </w:trPr>
        <w:tc>
          <w:tcPr>
            <w:tcW w:w="2454" w:type="dxa"/>
            <w:tcBorders>
              <w:top w:val="nil"/>
              <w:left w:val="nil"/>
              <w:bottom w:val="nil"/>
              <w:right w:val="nil"/>
            </w:tcBorders>
            <w:shd w:val="clear" w:color="auto" w:fill="auto"/>
            <w:vAlign w:val="center"/>
          </w:tcPr>
          <w:p w14:paraId="204AD276"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Mount Zion Memorial </w:t>
            </w:r>
          </w:p>
        </w:tc>
        <w:tc>
          <w:tcPr>
            <w:tcW w:w="1080" w:type="dxa"/>
            <w:gridSpan w:val="3"/>
            <w:tcBorders>
              <w:top w:val="nil"/>
              <w:left w:val="nil"/>
              <w:bottom w:val="nil"/>
              <w:right w:val="nil"/>
            </w:tcBorders>
            <w:shd w:val="clear" w:color="auto" w:fill="auto"/>
            <w:vAlign w:val="bottom"/>
          </w:tcPr>
          <w:p w14:paraId="7178B7BB"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24,173 </w:t>
            </w:r>
          </w:p>
        </w:tc>
        <w:tc>
          <w:tcPr>
            <w:tcW w:w="1260" w:type="dxa"/>
            <w:tcBorders>
              <w:top w:val="nil"/>
              <w:left w:val="nil"/>
              <w:bottom w:val="nil"/>
              <w:right w:val="nil"/>
            </w:tcBorders>
            <w:shd w:val="clear" w:color="auto" w:fill="auto"/>
            <w:vAlign w:val="bottom"/>
          </w:tcPr>
          <w:p w14:paraId="3F2D69FC"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19,698</w:t>
            </w:r>
          </w:p>
        </w:tc>
        <w:tc>
          <w:tcPr>
            <w:tcW w:w="1080" w:type="dxa"/>
            <w:tcBorders>
              <w:top w:val="nil"/>
              <w:left w:val="nil"/>
              <w:bottom w:val="nil"/>
              <w:right w:val="nil"/>
            </w:tcBorders>
            <w:shd w:val="clear" w:color="auto" w:fill="auto"/>
            <w:vAlign w:val="bottom"/>
          </w:tcPr>
          <w:p w14:paraId="4C47B57F"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4,475</w:t>
            </w:r>
          </w:p>
        </w:tc>
        <w:tc>
          <w:tcPr>
            <w:tcW w:w="1260" w:type="dxa"/>
            <w:tcBorders>
              <w:top w:val="nil"/>
              <w:left w:val="nil"/>
              <w:bottom w:val="nil"/>
              <w:right w:val="nil"/>
            </w:tcBorders>
            <w:shd w:val="clear" w:color="auto" w:fill="auto"/>
            <w:vAlign w:val="bottom"/>
          </w:tcPr>
          <w:p w14:paraId="760AB7E1" w14:textId="77777777" w:rsidR="004E07CA" w:rsidRPr="00530B21" w:rsidRDefault="004E07CA" w:rsidP="00E4192B">
            <w:pPr>
              <w:spacing w:after="0" w:line="240" w:lineRule="auto"/>
              <w:ind w:left="-114"/>
              <w:jc w:val="right"/>
              <w:rPr>
                <w:rFonts w:ascii="Arial" w:eastAsia="Times New Roman" w:hAnsi="Arial" w:cs="Arial"/>
                <w:color w:val="000000"/>
                <w:sz w:val="18"/>
                <w:szCs w:val="16"/>
                <w:lang w:val="en-PH" w:eastAsia="en-PH"/>
              </w:rPr>
            </w:pPr>
            <w:r w:rsidRPr="00530B21">
              <w:rPr>
                <w:rFonts w:ascii="Arial" w:hAnsi="Arial" w:cs="Arial"/>
                <w:color w:val="000000"/>
                <w:sz w:val="18"/>
                <w:szCs w:val="16"/>
              </w:rPr>
              <w:t>14,074.2400</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143D1E6A" w14:textId="7469813B"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62,982,224</w:t>
            </w:r>
          </w:p>
        </w:tc>
      </w:tr>
      <w:tr w:rsidR="004E07CA" w:rsidRPr="00663D1C" w14:paraId="67EDDE62" w14:textId="77777777" w:rsidTr="00AF7DBF">
        <w:trPr>
          <w:trHeight w:val="20"/>
        </w:trPr>
        <w:tc>
          <w:tcPr>
            <w:tcW w:w="2454" w:type="dxa"/>
            <w:tcBorders>
              <w:top w:val="nil"/>
              <w:left w:val="nil"/>
              <w:bottom w:val="nil"/>
              <w:right w:val="nil"/>
            </w:tcBorders>
            <w:shd w:val="clear" w:color="auto" w:fill="auto"/>
            <w:vAlign w:val="center"/>
          </w:tcPr>
          <w:p w14:paraId="17F202EE"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SLSS – Phase I-C / IC-A</w:t>
            </w:r>
          </w:p>
        </w:tc>
        <w:tc>
          <w:tcPr>
            <w:tcW w:w="1080" w:type="dxa"/>
            <w:gridSpan w:val="3"/>
            <w:tcBorders>
              <w:top w:val="nil"/>
              <w:left w:val="nil"/>
              <w:bottom w:val="nil"/>
              <w:right w:val="nil"/>
            </w:tcBorders>
            <w:shd w:val="clear" w:color="auto" w:fill="auto"/>
            <w:vAlign w:val="bottom"/>
          </w:tcPr>
          <w:p w14:paraId="3A6714A4"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26,579 </w:t>
            </w:r>
          </w:p>
        </w:tc>
        <w:tc>
          <w:tcPr>
            <w:tcW w:w="1260" w:type="dxa"/>
            <w:tcBorders>
              <w:top w:val="nil"/>
              <w:left w:val="nil"/>
              <w:bottom w:val="nil"/>
              <w:right w:val="nil"/>
            </w:tcBorders>
            <w:shd w:val="clear" w:color="auto" w:fill="auto"/>
            <w:vAlign w:val="bottom"/>
          </w:tcPr>
          <w:p w14:paraId="1F8FA98D"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18,379 </w:t>
            </w:r>
          </w:p>
        </w:tc>
        <w:tc>
          <w:tcPr>
            <w:tcW w:w="1080" w:type="dxa"/>
            <w:tcBorders>
              <w:top w:val="nil"/>
              <w:left w:val="nil"/>
              <w:bottom w:val="nil"/>
              <w:right w:val="nil"/>
            </w:tcBorders>
            <w:shd w:val="clear" w:color="auto" w:fill="auto"/>
            <w:vAlign w:val="bottom"/>
          </w:tcPr>
          <w:p w14:paraId="6568551F"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8,200 </w:t>
            </w:r>
          </w:p>
        </w:tc>
        <w:tc>
          <w:tcPr>
            <w:tcW w:w="1260" w:type="dxa"/>
            <w:tcBorders>
              <w:top w:val="nil"/>
              <w:left w:val="nil"/>
              <w:bottom w:val="nil"/>
              <w:right w:val="nil"/>
            </w:tcBorders>
            <w:shd w:val="clear" w:color="auto" w:fill="auto"/>
            <w:vAlign w:val="bottom"/>
          </w:tcPr>
          <w:p w14:paraId="6E966A5D"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hAnsi="Arial" w:cs="Arial"/>
                <w:color w:val="000000"/>
                <w:sz w:val="18"/>
                <w:szCs w:val="16"/>
              </w:rPr>
              <w:t>1,164.4800</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1B7B6567"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9,548,736 </w:t>
            </w:r>
          </w:p>
        </w:tc>
      </w:tr>
      <w:tr w:rsidR="004E07CA" w:rsidRPr="009B7C0B" w14:paraId="70E8CB7F" w14:textId="77777777" w:rsidTr="00AF7DBF">
        <w:trPr>
          <w:trHeight w:val="20"/>
        </w:trPr>
        <w:tc>
          <w:tcPr>
            <w:tcW w:w="2544" w:type="dxa"/>
            <w:gridSpan w:val="2"/>
            <w:tcBorders>
              <w:top w:val="nil"/>
              <w:left w:val="nil"/>
              <w:bottom w:val="nil"/>
              <w:right w:val="nil"/>
            </w:tcBorders>
            <w:shd w:val="clear" w:color="auto" w:fill="auto"/>
            <w:vAlign w:val="center"/>
          </w:tcPr>
          <w:p w14:paraId="2B7937C2"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Riviera Project- Commercial</w:t>
            </w:r>
          </w:p>
        </w:tc>
        <w:tc>
          <w:tcPr>
            <w:tcW w:w="990" w:type="dxa"/>
            <w:gridSpan w:val="2"/>
            <w:tcBorders>
              <w:top w:val="nil"/>
              <w:left w:val="nil"/>
              <w:bottom w:val="nil"/>
              <w:right w:val="nil"/>
            </w:tcBorders>
            <w:shd w:val="clear" w:color="auto" w:fill="auto"/>
            <w:vAlign w:val="bottom"/>
          </w:tcPr>
          <w:p w14:paraId="645CE55E"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85,255 </w:t>
            </w:r>
          </w:p>
        </w:tc>
        <w:tc>
          <w:tcPr>
            <w:tcW w:w="1260" w:type="dxa"/>
            <w:tcBorders>
              <w:top w:val="nil"/>
              <w:left w:val="nil"/>
              <w:bottom w:val="nil"/>
              <w:right w:val="nil"/>
            </w:tcBorders>
            <w:shd w:val="clear" w:color="auto" w:fill="auto"/>
            <w:vAlign w:val="bottom"/>
          </w:tcPr>
          <w:p w14:paraId="5AD82375"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78,024 </w:t>
            </w:r>
          </w:p>
        </w:tc>
        <w:tc>
          <w:tcPr>
            <w:tcW w:w="1080" w:type="dxa"/>
            <w:tcBorders>
              <w:top w:val="nil"/>
              <w:left w:val="nil"/>
              <w:bottom w:val="nil"/>
              <w:right w:val="nil"/>
            </w:tcBorders>
            <w:shd w:val="clear" w:color="auto" w:fill="auto"/>
            <w:vAlign w:val="bottom"/>
          </w:tcPr>
          <w:p w14:paraId="30D53751"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7,231 </w:t>
            </w:r>
          </w:p>
        </w:tc>
        <w:tc>
          <w:tcPr>
            <w:tcW w:w="1260" w:type="dxa"/>
            <w:tcBorders>
              <w:top w:val="nil"/>
              <w:left w:val="nil"/>
              <w:bottom w:val="nil"/>
              <w:right w:val="nil"/>
            </w:tcBorders>
            <w:shd w:val="clear" w:color="auto" w:fill="auto"/>
            <w:vAlign w:val="bottom"/>
          </w:tcPr>
          <w:p w14:paraId="7EB7E2E8"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1,144.4400</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6F88DF3B"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8,275,446 </w:t>
            </w:r>
          </w:p>
        </w:tc>
      </w:tr>
      <w:tr w:rsidR="004E07CA" w:rsidRPr="009B7C0B" w14:paraId="6E1EFA5E" w14:textId="77777777" w:rsidTr="00AF7DBF">
        <w:trPr>
          <w:trHeight w:val="20"/>
        </w:trPr>
        <w:tc>
          <w:tcPr>
            <w:tcW w:w="2544" w:type="dxa"/>
            <w:gridSpan w:val="2"/>
            <w:tcBorders>
              <w:top w:val="nil"/>
              <w:left w:val="nil"/>
              <w:bottom w:val="nil"/>
              <w:right w:val="nil"/>
            </w:tcBorders>
            <w:shd w:val="clear" w:color="auto" w:fill="auto"/>
            <w:vAlign w:val="center"/>
          </w:tcPr>
          <w:p w14:paraId="2DD3CB16"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0B3397">
              <w:rPr>
                <w:rFonts w:ascii="Arial" w:eastAsia="Times New Roman" w:hAnsi="Arial" w:cs="Arial"/>
                <w:color w:val="000000"/>
                <w:sz w:val="18"/>
                <w:szCs w:val="16"/>
                <w:lang w:eastAsia="en-PH"/>
              </w:rPr>
              <w:t xml:space="preserve">North </w:t>
            </w:r>
            <w:proofErr w:type="spellStart"/>
            <w:r w:rsidRPr="000B3397">
              <w:rPr>
                <w:rFonts w:ascii="Arial" w:eastAsia="Times New Roman" w:hAnsi="Arial" w:cs="Arial"/>
                <w:color w:val="000000"/>
                <w:sz w:val="18"/>
                <w:szCs w:val="16"/>
                <w:lang w:eastAsia="en-PH"/>
              </w:rPr>
              <w:t>Matrixville</w:t>
            </w:r>
            <w:proofErr w:type="spellEnd"/>
            <w:r w:rsidRPr="000B3397">
              <w:rPr>
                <w:rFonts w:ascii="Arial" w:eastAsia="Times New Roman" w:hAnsi="Arial" w:cs="Arial"/>
                <w:color w:val="000000"/>
                <w:sz w:val="18"/>
                <w:szCs w:val="16"/>
                <w:lang w:eastAsia="en-PH"/>
              </w:rPr>
              <w:t xml:space="preserve"> Subdivision</w:t>
            </w:r>
          </w:p>
        </w:tc>
        <w:tc>
          <w:tcPr>
            <w:tcW w:w="990" w:type="dxa"/>
            <w:gridSpan w:val="2"/>
            <w:tcBorders>
              <w:top w:val="nil"/>
              <w:left w:val="nil"/>
              <w:bottom w:val="nil"/>
              <w:right w:val="nil"/>
            </w:tcBorders>
            <w:shd w:val="clear" w:color="auto" w:fill="auto"/>
            <w:vAlign w:val="bottom"/>
          </w:tcPr>
          <w:p w14:paraId="3122DFE3"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0B3397">
              <w:rPr>
                <w:rFonts w:ascii="Arial" w:eastAsia="Times New Roman" w:hAnsi="Arial" w:cs="Arial"/>
                <w:color w:val="000000"/>
                <w:sz w:val="18"/>
                <w:szCs w:val="16"/>
                <w:lang w:eastAsia="en-PH"/>
              </w:rPr>
              <w:t>0</w:t>
            </w:r>
          </w:p>
        </w:tc>
        <w:tc>
          <w:tcPr>
            <w:tcW w:w="1260" w:type="dxa"/>
            <w:tcBorders>
              <w:top w:val="nil"/>
              <w:left w:val="nil"/>
              <w:bottom w:val="nil"/>
              <w:right w:val="nil"/>
            </w:tcBorders>
            <w:shd w:val="clear" w:color="auto" w:fill="auto"/>
            <w:vAlign w:val="bottom"/>
          </w:tcPr>
          <w:p w14:paraId="21F3D997"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0B3397">
              <w:rPr>
                <w:rFonts w:ascii="Arial" w:eastAsia="Times New Roman" w:hAnsi="Arial" w:cs="Arial"/>
                <w:color w:val="000000"/>
                <w:sz w:val="18"/>
                <w:szCs w:val="16"/>
                <w:lang w:eastAsia="en-PH"/>
              </w:rPr>
              <w:t xml:space="preserve">      2,391 </w:t>
            </w:r>
          </w:p>
        </w:tc>
        <w:tc>
          <w:tcPr>
            <w:tcW w:w="1080" w:type="dxa"/>
            <w:tcBorders>
              <w:top w:val="nil"/>
              <w:left w:val="nil"/>
              <w:bottom w:val="nil"/>
              <w:right w:val="nil"/>
            </w:tcBorders>
            <w:shd w:val="clear" w:color="auto" w:fill="auto"/>
            <w:vAlign w:val="bottom"/>
          </w:tcPr>
          <w:p w14:paraId="22EF2C55" w14:textId="66BD1E0A"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 xml:space="preserve"> (2,391)</w:t>
            </w:r>
          </w:p>
        </w:tc>
        <w:tc>
          <w:tcPr>
            <w:tcW w:w="1260" w:type="dxa"/>
            <w:tcBorders>
              <w:top w:val="nil"/>
              <w:left w:val="nil"/>
              <w:bottom w:val="nil"/>
              <w:right w:val="nil"/>
            </w:tcBorders>
            <w:shd w:val="clear" w:color="auto" w:fill="auto"/>
            <w:vAlign w:val="bottom"/>
          </w:tcPr>
          <w:p w14:paraId="4C846E61"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0B3397">
              <w:rPr>
                <w:rFonts w:ascii="Arial" w:eastAsia="Times New Roman" w:hAnsi="Arial" w:cs="Arial"/>
                <w:color w:val="000000"/>
                <w:sz w:val="18"/>
                <w:szCs w:val="16"/>
                <w:lang w:eastAsia="en-PH"/>
              </w:rPr>
              <w:t xml:space="preserve">471.9013 </w:t>
            </w:r>
          </w:p>
        </w:tc>
        <w:tc>
          <w:tcPr>
            <w:tcW w:w="1303" w:type="dxa"/>
            <w:tcBorders>
              <w:top w:val="nil"/>
              <w:left w:val="nil"/>
              <w:bottom w:val="nil"/>
              <w:right w:val="nil"/>
            </w:tcBorders>
            <w:shd w:val="clear" w:color="auto" w:fill="auto"/>
            <w:vAlign w:val="bottom"/>
          </w:tcPr>
          <w:p w14:paraId="0F8B4D3E"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0B3397">
              <w:rPr>
                <w:rFonts w:ascii="Arial" w:eastAsia="Times New Roman" w:hAnsi="Arial" w:cs="Arial"/>
                <w:color w:val="000000"/>
                <w:sz w:val="18"/>
                <w:szCs w:val="16"/>
                <w:lang w:eastAsia="en-PH"/>
              </w:rPr>
              <w:t xml:space="preserve">    (1,128,316)</w:t>
            </w:r>
          </w:p>
        </w:tc>
      </w:tr>
      <w:tr w:rsidR="004E07CA" w:rsidRPr="009B7C0B" w14:paraId="6ADB18DA" w14:textId="77777777" w:rsidTr="00AF7DBF">
        <w:trPr>
          <w:trHeight w:val="20"/>
        </w:trPr>
        <w:tc>
          <w:tcPr>
            <w:tcW w:w="2454" w:type="dxa"/>
            <w:tcBorders>
              <w:top w:val="nil"/>
              <w:left w:val="nil"/>
              <w:bottom w:val="nil"/>
              <w:right w:val="nil"/>
            </w:tcBorders>
            <w:shd w:val="clear" w:color="auto" w:fill="auto"/>
            <w:vAlign w:val="center"/>
          </w:tcPr>
          <w:p w14:paraId="3577E6DA"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Villa Toledo -TH</w:t>
            </w:r>
          </w:p>
        </w:tc>
        <w:tc>
          <w:tcPr>
            <w:tcW w:w="1080" w:type="dxa"/>
            <w:gridSpan w:val="3"/>
            <w:tcBorders>
              <w:top w:val="nil"/>
              <w:left w:val="nil"/>
              <w:bottom w:val="nil"/>
              <w:right w:val="nil"/>
            </w:tcBorders>
            <w:shd w:val="clear" w:color="auto" w:fill="auto"/>
            <w:vAlign w:val="bottom"/>
          </w:tcPr>
          <w:p w14:paraId="53E01907"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0</w:t>
            </w:r>
          </w:p>
        </w:tc>
        <w:tc>
          <w:tcPr>
            <w:tcW w:w="1260" w:type="dxa"/>
            <w:tcBorders>
              <w:top w:val="nil"/>
              <w:left w:val="nil"/>
              <w:bottom w:val="nil"/>
              <w:right w:val="nil"/>
            </w:tcBorders>
            <w:shd w:val="clear" w:color="auto" w:fill="auto"/>
            <w:vAlign w:val="bottom"/>
          </w:tcPr>
          <w:p w14:paraId="572D0798"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4,832 </w:t>
            </w:r>
          </w:p>
        </w:tc>
        <w:tc>
          <w:tcPr>
            <w:tcW w:w="1080" w:type="dxa"/>
            <w:tcBorders>
              <w:top w:val="nil"/>
              <w:left w:val="nil"/>
              <w:bottom w:val="nil"/>
              <w:right w:val="nil"/>
            </w:tcBorders>
            <w:shd w:val="clear" w:color="auto" w:fill="auto"/>
            <w:vAlign w:val="bottom"/>
          </w:tcPr>
          <w:p w14:paraId="75893B31"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(4,832)</w:t>
            </w:r>
          </w:p>
        </w:tc>
        <w:tc>
          <w:tcPr>
            <w:tcW w:w="1260" w:type="dxa"/>
            <w:tcBorders>
              <w:top w:val="nil"/>
              <w:left w:val="nil"/>
              <w:bottom w:val="nil"/>
              <w:right w:val="nil"/>
            </w:tcBorders>
            <w:shd w:val="clear" w:color="auto" w:fill="auto"/>
            <w:vAlign w:val="bottom"/>
          </w:tcPr>
          <w:p w14:paraId="2CB0B300"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1,300.0000</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11CFC591"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(6,281,600)</w:t>
            </w:r>
          </w:p>
        </w:tc>
      </w:tr>
      <w:tr w:rsidR="004E07CA" w:rsidRPr="009B7C0B" w14:paraId="662BEF81" w14:textId="77777777" w:rsidTr="00AF7DBF">
        <w:trPr>
          <w:trHeight w:val="20"/>
        </w:trPr>
        <w:tc>
          <w:tcPr>
            <w:tcW w:w="2454" w:type="dxa"/>
            <w:tcBorders>
              <w:top w:val="nil"/>
              <w:left w:val="nil"/>
              <w:bottom w:val="nil"/>
              <w:right w:val="nil"/>
            </w:tcBorders>
            <w:shd w:val="clear" w:color="auto" w:fill="auto"/>
            <w:vAlign w:val="center"/>
          </w:tcPr>
          <w:p w14:paraId="7255407A"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SLSS – Phase I</w:t>
            </w:r>
          </w:p>
        </w:tc>
        <w:tc>
          <w:tcPr>
            <w:tcW w:w="1080" w:type="dxa"/>
            <w:gridSpan w:val="3"/>
            <w:tcBorders>
              <w:top w:val="nil"/>
              <w:left w:val="nil"/>
              <w:bottom w:val="nil"/>
              <w:right w:val="nil"/>
            </w:tcBorders>
            <w:shd w:val="clear" w:color="auto" w:fill="auto"/>
            <w:vAlign w:val="bottom"/>
          </w:tcPr>
          <w:p w14:paraId="4B978E11"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88 </w:t>
            </w:r>
          </w:p>
        </w:tc>
        <w:tc>
          <w:tcPr>
            <w:tcW w:w="1260" w:type="dxa"/>
            <w:tcBorders>
              <w:top w:val="nil"/>
              <w:left w:val="nil"/>
              <w:bottom w:val="nil"/>
              <w:right w:val="nil"/>
            </w:tcBorders>
            <w:shd w:val="clear" w:color="auto" w:fill="auto"/>
            <w:vAlign w:val="bottom"/>
          </w:tcPr>
          <w:p w14:paraId="103204DC"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3,663 </w:t>
            </w:r>
          </w:p>
        </w:tc>
        <w:tc>
          <w:tcPr>
            <w:tcW w:w="1080" w:type="dxa"/>
            <w:tcBorders>
              <w:top w:val="nil"/>
              <w:left w:val="nil"/>
              <w:bottom w:val="nil"/>
              <w:right w:val="nil"/>
            </w:tcBorders>
            <w:shd w:val="clear" w:color="auto" w:fill="auto"/>
            <w:vAlign w:val="bottom"/>
          </w:tcPr>
          <w:p w14:paraId="69F127DD"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(3,575)</w:t>
            </w:r>
          </w:p>
        </w:tc>
        <w:tc>
          <w:tcPr>
            <w:tcW w:w="1260" w:type="dxa"/>
            <w:tcBorders>
              <w:top w:val="nil"/>
              <w:left w:val="nil"/>
              <w:bottom w:val="nil"/>
              <w:right w:val="nil"/>
            </w:tcBorders>
            <w:shd w:val="clear" w:color="auto" w:fill="auto"/>
            <w:vAlign w:val="bottom"/>
          </w:tcPr>
          <w:p w14:paraId="63932F1C"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1,800.0000</w:t>
            </w:r>
          </w:p>
        </w:tc>
        <w:tc>
          <w:tcPr>
            <w:tcW w:w="1303" w:type="dxa"/>
            <w:tcBorders>
              <w:top w:val="nil"/>
              <w:left w:val="nil"/>
              <w:bottom w:val="nil"/>
              <w:right w:val="nil"/>
            </w:tcBorders>
            <w:shd w:val="clear" w:color="auto" w:fill="auto"/>
            <w:vAlign w:val="bottom"/>
          </w:tcPr>
          <w:p w14:paraId="20833F9B"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(6,435,000)</w:t>
            </w:r>
          </w:p>
        </w:tc>
      </w:tr>
      <w:tr w:rsidR="004E07CA" w:rsidRPr="009B7C0B" w14:paraId="0D91475F" w14:textId="77777777" w:rsidTr="00AF7DBF">
        <w:trPr>
          <w:trHeight w:val="20"/>
        </w:trPr>
        <w:tc>
          <w:tcPr>
            <w:tcW w:w="2634" w:type="dxa"/>
            <w:gridSpan w:val="3"/>
            <w:tcBorders>
              <w:top w:val="nil"/>
              <w:left w:val="nil"/>
              <w:bottom w:val="nil"/>
              <w:right w:val="nil"/>
            </w:tcBorders>
            <w:shd w:val="clear" w:color="auto" w:fill="auto"/>
            <w:vAlign w:val="center"/>
          </w:tcPr>
          <w:p w14:paraId="3E900BAB"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Sta. Rosa Homes Subdivision</w:t>
            </w:r>
          </w:p>
        </w:tc>
        <w:tc>
          <w:tcPr>
            <w:tcW w:w="900" w:type="dxa"/>
            <w:tcBorders>
              <w:top w:val="nil"/>
              <w:left w:val="nil"/>
              <w:bottom w:val="nil"/>
              <w:right w:val="nil"/>
            </w:tcBorders>
            <w:shd w:val="clear" w:color="auto" w:fill="auto"/>
            <w:vAlign w:val="bottom"/>
          </w:tcPr>
          <w:p w14:paraId="371C76DD"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1,027 </w:t>
            </w:r>
          </w:p>
        </w:tc>
        <w:tc>
          <w:tcPr>
            <w:tcW w:w="1260" w:type="dxa"/>
            <w:tcBorders>
              <w:top w:val="nil"/>
              <w:left w:val="nil"/>
              <w:bottom w:val="nil"/>
              <w:right w:val="nil"/>
            </w:tcBorders>
            <w:shd w:val="clear" w:color="auto" w:fill="auto"/>
            <w:vAlign w:val="bottom"/>
          </w:tcPr>
          <w:p w14:paraId="5A08CAA9"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3,867 </w:t>
            </w:r>
          </w:p>
        </w:tc>
        <w:tc>
          <w:tcPr>
            <w:tcW w:w="1080" w:type="dxa"/>
            <w:tcBorders>
              <w:top w:val="nil"/>
              <w:left w:val="nil"/>
              <w:bottom w:val="nil"/>
              <w:right w:val="nil"/>
            </w:tcBorders>
            <w:shd w:val="clear" w:color="auto" w:fill="auto"/>
            <w:vAlign w:val="bottom"/>
          </w:tcPr>
          <w:p w14:paraId="1E538F16"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(2,840)</w:t>
            </w:r>
          </w:p>
        </w:tc>
        <w:tc>
          <w:tcPr>
            <w:tcW w:w="1260" w:type="dxa"/>
            <w:tcBorders>
              <w:top w:val="nil"/>
              <w:left w:val="nil"/>
              <w:bottom w:val="nil"/>
              <w:right w:val="nil"/>
            </w:tcBorders>
            <w:shd w:val="clear" w:color="auto" w:fill="auto"/>
            <w:vAlign w:val="bottom"/>
          </w:tcPr>
          <w:p w14:paraId="06A502BB"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2,326.5299</w:t>
            </w:r>
          </w:p>
        </w:tc>
        <w:tc>
          <w:tcPr>
            <w:tcW w:w="1303" w:type="dxa"/>
            <w:tcBorders>
              <w:top w:val="nil"/>
              <w:left w:val="nil"/>
              <w:bottom w:val="nil"/>
              <w:right w:val="nil"/>
            </w:tcBorders>
            <w:shd w:val="clear" w:color="auto" w:fill="auto"/>
            <w:vAlign w:val="bottom"/>
          </w:tcPr>
          <w:p w14:paraId="03667B35"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(6,607,345)</w:t>
            </w:r>
          </w:p>
        </w:tc>
      </w:tr>
      <w:tr w:rsidR="004E07CA" w:rsidRPr="009B7C0B" w14:paraId="3F184C6F" w14:textId="77777777" w:rsidTr="00AF7DBF">
        <w:trPr>
          <w:trHeight w:val="20"/>
        </w:trPr>
        <w:tc>
          <w:tcPr>
            <w:tcW w:w="2454" w:type="dxa"/>
            <w:tcBorders>
              <w:top w:val="nil"/>
              <w:left w:val="nil"/>
              <w:bottom w:val="nil"/>
              <w:right w:val="nil"/>
            </w:tcBorders>
            <w:shd w:val="clear" w:color="auto" w:fill="auto"/>
            <w:vAlign w:val="center"/>
          </w:tcPr>
          <w:p w14:paraId="196BB3F2"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Village East III Subdivision</w:t>
            </w:r>
          </w:p>
        </w:tc>
        <w:tc>
          <w:tcPr>
            <w:tcW w:w="1080" w:type="dxa"/>
            <w:gridSpan w:val="3"/>
            <w:tcBorders>
              <w:top w:val="nil"/>
              <w:left w:val="nil"/>
              <w:bottom w:val="nil"/>
              <w:right w:val="nil"/>
            </w:tcBorders>
            <w:shd w:val="clear" w:color="auto" w:fill="auto"/>
            <w:vAlign w:val="bottom"/>
          </w:tcPr>
          <w:p w14:paraId="53E319BD"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93,445 </w:t>
            </w:r>
          </w:p>
        </w:tc>
        <w:tc>
          <w:tcPr>
            <w:tcW w:w="1260" w:type="dxa"/>
            <w:tcBorders>
              <w:top w:val="nil"/>
              <w:left w:val="nil"/>
              <w:bottom w:val="nil"/>
              <w:right w:val="nil"/>
            </w:tcBorders>
            <w:shd w:val="clear" w:color="auto" w:fill="auto"/>
            <w:vAlign w:val="bottom"/>
          </w:tcPr>
          <w:p w14:paraId="4A5F44CC"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109,005 </w:t>
            </w:r>
          </w:p>
        </w:tc>
        <w:tc>
          <w:tcPr>
            <w:tcW w:w="1080" w:type="dxa"/>
            <w:tcBorders>
              <w:top w:val="nil"/>
              <w:left w:val="nil"/>
              <w:bottom w:val="nil"/>
              <w:right w:val="nil"/>
            </w:tcBorders>
            <w:shd w:val="clear" w:color="auto" w:fill="auto"/>
            <w:vAlign w:val="bottom"/>
          </w:tcPr>
          <w:p w14:paraId="43DF177B"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(15,560)</w:t>
            </w:r>
          </w:p>
        </w:tc>
        <w:tc>
          <w:tcPr>
            <w:tcW w:w="1260" w:type="dxa"/>
            <w:tcBorders>
              <w:top w:val="nil"/>
              <w:left w:val="nil"/>
              <w:bottom w:val="nil"/>
              <w:right w:val="nil"/>
            </w:tcBorders>
            <w:shd w:val="clear" w:color="auto" w:fill="auto"/>
            <w:vAlign w:val="bottom"/>
          </w:tcPr>
          <w:p w14:paraId="6094AD90"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530.5500 </w:t>
            </w:r>
          </w:p>
        </w:tc>
        <w:tc>
          <w:tcPr>
            <w:tcW w:w="1303" w:type="dxa"/>
            <w:tcBorders>
              <w:top w:val="nil"/>
              <w:left w:val="nil"/>
              <w:bottom w:val="nil"/>
              <w:right w:val="nil"/>
            </w:tcBorders>
            <w:shd w:val="clear" w:color="auto" w:fill="auto"/>
            <w:vAlign w:val="bottom"/>
          </w:tcPr>
          <w:p w14:paraId="42D34C06"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(8,255,358)</w:t>
            </w:r>
          </w:p>
        </w:tc>
      </w:tr>
      <w:tr w:rsidR="004E07CA" w:rsidRPr="009B7C0B" w14:paraId="4C5F2EB3" w14:textId="77777777" w:rsidTr="00AF7DBF">
        <w:trPr>
          <w:trHeight w:val="20"/>
        </w:trPr>
        <w:tc>
          <w:tcPr>
            <w:tcW w:w="2454" w:type="dxa"/>
            <w:tcBorders>
              <w:top w:val="nil"/>
              <w:left w:val="nil"/>
              <w:bottom w:val="nil"/>
              <w:right w:val="nil"/>
            </w:tcBorders>
            <w:shd w:val="clear" w:color="auto" w:fill="auto"/>
            <w:vAlign w:val="center"/>
          </w:tcPr>
          <w:p w14:paraId="22391864"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The Orchard Project</w:t>
            </w:r>
          </w:p>
        </w:tc>
        <w:tc>
          <w:tcPr>
            <w:tcW w:w="1080" w:type="dxa"/>
            <w:gridSpan w:val="3"/>
            <w:tcBorders>
              <w:top w:val="nil"/>
              <w:left w:val="nil"/>
              <w:bottom w:val="nil"/>
              <w:right w:val="nil"/>
            </w:tcBorders>
            <w:shd w:val="clear" w:color="auto" w:fill="auto"/>
            <w:vAlign w:val="bottom"/>
          </w:tcPr>
          <w:p w14:paraId="0369748C"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29,919 </w:t>
            </w:r>
          </w:p>
        </w:tc>
        <w:tc>
          <w:tcPr>
            <w:tcW w:w="1260" w:type="dxa"/>
            <w:tcBorders>
              <w:top w:val="nil"/>
              <w:left w:val="nil"/>
              <w:bottom w:val="nil"/>
              <w:right w:val="nil"/>
            </w:tcBorders>
            <w:shd w:val="clear" w:color="auto" w:fill="auto"/>
            <w:vAlign w:val="bottom"/>
          </w:tcPr>
          <w:p w14:paraId="7FA8C585"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36,250 </w:t>
            </w:r>
          </w:p>
        </w:tc>
        <w:tc>
          <w:tcPr>
            <w:tcW w:w="1080" w:type="dxa"/>
            <w:tcBorders>
              <w:top w:val="nil"/>
              <w:left w:val="nil"/>
              <w:bottom w:val="nil"/>
              <w:right w:val="nil"/>
            </w:tcBorders>
            <w:shd w:val="clear" w:color="auto" w:fill="auto"/>
            <w:vAlign w:val="bottom"/>
          </w:tcPr>
          <w:p w14:paraId="08AE7508"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(6,331)</w:t>
            </w:r>
          </w:p>
        </w:tc>
        <w:tc>
          <w:tcPr>
            <w:tcW w:w="1260" w:type="dxa"/>
            <w:tcBorders>
              <w:top w:val="nil"/>
              <w:left w:val="nil"/>
              <w:bottom w:val="nil"/>
              <w:right w:val="nil"/>
            </w:tcBorders>
            <w:shd w:val="clear" w:color="auto" w:fill="auto"/>
            <w:vAlign w:val="bottom"/>
          </w:tcPr>
          <w:p w14:paraId="27CC752C"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1,514.6200</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69B7D47A"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(9,589,059)</w:t>
            </w:r>
          </w:p>
        </w:tc>
      </w:tr>
      <w:tr w:rsidR="004E07CA" w:rsidRPr="009B7C0B" w14:paraId="18A4EAF1" w14:textId="77777777" w:rsidTr="00AF7DBF">
        <w:trPr>
          <w:trHeight w:val="20"/>
        </w:trPr>
        <w:tc>
          <w:tcPr>
            <w:tcW w:w="2454" w:type="dxa"/>
            <w:tcBorders>
              <w:top w:val="nil"/>
              <w:left w:val="nil"/>
              <w:bottom w:val="nil"/>
              <w:right w:val="nil"/>
            </w:tcBorders>
            <w:shd w:val="clear" w:color="auto" w:fill="auto"/>
            <w:vAlign w:val="center"/>
          </w:tcPr>
          <w:p w14:paraId="7A8F75D2"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Villa Caceres</w:t>
            </w:r>
          </w:p>
        </w:tc>
        <w:tc>
          <w:tcPr>
            <w:tcW w:w="1080" w:type="dxa"/>
            <w:gridSpan w:val="3"/>
            <w:tcBorders>
              <w:top w:val="nil"/>
              <w:left w:val="nil"/>
              <w:bottom w:val="nil"/>
              <w:right w:val="nil"/>
            </w:tcBorders>
            <w:shd w:val="clear" w:color="auto" w:fill="auto"/>
            <w:vAlign w:val="bottom"/>
          </w:tcPr>
          <w:p w14:paraId="6CA7EF99"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897 </w:t>
            </w:r>
          </w:p>
        </w:tc>
        <w:tc>
          <w:tcPr>
            <w:tcW w:w="1260" w:type="dxa"/>
            <w:tcBorders>
              <w:top w:val="nil"/>
              <w:left w:val="nil"/>
              <w:bottom w:val="nil"/>
              <w:right w:val="nil"/>
            </w:tcBorders>
            <w:shd w:val="clear" w:color="auto" w:fill="auto"/>
            <w:vAlign w:val="bottom"/>
          </w:tcPr>
          <w:p w14:paraId="019FB998"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14,003 </w:t>
            </w:r>
          </w:p>
        </w:tc>
        <w:tc>
          <w:tcPr>
            <w:tcW w:w="1080" w:type="dxa"/>
            <w:tcBorders>
              <w:top w:val="nil"/>
              <w:left w:val="nil"/>
              <w:bottom w:val="nil"/>
              <w:right w:val="nil"/>
            </w:tcBorders>
            <w:shd w:val="clear" w:color="auto" w:fill="auto"/>
            <w:vAlign w:val="bottom"/>
          </w:tcPr>
          <w:p w14:paraId="679FBD2E"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(13,106)</w:t>
            </w:r>
          </w:p>
        </w:tc>
        <w:tc>
          <w:tcPr>
            <w:tcW w:w="1260" w:type="dxa"/>
            <w:tcBorders>
              <w:top w:val="nil"/>
              <w:left w:val="nil"/>
              <w:bottom w:val="nil"/>
              <w:right w:val="nil"/>
            </w:tcBorders>
            <w:shd w:val="clear" w:color="auto" w:fill="auto"/>
            <w:vAlign w:val="bottom"/>
          </w:tcPr>
          <w:p w14:paraId="76297A0E"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9B7C0B">
              <w:rPr>
                <w:rFonts w:ascii="Arial" w:eastAsia="Times New Roman" w:hAnsi="Arial" w:cs="Arial"/>
                <w:color w:val="000000"/>
                <w:sz w:val="18"/>
                <w:szCs w:val="16"/>
                <w:lang w:eastAsia="en-PH"/>
              </w:rPr>
              <w:t>1,765.1000</w:t>
            </w:r>
            <w:r w:rsidRPr="00530B21">
              <w:rPr>
                <w:rFonts w:ascii="Arial" w:eastAsia="Times New Roman" w:hAnsi="Arial" w:cs="Arial"/>
                <w:color w:val="000000"/>
                <w:sz w:val="18"/>
                <w:szCs w:val="16"/>
                <w:lang w:eastAsia="en-PH"/>
              </w:rPr>
              <w:t xml:space="preserve">  </w:t>
            </w:r>
          </w:p>
        </w:tc>
        <w:tc>
          <w:tcPr>
            <w:tcW w:w="1303" w:type="dxa"/>
            <w:tcBorders>
              <w:top w:val="nil"/>
              <w:left w:val="nil"/>
              <w:bottom w:val="nil"/>
              <w:right w:val="nil"/>
            </w:tcBorders>
            <w:shd w:val="clear" w:color="auto" w:fill="auto"/>
            <w:vAlign w:val="bottom"/>
          </w:tcPr>
          <w:p w14:paraId="303C696B" w14:textId="77777777" w:rsidR="004E07CA" w:rsidRPr="009B7C0B" w:rsidRDefault="004E07CA" w:rsidP="00AF7DBF">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(23,133,401)</w:t>
            </w:r>
          </w:p>
        </w:tc>
      </w:tr>
      <w:tr w:rsidR="004E07CA" w:rsidRPr="009B7C0B" w14:paraId="365796DD" w14:textId="77777777" w:rsidTr="00AF7DBF">
        <w:trPr>
          <w:trHeight w:val="20"/>
        </w:trPr>
        <w:tc>
          <w:tcPr>
            <w:tcW w:w="2454" w:type="dxa"/>
            <w:tcBorders>
              <w:top w:val="nil"/>
              <w:left w:val="nil"/>
              <w:bottom w:val="nil"/>
              <w:right w:val="nil"/>
            </w:tcBorders>
            <w:shd w:val="clear" w:color="auto" w:fill="auto"/>
            <w:vAlign w:val="center"/>
          </w:tcPr>
          <w:p w14:paraId="09D5D474" w14:textId="77777777" w:rsidR="004E07CA" w:rsidRPr="009B7C0B"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San Mateo Housing Project</w:t>
            </w:r>
          </w:p>
        </w:tc>
        <w:tc>
          <w:tcPr>
            <w:tcW w:w="1080" w:type="dxa"/>
            <w:gridSpan w:val="3"/>
            <w:tcBorders>
              <w:top w:val="nil"/>
              <w:left w:val="nil"/>
              <w:bottom w:val="nil"/>
              <w:right w:val="nil"/>
            </w:tcBorders>
            <w:shd w:val="clear" w:color="auto" w:fill="auto"/>
            <w:vAlign w:val="bottom"/>
          </w:tcPr>
          <w:p w14:paraId="6B4422C1"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0</w:t>
            </w:r>
          </w:p>
        </w:tc>
        <w:tc>
          <w:tcPr>
            <w:tcW w:w="1260" w:type="dxa"/>
            <w:tcBorders>
              <w:top w:val="nil"/>
              <w:left w:val="nil"/>
              <w:bottom w:val="nil"/>
              <w:right w:val="nil"/>
            </w:tcBorders>
            <w:shd w:val="clear" w:color="auto" w:fill="auto"/>
            <w:vAlign w:val="bottom"/>
          </w:tcPr>
          <w:p w14:paraId="2FF6444B"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18,265 </w:t>
            </w:r>
          </w:p>
        </w:tc>
        <w:tc>
          <w:tcPr>
            <w:tcW w:w="1080" w:type="dxa"/>
            <w:tcBorders>
              <w:top w:val="nil"/>
              <w:left w:val="nil"/>
              <w:bottom w:val="nil"/>
              <w:right w:val="nil"/>
            </w:tcBorders>
            <w:shd w:val="clear" w:color="auto" w:fill="auto"/>
            <w:vAlign w:val="bottom"/>
          </w:tcPr>
          <w:p w14:paraId="15A6C698" w14:textId="77777777" w:rsidR="004E07CA" w:rsidRPr="009B7C0B" w:rsidRDefault="004E07CA" w:rsidP="00CC3C14">
            <w:pPr>
              <w:spacing w:after="0" w:line="240" w:lineRule="auto"/>
              <w:ind w:right="-58"/>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(18,265)</w:t>
            </w:r>
          </w:p>
        </w:tc>
        <w:tc>
          <w:tcPr>
            <w:tcW w:w="1260" w:type="dxa"/>
            <w:tcBorders>
              <w:top w:val="nil"/>
              <w:left w:val="nil"/>
              <w:bottom w:val="nil"/>
              <w:right w:val="nil"/>
            </w:tcBorders>
            <w:shd w:val="clear" w:color="auto" w:fill="auto"/>
            <w:vAlign w:val="bottom"/>
          </w:tcPr>
          <w:p w14:paraId="3A1D646D"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0</w:t>
            </w:r>
          </w:p>
        </w:tc>
        <w:tc>
          <w:tcPr>
            <w:tcW w:w="1303" w:type="dxa"/>
            <w:tcBorders>
              <w:top w:val="nil"/>
              <w:left w:val="nil"/>
              <w:bottom w:val="nil"/>
              <w:right w:val="nil"/>
            </w:tcBorders>
            <w:shd w:val="clear" w:color="auto" w:fill="auto"/>
            <w:vAlign w:val="bottom"/>
          </w:tcPr>
          <w:p w14:paraId="14A26DB6" w14:textId="77777777" w:rsidR="004E07CA" w:rsidRPr="009B7C0B"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0</w:t>
            </w:r>
          </w:p>
        </w:tc>
      </w:tr>
      <w:tr w:rsidR="004E07CA" w:rsidRPr="00663D1C" w14:paraId="2FD99C7E" w14:textId="77777777" w:rsidTr="00AF7DBF">
        <w:trPr>
          <w:trHeight w:val="20"/>
        </w:trPr>
        <w:tc>
          <w:tcPr>
            <w:tcW w:w="2454" w:type="dxa"/>
            <w:tcBorders>
              <w:top w:val="nil"/>
              <w:left w:val="nil"/>
              <w:bottom w:val="nil"/>
              <w:right w:val="nil"/>
            </w:tcBorders>
            <w:shd w:val="clear" w:color="auto" w:fill="auto"/>
            <w:vAlign w:val="center"/>
          </w:tcPr>
          <w:p w14:paraId="59437B85" w14:textId="77777777" w:rsidR="004E07CA" w:rsidRPr="00530B21" w:rsidRDefault="004E07CA" w:rsidP="00AF7DBF">
            <w:pPr>
              <w:spacing w:after="0" w:line="240" w:lineRule="auto"/>
              <w:ind w:left="216" w:hanging="216"/>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eastAsia="en-PH"/>
              </w:rPr>
              <w:t>LANDBANKING</w:t>
            </w:r>
          </w:p>
        </w:tc>
        <w:tc>
          <w:tcPr>
            <w:tcW w:w="1080" w:type="dxa"/>
            <w:gridSpan w:val="3"/>
            <w:tcBorders>
              <w:top w:val="nil"/>
              <w:left w:val="nil"/>
              <w:bottom w:val="nil"/>
              <w:right w:val="nil"/>
            </w:tcBorders>
            <w:shd w:val="clear" w:color="auto" w:fill="auto"/>
            <w:vAlign w:val="center"/>
          </w:tcPr>
          <w:p w14:paraId="0CE671FD" w14:textId="77777777" w:rsidR="004E07CA" w:rsidRPr="00530B21" w:rsidRDefault="004E07CA" w:rsidP="00E4192B">
            <w:pPr>
              <w:spacing w:after="0" w:line="240" w:lineRule="auto"/>
              <w:jc w:val="right"/>
              <w:rPr>
                <w:rFonts w:ascii="Arial" w:eastAsia="Times New Roman" w:hAnsi="Arial" w:cs="Arial"/>
                <w:b/>
                <w:bCs/>
                <w:color w:val="000000"/>
                <w:sz w:val="18"/>
                <w:szCs w:val="16"/>
                <w:lang w:val="en-PH" w:eastAsia="en-PH"/>
              </w:rPr>
            </w:pPr>
          </w:p>
        </w:tc>
        <w:tc>
          <w:tcPr>
            <w:tcW w:w="1260" w:type="dxa"/>
            <w:tcBorders>
              <w:top w:val="nil"/>
              <w:left w:val="nil"/>
              <w:bottom w:val="nil"/>
              <w:right w:val="nil"/>
            </w:tcBorders>
            <w:shd w:val="clear" w:color="auto" w:fill="auto"/>
            <w:vAlign w:val="center"/>
          </w:tcPr>
          <w:p w14:paraId="7FAFB41F" w14:textId="77777777" w:rsidR="004E07CA" w:rsidRPr="00530B21" w:rsidRDefault="004E07CA" w:rsidP="00E4192B">
            <w:pPr>
              <w:spacing w:after="0" w:line="240" w:lineRule="auto"/>
              <w:jc w:val="right"/>
              <w:rPr>
                <w:rFonts w:ascii="Times New Roman" w:eastAsia="Times New Roman" w:hAnsi="Times New Roman" w:cs="Times New Roman"/>
                <w:sz w:val="18"/>
                <w:szCs w:val="16"/>
                <w:lang w:val="en-PH" w:eastAsia="en-PH"/>
              </w:rPr>
            </w:pPr>
          </w:p>
        </w:tc>
        <w:tc>
          <w:tcPr>
            <w:tcW w:w="1080" w:type="dxa"/>
            <w:tcBorders>
              <w:top w:val="nil"/>
              <w:left w:val="nil"/>
              <w:bottom w:val="nil"/>
              <w:right w:val="nil"/>
            </w:tcBorders>
            <w:shd w:val="clear" w:color="auto" w:fill="auto"/>
            <w:vAlign w:val="center"/>
          </w:tcPr>
          <w:p w14:paraId="129E18D4" w14:textId="77777777" w:rsidR="004E07CA" w:rsidRPr="00530B21" w:rsidRDefault="004E07CA" w:rsidP="00CC3C14">
            <w:pPr>
              <w:spacing w:after="0" w:line="240" w:lineRule="auto"/>
              <w:ind w:right="-58"/>
              <w:jc w:val="right"/>
              <w:rPr>
                <w:rFonts w:ascii="Times New Roman" w:eastAsia="Times New Roman" w:hAnsi="Times New Roman" w:cs="Times New Roman"/>
                <w:sz w:val="18"/>
                <w:szCs w:val="16"/>
                <w:lang w:val="en-PH" w:eastAsia="en-PH"/>
              </w:rPr>
            </w:pPr>
          </w:p>
        </w:tc>
        <w:tc>
          <w:tcPr>
            <w:tcW w:w="1260" w:type="dxa"/>
            <w:tcBorders>
              <w:top w:val="nil"/>
              <w:left w:val="nil"/>
              <w:bottom w:val="nil"/>
              <w:right w:val="nil"/>
            </w:tcBorders>
            <w:shd w:val="clear" w:color="auto" w:fill="auto"/>
            <w:vAlign w:val="center"/>
          </w:tcPr>
          <w:p w14:paraId="562B3164" w14:textId="77777777" w:rsidR="004E07CA" w:rsidRPr="00530B21" w:rsidRDefault="004E07CA" w:rsidP="00E4192B">
            <w:pPr>
              <w:spacing w:after="0" w:line="240" w:lineRule="auto"/>
              <w:jc w:val="right"/>
              <w:rPr>
                <w:rFonts w:ascii="Times New Roman" w:eastAsia="Times New Roman" w:hAnsi="Times New Roman" w:cs="Times New Roman"/>
                <w:sz w:val="18"/>
                <w:szCs w:val="16"/>
                <w:lang w:val="en-PH" w:eastAsia="en-PH"/>
              </w:rPr>
            </w:pPr>
          </w:p>
        </w:tc>
        <w:tc>
          <w:tcPr>
            <w:tcW w:w="1303" w:type="dxa"/>
            <w:tcBorders>
              <w:top w:val="nil"/>
              <w:left w:val="nil"/>
              <w:bottom w:val="nil"/>
              <w:right w:val="nil"/>
            </w:tcBorders>
            <w:shd w:val="clear" w:color="auto" w:fill="auto"/>
            <w:vAlign w:val="center"/>
          </w:tcPr>
          <w:p w14:paraId="5212A1E5"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w:t>
            </w:r>
          </w:p>
        </w:tc>
      </w:tr>
      <w:tr w:rsidR="004E07CA" w:rsidRPr="00663D1C" w14:paraId="163767E8" w14:textId="77777777" w:rsidTr="00AF7DBF">
        <w:trPr>
          <w:trHeight w:val="20"/>
        </w:trPr>
        <w:tc>
          <w:tcPr>
            <w:tcW w:w="2454" w:type="dxa"/>
            <w:tcBorders>
              <w:top w:val="nil"/>
              <w:left w:val="nil"/>
              <w:right w:val="nil"/>
            </w:tcBorders>
            <w:shd w:val="clear" w:color="auto" w:fill="auto"/>
            <w:vAlign w:val="center"/>
          </w:tcPr>
          <w:p w14:paraId="4A55607E"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Riviera</w:t>
            </w:r>
          </w:p>
        </w:tc>
        <w:tc>
          <w:tcPr>
            <w:tcW w:w="1080" w:type="dxa"/>
            <w:gridSpan w:val="3"/>
            <w:tcBorders>
              <w:top w:val="nil"/>
              <w:left w:val="nil"/>
              <w:right w:val="nil"/>
            </w:tcBorders>
            <w:shd w:val="clear" w:color="auto" w:fill="auto"/>
            <w:vAlign w:val="bottom"/>
          </w:tcPr>
          <w:p w14:paraId="4863AFFE"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2,453,733 </w:t>
            </w:r>
          </w:p>
        </w:tc>
        <w:tc>
          <w:tcPr>
            <w:tcW w:w="1260" w:type="dxa"/>
            <w:tcBorders>
              <w:top w:val="nil"/>
              <w:left w:val="nil"/>
              <w:right w:val="nil"/>
            </w:tcBorders>
            <w:shd w:val="clear" w:color="auto" w:fill="auto"/>
            <w:vAlign w:val="bottom"/>
          </w:tcPr>
          <w:p w14:paraId="33638488"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2,222,903 </w:t>
            </w:r>
          </w:p>
        </w:tc>
        <w:tc>
          <w:tcPr>
            <w:tcW w:w="1080" w:type="dxa"/>
            <w:tcBorders>
              <w:top w:val="nil"/>
              <w:left w:val="nil"/>
              <w:right w:val="nil"/>
            </w:tcBorders>
            <w:shd w:val="clear" w:color="auto" w:fill="auto"/>
            <w:vAlign w:val="bottom"/>
          </w:tcPr>
          <w:p w14:paraId="0BE02668"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230,830 </w:t>
            </w:r>
          </w:p>
        </w:tc>
        <w:tc>
          <w:tcPr>
            <w:tcW w:w="1260" w:type="dxa"/>
            <w:tcBorders>
              <w:top w:val="nil"/>
              <w:left w:val="nil"/>
              <w:right w:val="nil"/>
            </w:tcBorders>
            <w:shd w:val="clear" w:color="auto" w:fill="auto"/>
            <w:vAlign w:val="bottom"/>
          </w:tcPr>
          <w:p w14:paraId="312E24D2"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663.4900 </w:t>
            </w:r>
          </w:p>
        </w:tc>
        <w:tc>
          <w:tcPr>
            <w:tcW w:w="1303" w:type="dxa"/>
            <w:tcBorders>
              <w:top w:val="nil"/>
              <w:left w:val="nil"/>
              <w:right w:val="nil"/>
            </w:tcBorders>
            <w:shd w:val="clear" w:color="auto" w:fill="auto"/>
            <w:vAlign w:val="bottom"/>
          </w:tcPr>
          <w:p w14:paraId="5247593D"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153,153,397 </w:t>
            </w:r>
          </w:p>
        </w:tc>
      </w:tr>
      <w:tr w:rsidR="004E07CA" w:rsidRPr="00663D1C" w14:paraId="69B945BB" w14:textId="77777777" w:rsidTr="00AF7DBF">
        <w:trPr>
          <w:trHeight w:val="20"/>
        </w:trPr>
        <w:tc>
          <w:tcPr>
            <w:tcW w:w="2454" w:type="dxa"/>
            <w:tcBorders>
              <w:top w:val="nil"/>
              <w:left w:val="nil"/>
              <w:bottom w:val="nil"/>
              <w:right w:val="nil"/>
            </w:tcBorders>
            <w:shd w:val="clear" w:color="auto" w:fill="auto"/>
            <w:vAlign w:val="center"/>
          </w:tcPr>
          <w:p w14:paraId="6699F497"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Green Meadows Iloilo (Phase 1A)</w:t>
            </w:r>
          </w:p>
        </w:tc>
        <w:tc>
          <w:tcPr>
            <w:tcW w:w="1080" w:type="dxa"/>
            <w:gridSpan w:val="3"/>
            <w:tcBorders>
              <w:top w:val="nil"/>
              <w:left w:val="nil"/>
              <w:bottom w:val="nil"/>
              <w:right w:val="nil"/>
            </w:tcBorders>
            <w:shd w:val="clear" w:color="auto" w:fill="auto"/>
            <w:vAlign w:val="bottom"/>
          </w:tcPr>
          <w:p w14:paraId="3B491F5F"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21,963 </w:t>
            </w:r>
          </w:p>
        </w:tc>
        <w:tc>
          <w:tcPr>
            <w:tcW w:w="1260" w:type="dxa"/>
            <w:tcBorders>
              <w:top w:val="nil"/>
              <w:left w:val="nil"/>
              <w:bottom w:val="nil"/>
              <w:right w:val="nil"/>
            </w:tcBorders>
            <w:shd w:val="clear" w:color="auto" w:fill="auto"/>
            <w:vAlign w:val="bottom"/>
          </w:tcPr>
          <w:p w14:paraId="7F45432B"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6,531 </w:t>
            </w:r>
          </w:p>
        </w:tc>
        <w:tc>
          <w:tcPr>
            <w:tcW w:w="1080" w:type="dxa"/>
            <w:tcBorders>
              <w:top w:val="nil"/>
              <w:left w:val="nil"/>
              <w:bottom w:val="nil"/>
              <w:right w:val="nil"/>
            </w:tcBorders>
            <w:shd w:val="clear" w:color="auto" w:fill="auto"/>
            <w:vAlign w:val="bottom"/>
          </w:tcPr>
          <w:p w14:paraId="1F2EC9A6"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15,432 </w:t>
            </w:r>
          </w:p>
        </w:tc>
        <w:tc>
          <w:tcPr>
            <w:tcW w:w="1260" w:type="dxa"/>
            <w:tcBorders>
              <w:top w:val="nil"/>
              <w:left w:val="nil"/>
              <w:bottom w:val="nil"/>
              <w:right w:val="nil"/>
            </w:tcBorders>
            <w:shd w:val="clear" w:color="auto" w:fill="auto"/>
            <w:vAlign w:val="bottom"/>
          </w:tcPr>
          <w:p w14:paraId="60FAB70D"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2,214.4800 </w:t>
            </w:r>
          </w:p>
        </w:tc>
        <w:tc>
          <w:tcPr>
            <w:tcW w:w="1303" w:type="dxa"/>
            <w:tcBorders>
              <w:top w:val="nil"/>
              <w:left w:val="nil"/>
              <w:bottom w:val="nil"/>
              <w:right w:val="nil"/>
            </w:tcBorders>
            <w:shd w:val="clear" w:color="auto" w:fill="auto"/>
            <w:vAlign w:val="bottom"/>
          </w:tcPr>
          <w:p w14:paraId="0D4D4E15"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34,173,855 </w:t>
            </w:r>
          </w:p>
        </w:tc>
      </w:tr>
      <w:tr w:rsidR="004E07CA" w:rsidRPr="000B3397" w14:paraId="18A85E67" w14:textId="77777777" w:rsidTr="00AF7DBF">
        <w:trPr>
          <w:trHeight w:val="135"/>
        </w:trPr>
        <w:tc>
          <w:tcPr>
            <w:tcW w:w="2454" w:type="dxa"/>
            <w:tcBorders>
              <w:top w:val="nil"/>
              <w:left w:val="nil"/>
              <w:bottom w:val="nil"/>
              <w:right w:val="nil"/>
            </w:tcBorders>
            <w:shd w:val="clear" w:color="auto" w:fill="auto"/>
            <w:vAlign w:val="center"/>
          </w:tcPr>
          <w:p w14:paraId="03B5096E" w14:textId="77777777" w:rsidR="004E07CA" w:rsidRPr="000B3397"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General Santos City</w:t>
            </w:r>
          </w:p>
        </w:tc>
        <w:tc>
          <w:tcPr>
            <w:tcW w:w="1080" w:type="dxa"/>
            <w:gridSpan w:val="3"/>
            <w:tcBorders>
              <w:top w:val="nil"/>
              <w:left w:val="nil"/>
              <w:bottom w:val="nil"/>
              <w:right w:val="nil"/>
            </w:tcBorders>
            <w:shd w:val="clear" w:color="auto" w:fill="auto"/>
            <w:vAlign w:val="bottom"/>
          </w:tcPr>
          <w:p w14:paraId="5337630D"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34,401 </w:t>
            </w:r>
          </w:p>
        </w:tc>
        <w:tc>
          <w:tcPr>
            <w:tcW w:w="1260" w:type="dxa"/>
            <w:tcBorders>
              <w:top w:val="nil"/>
              <w:left w:val="nil"/>
              <w:bottom w:val="nil"/>
              <w:right w:val="nil"/>
            </w:tcBorders>
            <w:shd w:val="clear" w:color="auto" w:fill="auto"/>
            <w:vAlign w:val="bottom"/>
          </w:tcPr>
          <w:p w14:paraId="0EDFDC5E"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34,191 </w:t>
            </w:r>
          </w:p>
        </w:tc>
        <w:tc>
          <w:tcPr>
            <w:tcW w:w="1080" w:type="dxa"/>
            <w:tcBorders>
              <w:top w:val="nil"/>
              <w:left w:val="nil"/>
              <w:bottom w:val="nil"/>
              <w:right w:val="nil"/>
            </w:tcBorders>
            <w:shd w:val="clear" w:color="auto" w:fill="auto"/>
            <w:vAlign w:val="bottom"/>
          </w:tcPr>
          <w:p w14:paraId="3D15B22E"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210 </w:t>
            </w:r>
          </w:p>
        </w:tc>
        <w:tc>
          <w:tcPr>
            <w:tcW w:w="1260" w:type="dxa"/>
            <w:tcBorders>
              <w:top w:val="nil"/>
              <w:left w:val="nil"/>
              <w:bottom w:val="nil"/>
              <w:right w:val="nil"/>
            </w:tcBorders>
            <w:shd w:val="clear" w:color="auto" w:fill="auto"/>
            <w:vAlign w:val="bottom"/>
          </w:tcPr>
          <w:p w14:paraId="046152C0" w14:textId="77777777" w:rsidR="004E07CA" w:rsidRPr="000B3397" w:rsidRDefault="004E07CA" w:rsidP="00E4192B">
            <w:pPr>
              <w:spacing w:after="0" w:line="240" w:lineRule="auto"/>
              <w:ind w:left="-31"/>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11,238.3286 </w:t>
            </w:r>
          </w:p>
        </w:tc>
        <w:tc>
          <w:tcPr>
            <w:tcW w:w="1303" w:type="dxa"/>
            <w:tcBorders>
              <w:top w:val="nil"/>
              <w:left w:val="nil"/>
              <w:bottom w:val="nil"/>
              <w:right w:val="nil"/>
            </w:tcBorders>
            <w:shd w:val="clear" w:color="auto" w:fill="auto"/>
            <w:vAlign w:val="bottom"/>
          </w:tcPr>
          <w:p w14:paraId="24B04088"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2,360,049 </w:t>
            </w:r>
          </w:p>
        </w:tc>
      </w:tr>
      <w:tr w:rsidR="004E07CA" w:rsidRPr="000B3397" w14:paraId="35041263" w14:textId="77777777" w:rsidTr="00AF7DBF">
        <w:trPr>
          <w:trHeight w:val="20"/>
        </w:trPr>
        <w:tc>
          <w:tcPr>
            <w:tcW w:w="2454" w:type="dxa"/>
            <w:tcBorders>
              <w:top w:val="nil"/>
              <w:left w:val="nil"/>
              <w:bottom w:val="nil"/>
              <w:right w:val="nil"/>
            </w:tcBorders>
            <w:shd w:val="clear" w:color="auto" w:fill="auto"/>
            <w:vAlign w:val="center"/>
          </w:tcPr>
          <w:p w14:paraId="0E3A435A" w14:textId="77777777" w:rsidR="004E07CA" w:rsidRPr="000B3397" w:rsidRDefault="004E07CA" w:rsidP="00AF7DBF">
            <w:pPr>
              <w:spacing w:after="0" w:line="240" w:lineRule="auto"/>
              <w:ind w:left="216" w:hanging="216"/>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Eastridge Golf Course and Subdivision II</w:t>
            </w:r>
          </w:p>
        </w:tc>
        <w:tc>
          <w:tcPr>
            <w:tcW w:w="1080" w:type="dxa"/>
            <w:gridSpan w:val="3"/>
            <w:tcBorders>
              <w:top w:val="nil"/>
              <w:left w:val="nil"/>
              <w:bottom w:val="nil"/>
              <w:right w:val="nil"/>
            </w:tcBorders>
            <w:shd w:val="clear" w:color="auto" w:fill="auto"/>
            <w:vAlign w:val="bottom"/>
          </w:tcPr>
          <w:p w14:paraId="6C36946E"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499,428 </w:t>
            </w:r>
          </w:p>
        </w:tc>
        <w:tc>
          <w:tcPr>
            <w:tcW w:w="1260" w:type="dxa"/>
            <w:tcBorders>
              <w:top w:val="nil"/>
              <w:left w:val="nil"/>
              <w:bottom w:val="nil"/>
              <w:right w:val="nil"/>
            </w:tcBorders>
            <w:shd w:val="clear" w:color="auto" w:fill="auto"/>
            <w:vAlign w:val="bottom"/>
          </w:tcPr>
          <w:p w14:paraId="04E93DC5"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488,956 </w:t>
            </w:r>
          </w:p>
        </w:tc>
        <w:tc>
          <w:tcPr>
            <w:tcW w:w="1080" w:type="dxa"/>
            <w:tcBorders>
              <w:top w:val="nil"/>
              <w:left w:val="nil"/>
              <w:bottom w:val="nil"/>
              <w:right w:val="nil"/>
            </w:tcBorders>
            <w:shd w:val="clear" w:color="auto" w:fill="auto"/>
            <w:vAlign w:val="bottom"/>
          </w:tcPr>
          <w:p w14:paraId="02F36126"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10,472 </w:t>
            </w:r>
          </w:p>
        </w:tc>
        <w:tc>
          <w:tcPr>
            <w:tcW w:w="1260" w:type="dxa"/>
            <w:tcBorders>
              <w:top w:val="nil"/>
              <w:left w:val="nil"/>
              <w:bottom w:val="nil"/>
              <w:right w:val="nil"/>
            </w:tcBorders>
            <w:shd w:val="clear" w:color="auto" w:fill="auto"/>
            <w:vAlign w:val="bottom"/>
          </w:tcPr>
          <w:p w14:paraId="4DE29338"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209.4500 </w:t>
            </w:r>
          </w:p>
        </w:tc>
        <w:tc>
          <w:tcPr>
            <w:tcW w:w="1303" w:type="dxa"/>
            <w:tcBorders>
              <w:top w:val="nil"/>
              <w:left w:val="nil"/>
              <w:bottom w:val="nil"/>
              <w:right w:val="nil"/>
            </w:tcBorders>
            <w:shd w:val="clear" w:color="auto" w:fill="auto"/>
            <w:vAlign w:val="bottom"/>
          </w:tcPr>
          <w:p w14:paraId="0836AFD4" w14:textId="77777777" w:rsidR="004E07CA" w:rsidRPr="000B3397" w:rsidRDefault="004E07CA" w:rsidP="00E4192B">
            <w:pPr>
              <w:spacing w:after="0" w:line="240" w:lineRule="auto"/>
              <w:jc w:val="right"/>
              <w:rPr>
                <w:rFonts w:ascii="Arial" w:eastAsia="Times New Roman" w:hAnsi="Arial" w:cs="Arial"/>
                <w:color w:val="000000"/>
                <w:sz w:val="18"/>
                <w:szCs w:val="16"/>
                <w:lang w:eastAsia="en-PH"/>
              </w:rPr>
            </w:pPr>
            <w:r w:rsidRPr="00530B21">
              <w:rPr>
                <w:rFonts w:ascii="Arial" w:eastAsia="Times New Roman" w:hAnsi="Arial" w:cs="Arial"/>
                <w:color w:val="000000"/>
                <w:sz w:val="18"/>
                <w:szCs w:val="16"/>
                <w:lang w:eastAsia="en-PH"/>
              </w:rPr>
              <w:t xml:space="preserve">  2,193,360 </w:t>
            </w:r>
          </w:p>
        </w:tc>
      </w:tr>
      <w:tr w:rsidR="004E07CA" w:rsidRPr="00663D1C" w14:paraId="6013FD09" w14:textId="77777777" w:rsidTr="00AF7DBF">
        <w:trPr>
          <w:trHeight w:val="20"/>
        </w:trPr>
        <w:tc>
          <w:tcPr>
            <w:tcW w:w="2454" w:type="dxa"/>
            <w:tcBorders>
              <w:top w:val="nil"/>
              <w:left w:val="nil"/>
              <w:right w:val="nil"/>
            </w:tcBorders>
            <w:shd w:val="clear" w:color="auto" w:fill="auto"/>
            <w:vAlign w:val="center"/>
          </w:tcPr>
          <w:p w14:paraId="7842268B"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San Lorenzo</w:t>
            </w:r>
          </w:p>
        </w:tc>
        <w:tc>
          <w:tcPr>
            <w:tcW w:w="1080" w:type="dxa"/>
            <w:gridSpan w:val="3"/>
            <w:tcBorders>
              <w:top w:val="nil"/>
              <w:left w:val="nil"/>
              <w:right w:val="nil"/>
            </w:tcBorders>
            <w:shd w:val="clear" w:color="auto" w:fill="auto"/>
            <w:vAlign w:val="bottom"/>
          </w:tcPr>
          <w:p w14:paraId="1CCDA6BF"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435,727 </w:t>
            </w:r>
          </w:p>
        </w:tc>
        <w:tc>
          <w:tcPr>
            <w:tcW w:w="1260" w:type="dxa"/>
            <w:tcBorders>
              <w:top w:val="nil"/>
              <w:left w:val="nil"/>
              <w:right w:val="nil"/>
            </w:tcBorders>
            <w:shd w:val="clear" w:color="auto" w:fill="auto"/>
            <w:vAlign w:val="bottom"/>
          </w:tcPr>
          <w:p w14:paraId="1882B7CB"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435,296 </w:t>
            </w:r>
          </w:p>
        </w:tc>
        <w:tc>
          <w:tcPr>
            <w:tcW w:w="1080" w:type="dxa"/>
            <w:tcBorders>
              <w:top w:val="nil"/>
              <w:left w:val="nil"/>
              <w:right w:val="nil"/>
            </w:tcBorders>
            <w:shd w:val="clear" w:color="auto" w:fill="auto"/>
            <w:vAlign w:val="bottom"/>
          </w:tcPr>
          <w:p w14:paraId="69D1A862"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431 </w:t>
            </w:r>
          </w:p>
        </w:tc>
        <w:tc>
          <w:tcPr>
            <w:tcW w:w="1260" w:type="dxa"/>
            <w:tcBorders>
              <w:top w:val="nil"/>
              <w:left w:val="nil"/>
              <w:right w:val="nil"/>
            </w:tcBorders>
            <w:shd w:val="clear" w:color="auto" w:fill="auto"/>
            <w:vAlign w:val="bottom"/>
          </w:tcPr>
          <w:p w14:paraId="2B3595F0"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545.9095 </w:t>
            </w:r>
          </w:p>
        </w:tc>
        <w:tc>
          <w:tcPr>
            <w:tcW w:w="1303" w:type="dxa"/>
            <w:tcBorders>
              <w:top w:val="nil"/>
              <w:left w:val="nil"/>
              <w:right w:val="nil"/>
            </w:tcBorders>
            <w:shd w:val="clear" w:color="auto" w:fill="auto"/>
            <w:vAlign w:val="bottom"/>
          </w:tcPr>
          <w:p w14:paraId="41C5E5F7"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235,287 </w:t>
            </w:r>
          </w:p>
        </w:tc>
      </w:tr>
      <w:tr w:rsidR="004E07CA" w:rsidRPr="00663D1C" w14:paraId="69767E04" w14:textId="77777777" w:rsidTr="00AF7DBF">
        <w:trPr>
          <w:trHeight w:val="20"/>
        </w:trPr>
        <w:tc>
          <w:tcPr>
            <w:tcW w:w="2454" w:type="dxa"/>
            <w:tcBorders>
              <w:left w:val="nil"/>
              <w:bottom w:val="nil"/>
              <w:right w:val="nil"/>
            </w:tcBorders>
            <w:shd w:val="clear" w:color="auto" w:fill="auto"/>
            <w:vAlign w:val="center"/>
          </w:tcPr>
          <w:p w14:paraId="79DF26F8" w14:textId="77777777" w:rsidR="004E07CA" w:rsidRPr="00530B21" w:rsidRDefault="004E07CA" w:rsidP="00AF7DBF">
            <w:pPr>
              <w:spacing w:after="0" w:line="240" w:lineRule="auto"/>
              <w:ind w:left="216" w:hanging="216"/>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Green Meadows Iloilo (Phase 1)</w:t>
            </w:r>
          </w:p>
        </w:tc>
        <w:tc>
          <w:tcPr>
            <w:tcW w:w="1080" w:type="dxa"/>
            <w:gridSpan w:val="3"/>
            <w:tcBorders>
              <w:left w:val="nil"/>
              <w:bottom w:val="nil"/>
              <w:right w:val="nil"/>
            </w:tcBorders>
            <w:shd w:val="clear" w:color="auto" w:fill="auto"/>
            <w:vAlign w:val="bottom"/>
          </w:tcPr>
          <w:p w14:paraId="00E6FD18"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12,424 </w:t>
            </w:r>
          </w:p>
        </w:tc>
        <w:tc>
          <w:tcPr>
            <w:tcW w:w="1260" w:type="dxa"/>
            <w:tcBorders>
              <w:left w:val="nil"/>
              <w:bottom w:val="nil"/>
              <w:right w:val="nil"/>
            </w:tcBorders>
            <w:shd w:val="clear" w:color="auto" w:fill="auto"/>
            <w:vAlign w:val="bottom"/>
          </w:tcPr>
          <w:p w14:paraId="38884514"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146,801 </w:t>
            </w:r>
          </w:p>
        </w:tc>
        <w:tc>
          <w:tcPr>
            <w:tcW w:w="1080" w:type="dxa"/>
            <w:tcBorders>
              <w:left w:val="nil"/>
              <w:bottom w:val="nil"/>
              <w:right w:val="nil"/>
            </w:tcBorders>
            <w:shd w:val="clear" w:color="auto" w:fill="auto"/>
            <w:vAlign w:val="bottom"/>
          </w:tcPr>
          <w:p w14:paraId="5ECEF56B" w14:textId="77777777" w:rsidR="004E07CA" w:rsidRPr="00530B21" w:rsidRDefault="004E07CA" w:rsidP="00E4192B">
            <w:pPr>
              <w:spacing w:after="0" w:line="240" w:lineRule="auto"/>
              <w:ind w:right="-58"/>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(134,377)</w:t>
            </w:r>
          </w:p>
        </w:tc>
        <w:tc>
          <w:tcPr>
            <w:tcW w:w="1260" w:type="dxa"/>
            <w:tcBorders>
              <w:left w:val="nil"/>
              <w:bottom w:val="nil"/>
              <w:right w:val="nil"/>
            </w:tcBorders>
            <w:shd w:val="clear" w:color="auto" w:fill="auto"/>
            <w:vAlign w:val="bottom"/>
          </w:tcPr>
          <w:p w14:paraId="44A9F76B"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1,421.5700 </w:t>
            </w:r>
          </w:p>
        </w:tc>
        <w:tc>
          <w:tcPr>
            <w:tcW w:w="1303" w:type="dxa"/>
            <w:tcBorders>
              <w:left w:val="nil"/>
              <w:bottom w:val="nil"/>
              <w:right w:val="nil"/>
            </w:tcBorders>
            <w:shd w:val="clear" w:color="auto" w:fill="auto"/>
            <w:vAlign w:val="bottom"/>
          </w:tcPr>
          <w:p w14:paraId="47858CC7" w14:textId="77777777" w:rsidR="004E07CA" w:rsidRPr="00530B21" w:rsidRDefault="004E07CA" w:rsidP="00E4192B">
            <w:pPr>
              <w:spacing w:after="0" w:line="240" w:lineRule="auto"/>
              <w:ind w:right="-58"/>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xml:space="preserve"> (191,026,312)</w:t>
            </w:r>
          </w:p>
        </w:tc>
      </w:tr>
      <w:tr w:rsidR="004E07CA" w:rsidRPr="00663D1C" w14:paraId="76EBD3D2" w14:textId="77777777" w:rsidTr="00AF7DBF">
        <w:trPr>
          <w:trHeight w:val="288"/>
        </w:trPr>
        <w:tc>
          <w:tcPr>
            <w:tcW w:w="2454" w:type="dxa"/>
            <w:tcBorders>
              <w:top w:val="single" w:sz="4" w:space="0" w:color="auto"/>
              <w:left w:val="nil"/>
              <w:bottom w:val="double" w:sz="4" w:space="0" w:color="auto"/>
              <w:right w:val="nil"/>
            </w:tcBorders>
            <w:shd w:val="clear" w:color="auto" w:fill="auto"/>
            <w:vAlign w:val="center"/>
          </w:tcPr>
          <w:p w14:paraId="01CD437D" w14:textId="77777777" w:rsidR="004E07CA" w:rsidRPr="00530B21" w:rsidRDefault="004E07CA" w:rsidP="00E4192B">
            <w:pPr>
              <w:spacing w:after="0" w:line="240" w:lineRule="auto"/>
              <w:jc w:val="both"/>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eastAsia="en-PH"/>
              </w:rPr>
              <w:t>Total</w:t>
            </w:r>
          </w:p>
        </w:tc>
        <w:tc>
          <w:tcPr>
            <w:tcW w:w="1080" w:type="dxa"/>
            <w:gridSpan w:val="3"/>
            <w:tcBorders>
              <w:top w:val="single" w:sz="4" w:space="0" w:color="auto"/>
              <w:left w:val="nil"/>
              <w:bottom w:val="double" w:sz="4" w:space="0" w:color="auto"/>
              <w:right w:val="nil"/>
            </w:tcBorders>
            <w:shd w:val="clear" w:color="auto" w:fill="auto"/>
            <w:vAlign w:val="center"/>
          </w:tcPr>
          <w:p w14:paraId="3AA2B255" w14:textId="77777777" w:rsidR="004E07CA" w:rsidRPr="00530B21" w:rsidRDefault="004E07CA" w:rsidP="00E4192B">
            <w:pPr>
              <w:spacing w:after="0" w:line="240" w:lineRule="auto"/>
              <w:jc w:val="right"/>
              <w:rPr>
                <w:rFonts w:ascii="Arial" w:eastAsia="Times New Roman" w:hAnsi="Arial" w:cs="Arial"/>
                <w:b/>
                <w:color w:val="000000"/>
                <w:sz w:val="18"/>
                <w:szCs w:val="16"/>
                <w:lang w:val="en-PH" w:eastAsia="en-PH"/>
              </w:rPr>
            </w:pPr>
            <w:r w:rsidRPr="00530B21">
              <w:rPr>
                <w:rFonts w:ascii="Arial" w:eastAsia="Times New Roman" w:hAnsi="Arial" w:cs="Arial"/>
                <w:b/>
                <w:color w:val="000000"/>
                <w:sz w:val="18"/>
                <w:szCs w:val="16"/>
                <w:lang w:val="en-PH" w:eastAsia="en-PH"/>
              </w:rPr>
              <w:t>3,894,645</w:t>
            </w:r>
          </w:p>
        </w:tc>
        <w:tc>
          <w:tcPr>
            <w:tcW w:w="1260" w:type="dxa"/>
            <w:tcBorders>
              <w:top w:val="single" w:sz="4" w:space="0" w:color="auto"/>
              <w:left w:val="nil"/>
              <w:bottom w:val="double" w:sz="4" w:space="0" w:color="auto"/>
              <w:right w:val="nil"/>
            </w:tcBorders>
            <w:shd w:val="clear" w:color="auto" w:fill="auto"/>
            <w:vAlign w:val="center"/>
          </w:tcPr>
          <w:p w14:paraId="0EA028E5" w14:textId="77777777" w:rsidR="004E07CA" w:rsidRPr="00530B21" w:rsidRDefault="004E07CA" w:rsidP="00E4192B">
            <w:pPr>
              <w:spacing w:after="0" w:line="240" w:lineRule="auto"/>
              <w:jc w:val="right"/>
              <w:rPr>
                <w:rFonts w:ascii="Arial" w:eastAsia="Times New Roman" w:hAnsi="Arial" w:cs="Arial"/>
                <w:b/>
                <w:color w:val="000000"/>
                <w:sz w:val="18"/>
                <w:szCs w:val="16"/>
                <w:lang w:val="en-PH" w:eastAsia="en-PH"/>
              </w:rPr>
            </w:pPr>
            <w:r w:rsidRPr="00530B21">
              <w:rPr>
                <w:rFonts w:ascii="Arial" w:eastAsia="Times New Roman" w:hAnsi="Arial" w:cs="Arial"/>
                <w:b/>
                <w:color w:val="000000"/>
                <w:sz w:val="18"/>
                <w:szCs w:val="16"/>
                <w:lang w:val="en-PH" w:eastAsia="en-PH"/>
              </w:rPr>
              <w:t>3,748,635</w:t>
            </w:r>
          </w:p>
        </w:tc>
        <w:tc>
          <w:tcPr>
            <w:tcW w:w="1080" w:type="dxa"/>
            <w:tcBorders>
              <w:top w:val="single" w:sz="4" w:space="0" w:color="auto"/>
              <w:left w:val="nil"/>
              <w:bottom w:val="double" w:sz="4" w:space="0" w:color="auto"/>
              <w:right w:val="nil"/>
            </w:tcBorders>
            <w:shd w:val="clear" w:color="auto" w:fill="auto"/>
            <w:vAlign w:val="center"/>
          </w:tcPr>
          <w:p w14:paraId="314DA4A5" w14:textId="77777777" w:rsidR="004E07CA" w:rsidRPr="00530B21" w:rsidRDefault="004E07CA" w:rsidP="00E4192B">
            <w:pPr>
              <w:spacing w:after="0" w:line="240" w:lineRule="auto"/>
              <w:jc w:val="right"/>
              <w:rPr>
                <w:rFonts w:ascii="Arial" w:eastAsia="Times New Roman" w:hAnsi="Arial" w:cs="Arial"/>
                <w:b/>
                <w:color w:val="000000"/>
                <w:sz w:val="18"/>
                <w:szCs w:val="16"/>
                <w:lang w:val="en-PH" w:eastAsia="en-PH"/>
              </w:rPr>
            </w:pPr>
            <w:r w:rsidRPr="00530B21">
              <w:rPr>
                <w:rFonts w:ascii="Arial" w:eastAsia="Times New Roman" w:hAnsi="Arial" w:cs="Arial"/>
                <w:b/>
                <w:color w:val="000000"/>
                <w:sz w:val="18"/>
                <w:szCs w:val="16"/>
                <w:lang w:val="en-PH" w:eastAsia="en-PH"/>
              </w:rPr>
              <w:t>146,010</w:t>
            </w:r>
          </w:p>
        </w:tc>
        <w:tc>
          <w:tcPr>
            <w:tcW w:w="1260" w:type="dxa"/>
            <w:tcBorders>
              <w:top w:val="single" w:sz="4" w:space="0" w:color="auto"/>
              <w:left w:val="nil"/>
              <w:bottom w:val="double" w:sz="4" w:space="0" w:color="auto"/>
              <w:right w:val="nil"/>
            </w:tcBorders>
            <w:shd w:val="clear" w:color="auto" w:fill="auto"/>
            <w:vAlign w:val="center"/>
          </w:tcPr>
          <w:p w14:paraId="0AB2246A" w14:textId="77777777" w:rsidR="004E07CA" w:rsidRPr="00530B21" w:rsidRDefault="004E07CA" w:rsidP="00E4192B">
            <w:pPr>
              <w:spacing w:after="0" w:line="240" w:lineRule="auto"/>
              <w:jc w:val="right"/>
              <w:rPr>
                <w:rFonts w:ascii="Arial" w:eastAsia="Times New Roman" w:hAnsi="Arial" w:cs="Arial"/>
                <w:color w:val="000000"/>
                <w:sz w:val="18"/>
                <w:szCs w:val="16"/>
                <w:lang w:val="en-PH" w:eastAsia="en-PH"/>
              </w:rPr>
            </w:pPr>
            <w:r w:rsidRPr="00530B21">
              <w:rPr>
                <w:rFonts w:ascii="Arial" w:eastAsia="Times New Roman" w:hAnsi="Arial" w:cs="Arial"/>
                <w:color w:val="000000"/>
                <w:sz w:val="18"/>
                <w:szCs w:val="16"/>
                <w:lang w:eastAsia="en-PH"/>
              </w:rPr>
              <w:t> </w:t>
            </w:r>
          </w:p>
        </w:tc>
        <w:tc>
          <w:tcPr>
            <w:tcW w:w="1303" w:type="dxa"/>
            <w:tcBorders>
              <w:top w:val="single" w:sz="4" w:space="0" w:color="auto"/>
              <w:left w:val="nil"/>
              <w:bottom w:val="double" w:sz="4" w:space="0" w:color="auto"/>
              <w:right w:val="nil"/>
            </w:tcBorders>
            <w:shd w:val="clear" w:color="auto" w:fill="auto"/>
            <w:vAlign w:val="center"/>
          </w:tcPr>
          <w:p w14:paraId="6F2B9B25" w14:textId="77777777" w:rsidR="004E07CA" w:rsidRPr="00530B21" w:rsidRDefault="004E07CA" w:rsidP="00E4192B">
            <w:pPr>
              <w:spacing w:after="0" w:line="240" w:lineRule="auto"/>
              <w:ind w:left="-114" w:right="17"/>
              <w:jc w:val="right"/>
              <w:rPr>
                <w:rFonts w:ascii="Arial" w:eastAsia="Times New Roman" w:hAnsi="Arial" w:cs="Arial"/>
                <w:b/>
                <w:bCs/>
                <w:color w:val="000000"/>
                <w:sz w:val="18"/>
                <w:szCs w:val="16"/>
                <w:lang w:val="en-PH" w:eastAsia="en-PH"/>
              </w:rPr>
            </w:pPr>
            <w:r w:rsidRPr="00530B21">
              <w:rPr>
                <w:rFonts w:ascii="Arial" w:eastAsia="Times New Roman" w:hAnsi="Arial" w:cs="Arial"/>
                <w:b/>
                <w:bCs/>
                <w:color w:val="000000"/>
                <w:sz w:val="18"/>
                <w:szCs w:val="16"/>
                <w:lang w:eastAsia="en-PH"/>
              </w:rPr>
              <w:t>P   84,441,870</w:t>
            </w:r>
          </w:p>
        </w:tc>
      </w:tr>
    </w:tbl>
    <w:p w14:paraId="502A2962" w14:textId="77777777" w:rsidR="004E07CA" w:rsidRPr="00485272" w:rsidRDefault="004E07CA" w:rsidP="004E07CA">
      <w:pPr>
        <w:spacing w:after="0" w:line="240" w:lineRule="auto"/>
        <w:ind w:firstLine="720"/>
        <w:jc w:val="both"/>
        <w:rPr>
          <w:rFonts w:ascii="Arial" w:hAnsi="Arial" w:cs="Arial"/>
        </w:rPr>
      </w:pPr>
    </w:p>
    <w:p w14:paraId="7C826572" w14:textId="77777777"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 xml:space="preserve">Audit of the account revealed that the department responsible in the presentation of the account in the FS only maintains a schedule showing the aggregate total area per project which is updated only by adding or deducting new acquisitions or disposals of assets.  No itemized and detailed list is being maintained which could be a factor for the result of variances. </w:t>
      </w:r>
    </w:p>
    <w:p w14:paraId="4E140DDE" w14:textId="77777777"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lastRenderedPageBreak/>
        <w:t xml:space="preserve">While we appreciate Management’s action of reconciling the variance noted, the remaining variance is still significant, thus, the accuracy of the Management’s records could not be ascertained unless the unresolved issues are fully clarified, justified, and adjusted accordingly in their books. </w:t>
      </w:r>
    </w:p>
    <w:p w14:paraId="7264D337" w14:textId="77777777" w:rsidR="004E07CA" w:rsidRPr="00485272" w:rsidRDefault="004E07CA" w:rsidP="004E07CA">
      <w:pPr>
        <w:pStyle w:val="NoSpacing"/>
        <w:jc w:val="both"/>
        <w:rPr>
          <w:rFonts w:ascii="Arial" w:hAnsi="Arial" w:cs="Arial"/>
          <w:i/>
        </w:rPr>
      </w:pPr>
    </w:p>
    <w:p w14:paraId="2107CF75" w14:textId="77777777" w:rsidR="004E07CA" w:rsidRPr="00485272" w:rsidRDefault="004E07CA" w:rsidP="004E07CA">
      <w:pPr>
        <w:pStyle w:val="NormalWeb"/>
        <w:spacing w:before="0" w:beforeAutospacing="0" w:after="0" w:afterAutospacing="0"/>
        <w:ind w:left="576"/>
        <w:jc w:val="both"/>
        <w:rPr>
          <w:rFonts w:ascii="Arial" w:hAnsi="Arial" w:cs="Arial"/>
          <w:bCs/>
          <w:i/>
          <w:sz w:val="22"/>
          <w:szCs w:val="22"/>
        </w:rPr>
      </w:pPr>
      <w:r w:rsidRPr="00485272">
        <w:rPr>
          <w:rFonts w:ascii="Arial" w:hAnsi="Arial" w:cs="Arial"/>
          <w:bCs/>
          <w:i/>
          <w:sz w:val="22"/>
          <w:szCs w:val="22"/>
        </w:rPr>
        <w:t>Unrecorded seven (7) projects/properties consisting of 120 TCTs in the books of the AFPRSBS</w:t>
      </w:r>
    </w:p>
    <w:p w14:paraId="43AE7353" w14:textId="77777777" w:rsidR="004E07CA" w:rsidRPr="00485272" w:rsidRDefault="004E07CA" w:rsidP="004E07CA">
      <w:pPr>
        <w:pStyle w:val="NoSpacing"/>
        <w:jc w:val="both"/>
        <w:rPr>
          <w:rFonts w:ascii="Arial" w:hAnsi="Arial" w:cs="Arial"/>
        </w:rPr>
      </w:pPr>
    </w:p>
    <w:p w14:paraId="168B1D5B" w14:textId="3FC613D0" w:rsidR="004E07CA" w:rsidRPr="00485272" w:rsidRDefault="004E07CA" w:rsidP="00BB0337">
      <w:pPr>
        <w:pStyle w:val="ListParagraph"/>
        <w:numPr>
          <w:ilvl w:val="1"/>
          <w:numId w:val="3"/>
        </w:numPr>
        <w:ind w:left="1267" w:hanging="691"/>
        <w:jc w:val="both"/>
        <w:rPr>
          <w:rFonts w:ascii="Arial" w:hAnsi="Arial" w:cs="Arial"/>
          <w:sz w:val="22"/>
          <w:szCs w:val="22"/>
        </w:rPr>
      </w:pPr>
      <w:r w:rsidRPr="00485272">
        <w:rPr>
          <w:rFonts w:ascii="Arial" w:hAnsi="Arial" w:cs="Arial"/>
          <w:sz w:val="22"/>
          <w:szCs w:val="22"/>
        </w:rPr>
        <w:t>As disclosed in the PYs’ AARs, out of the 62 land development projects for real estate and acquired assets, there are still seven projects/properties consisting of 120 TCTs which are still not recorded in the books as at December 31, 2022, as presented in Tab</w:t>
      </w:r>
      <w:r w:rsidR="00E4192B" w:rsidRPr="00485272">
        <w:rPr>
          <w:rFonts w:ascii="Arial" w:hAnsi="Arial" w:cs="Arial"/>
          <w:sz w:val="22"/>
          <w:szCs w:val="22"/>
        </w:rPr>
        <w:t>le 5</w:t>
      </w:r>
      <w:r w:rsidRPr="00485272">
        <w:rPr>
          <w:rFonts w:ascii="Arial" w:hAnsi="Arial" w:cs="Arial"/>
          <w:sz w:val="22"/>
          <w:szCs w:val="22"/>
        </w:rPr>
        <w:t>.5.  Management commented that there was no reconciliation made during the year and the said projects are still for further review and evaluation.</w:t>
      </w:r>
    </w:p>
    <w:p w14:paraId="410D1BA9" w14:textId="1029ABF8" w:rsidR="009E5EF9" w:rsidRPr="00485272" w:rsidRDefault="009E5EF9" w:rsidP="004E07CA">
      <w:pPr>
        <w:pStyle w:val="NoSpacing"/>
        <w:jc w:val="center"/>
        <w:rPr>
          <w:rFonts w:ascii="Arial" w:hAnsi="Arial" w:cs="Arial"/>
          <w:b/>
        </w:rPr>
      </w:pPr>
    </w:p>
    <w:p w14:paraId="6B74AA43" w14:textId="012651B1" w:rsidR="004E07CA" w:rsidRPr="00485272" w:rsidRDefault="004E07CA" w:rsidP="00485272">
      <w:pPr>
        <w:spacing w:after="0" w:line="240" w:lineRule="auto"/>
        <w:ind w:left="720" w:firstLine="540"/>
        <w:jc w:val="center"/>
        <w:rPr>
          <w:rFonts w:ascii="Arial" w:hAnsi="Arial" w:cs="Arial"/>
          <w:b/>
        </w:rPr>
      </w:pPr>
      <w:r w:rsidRPr="00485272">
        <w:rPr>
          <w:rFonts w:ascii="Arial" w:hAnsi="Arial" w:cs="Arial"/>
          <w:b/>
        </w:rPr>
        <w:t xml:space="preserve">Table </w:t>
      </w:r>
      <w:r w:rsidR="00E4192B" w:rsidRPr="00485272">
        <w:rPr>
          <w:rFonts w:ascii="Arial" w:hAnsi="Arial" w:cs="Arial"/>
          <w:b/>
        </w:rPr>
        <w:t>5</w:t>
      </w:r>
      <w:r w:rsidRPr="00485272">
        <w:rPr>
          <w:rFonts w:ascii="Arial" w:hAnsi="Arial" w:cs="Arial"/>
          <w:b/>
        </w:rPr>
        <w:t>.5 – Summary of Seven Unrecorded Projects/Properties</w:t>
      </w:r>
    </w:p>
    <w:p w14:paraId="75B4B22A" w14:textId="77777777" w:rsidR="004E07CA" w:rsidRPr="00485272" w:rsidRDefault="004E07CA" w:rsidP="00485272">
      <w:pPr>
        <w:spacing w:after="0" w:line="240" w:lineRule="auto"/>
        <w:ind w:left="720" w:firstLine="540"/>
        <w:jc w:val="center"/>
        <w:rPr>
          <w:rFonts w:ascii="Arial" w:hAnsi="Arial" w:cs="Arial"/>
          <w:b/>
        </w:rPr>
      </w:pPr>
      <w:r w:rsidRPr="00485272">
        <w:rPr>
          <w:rFonts w:ascii="Arial" w:hAnsi="Arial" w:cs="Arial"/>
          <w:b/>
        </w:rPr>
        <w:t>As at December 31, 2022</w:t>
      </w:r>
    </w:p>
    <w:p w14:paraId="3023EFC4" w14:textId="77777777" w:rsidR="004E07CA" w:rsidRPr="00485272" w:rsidRDefault="004E07CA" w:rsidP="004E07CA">
      <w:pPr>
        <w:pStyle w:val="NoSpacing"/>
        <w:jc w:val="center"/>
        <w:rPr>
          <w:rFonts w:ascii="Arial" w:hAnsi="Arial" w:cs="Arial"/>
          <w:b/>
        </w:rPr>
      </w:pPr>
    </w:p>
    <w:tbl>
      <w:tblPr>
        <w:tblW w:w="7408" w:type="dxa"/>
        <w:tblInd w:w="1260" w:type="dxa"/>
        <w:tblLook w:val="04A0" w:firstRow="1" w:lastRow="0" w:firstColumn="1" w:lastColumn="0" w:noHBand="0" w:noVBand="1"/>
      </w:tblPr>
      <w:tblGrid>
        <w:gridCol w:w="339"/>
        <w:gridCol w:w="3459"/>
        <w:gridCol w:w="1134"/>
        <w:gridCol w:w="1326"/>
        <w:gridCol w:w="1150"/>
      </w:tblGrid>
      <w:tr w:rsidR="004E07CA" w14:paraId="07EEA983" w14:textId="77777777" w:rsidTr="00E4192B">
        <w:trPr>
          <w:trHeight w:val="253"/>
          <w:tblHeader/>
        </w:trPr>
        <w:tc>
          <w:tcPr>
            <w:tcW w:w="339" w:type="dxa"/>
            <w:tcBorders>
              <w:top w:val="single" w:sz="4" w:space="0" w:color="auto"/>
            </w:tcBorders>
            <w:shd w:val="clear" w:color="auto" w:fill="auto"/>
          </w:tcPr>
          <w:p w14:paraId="6DB20B71" w14:textId="77777777" w:rsidR="004E07CA" w:rsidRDefault="004E07CA" w:rsidP="00E4192B">
            <w:pPr>
              <w:tabs>
                <w:tab w:val="left" w:pos="1440"/>
              </w:tabs>
              <w:spacing w:after="0" w:line="240" w:lineRule="auto"/>
              <w:jc w:val="both"/>
              <w:rPr>
                <w:rFonts w:ascii="Arial" w:hAnsi="Arial" w:cs="Arial"/>
                <w:b/>
              </w:rPr>
            </w:pPr>
          </w:p>
        </w:tc>
        <w:tc>
          <w:tcPr>
            <w:tcW w:w="3459" w:type="dxa"/>
            <w:vMerge w:val="restart"/>
            <w:tcBorders>
              <w:top w:val="single" w:sz="4" w:space="0" w:color="auto"/>
            </w:tcBorders>
            <w:shd w:val="clear" w:color="auto" w:fill="auto"/>
            <w:vAlign w:val="center"/>
          </w:tcPr>
          <w:p w14:paraId="626DD4B3" w14:textId="77777777" w:rsidR="004E07CA" w:rsidRDefault="004E07CA" w:rsidP="00E4192B">
            <w:pPr>
              <w:spacing w:after="0" w:line="240" w:lineRule="auto"/>
              <w:jc w:val="center"/>
              <w:rPr>
                <w:rFonts w:ascii="Arial" w:hAnsi="Arial" w:cs="Arial"/>
                <w:b/>
              </w:rPr>
            </w:pPr>
            <w:r>
              <w:rPr>
                <w:rFonts w:ascii="Arial" w:hAnsi="Arial" w:cs="Arial"/>
                <w:b/>
              </w:rPr>
              <w:t xml:space="preserve">Project </w:t>
            </w:r>
          </w:p>
        </w:tc>
        <w:tc>
          <w:tcPr>
            <w:tcW w:w="1134" w:type="dxa"/>
            <w:tcBorders>
              <w:top w:val="single" w:sz="4" w:space="0" w:color="auto"/>
            </w:tcBorders>
            <w:shd w:val="clear" w:color="auto" w:fill="auto"/>
          </w:tcPr>
          <w:p w14:paraId="2A85D189" w14:textId="77777777" w:rsidR="004E07CA" w:rsidRDefault="004E07CA" w:rsidP="00E4192B">
            <w:pPr>
              <w:tabs>
                <w:tab w:val="left" w:pos="1440"/>
              </w:tabs>
              <w:spacing w:after="0" w:line="240" w:lineRule="auto"/>
              <w:jc w:val="center"/>
              <w:rPr>
                <w:rFonts w:ascii="Arial" w:hAnsi="Arial" w:cs="Arial"/>
                <w:b/>
              </w:rPr>
            </w:pPr>
            <w:r>
              <w:rPr>
                <w:rFonts w:ascii="Arial" w:hAnsi="Arial" w:cs="Arial"/>
                <w:b/>
              </w:rPr>
              <w:t xml:space="preserve">No. of </w:t>
            </w:r>
          </w:p>
        </w:tc>
        <w:tc>
          <w:tcPr>
            <w:tcW w:w="2476" w:type="dxa"/>
            <w:gridSpan w:val="2"/>
            <w:tcBorders>
              <w:top w:val="single" w:sz="4" w:space="0" w:color="auto"/>
            </w:tcBorders>
            <w:shd w:val="clear" w:color="auto" w:fill="auto"/>
          </w:tcPr>
          <w:p w14:paraId="6AC44DEF" w14:textId="77777777" w:rsidR="004E07CA" w:rsidRDefault="004E07CA" w:rsidP="00E4192B">
            <w:pPr>
              <w:tabs>
                <w:tab w:val="left" w:pos="1440"/>
              </w:tabs>
              <w:spacing w:after="0" w:line="240" w:lineRule="auto"/>
              <w:jc w:val="center"/>
              <w:rPr>
                <w:rFonts w:ascii="Arial" w:hAnsi="Arial" w:cs="Arial"/>
                <w:b/>
              </w:rPr>
            </w:pPr>
            <w:r>
              <w:rPr>
                <w:rFonts w:ascii="Arial" w:hAnsi="Arial" w:cs="Arial"/>
                <w:b/>
              </w:rPr>
              <w:t>Registered owner</w:t>
            </w:r>
          </w:p>
        </w:tc>
      </w:tr>
      <w:tr w:rsidR="004E07CA" w14:paraId="1F25F2CE" w14:textId="77777777" w:rsidTr="00E4192B">
        <w:trPr>
          <w:trHeight w:val="266"/>
          <w:tblHeader/>
        </w:trPr>
        <w:tc>
          <w:tcPr>
            <w:tcW w:w="339" w:type="dxa"/>
            <w:tcBorders>
              <w:bottom w:val="single" w:sz="4" w:space="0" w:color="auto"/>
            </w:tcBorders>
            <w:shd w:val="clear" w:color="auto" w:fill="auto"/>
            <w:vAlign w:val="bottom"/>
          </w:tcPr>
          <w:p w14:paraId="69E9B86A" w14:textId="77777777" w:rsidR="004E07CA" w:rsidRDefault="004E07CA" w:rsidP="00E4192B">
            <w:pPr>
              <w:tabs>
                <w:tab w:val="left" w:pos="1290"/>
              </w:tabs>
              <w:spacing w:after="0" w:line="240" w:lineRule="auto"/>
              <w:jc w:val="right"/>
              <w:rPr>
                <w:rFonts w:ascii="Arial" w:hAnsi="Arial" w:cs="Arial"/>
                <w:b/>
              </w:rPr>
            </w:pPr>
          </w:p>
        </w:tc>
        <w:tc>
          <w:tcPr>
            <w:tcW w:w="3459" w:type="dxa"/>
            <w:vMerge/>
            <w:tcBorders>
              <w:bottom w:val="single" w:sz="4" w:space="0" w:color="auto"/>
            </w:tcBorders>
            <w:shd w:val="clear" w:color="auto" w:fill="auto"/>
          </w:tcPr>
          <w:p w14:paraId="4654B2B1" w14:textId="77777777" w:rsidR="004E07CA" w:rsidRDefault="004E07CA" w:rsidP="00E4192B">
            <w:pPr>
              <w:tabs>
                <w:tab w:val="left" w:pos="1440"/>
              </w:tabs>
              <w:spacing w:after="0" w:line="240" w:lineRule="auto"/>
              <w:rPr>
                <w:rFonts w:ascii="Arial" w:hAnsi="Arial" w:cs="Arial"/>
                <w:b/>
              </w:rPr>
            </w:pPr>
          </w:p>
        </w:tc>
        <w:tc>
          <w:tcPr>
            <w:tcW w:w="1134" w:type="dxa"/>
            <w:tcBorders>
              <w:bottom w:val="single" w:sz="4" w:space="0" w:color="auto"/>
            </w:tcBorders>
            <w:shd w:val="clear" w:color="auto" w:fill="auto"/>
          </w:tcPr>
          <w:p w14:paraId="3A5817A1" w14:textId="77777777" w:rsidR="004E07CA" w:rsidRDefault="004E07CA" w:rsidP="00E4192B">
            <w:pPr>
              <w:tabs>
                <w:tab w:val="left" w:pos="1440"/>
              </w:tabs>
              <w:spacing w:after="0" w:line="240" w:lineRule="auto"/>
              <w:jc w:val="center"/>
              <w:rPr>
                <w:rFonts w:ascii="Arial" w:hAnsi="Arial" w:cs="Arial"/>
                <w:b/>
              </w:rPr>
            </w:pPr>
            <w:r>
              <w:rPr>
                <w:rFonts w:ascii="Arial" w:hAnsi="Arial" w:cs="Arial"/>
                <w:b/>
              </w:rPr>
              <w:t>TCTs</w:t>
            </w:r>
          </w:p>
        </w:tc>
        <w:tc>
          <w:tcPr>
            <w:tcW w:w="1326" w:type="dxa"/>
            <w:tcBorders>
              <w:bottom w:val="single" w:sz="4" w:space="0" w:color="auto"/>
            </w:tcBorders>
            <w:shd w:val="clear" w:color="auto" w:fill="auto"/>
          </w:tcPr>
          <w:p w14:paraId="608F4178" w14:textId="77777777" w:rsidR="004E07CA" w:rsidRDefault="004E07CA" w:rsidP="00E4192B">
            <w:pPr>
              <w:tabs>
                <w:tab w:val="left" w:pos="1440"/>
              </w:tabs>
              <w:spacing w:after="0" w:line="240" w:lineRule="auto"/>
              <w:jc w:val="center"/>
              <w:rPr>
                <w:rFonts w:ascii="Arial" w:hAnsi="Arial" w:cs="Arial"/>
                <w:b/>
              </w:rPr>
            </w:pPr>
            <w:r>
              <w:rPr>
                <w:rFonts w:ascii="Arial" w:hAnsi="Arial" w:cs="Arial"/>
                <w:b/>
              </w:rPr>
              <w:t>AFPRSBS</w:t>
            </w:r>
          </w:p>
        </w:tc>
        <w:tc>
          <w:tcPr>
            <w:tcW w:w="1150" w:type="dxa"/>
            <w:tcBorders>
              <w:bottom w:val="single" w:sz="4" w:space="0" w:color="auto"/>
            </w:tcBorders>
            <w:shd w:val="clear" w:color="auto" w:fill="auto"/>
          </w:tcPr>
          <w:p w14:paraId="72CF8B75" w14:textId="77777777" w:rsidR="004E07CA" w:rsidRDefault="004E07CA" w:rsidP="00E4192B">
            <w:pPr>
              <w:tabs>
                <w:tab w:val="left" w:pos="1440"/>
              </w:tabs>
              <w:spacing w:after="0" w:line="240" w:lineRule="auto"/>
              <w:jc w:val="center"/>
              <w:rPr>
                <w:rFonts w:ascii="Arial" w:hAnsi="Arial" w:cs="Arial"/>
                <w:b/>
              </w:rPr>
            </w:pPr>
            <w:r>
              <w:rPr>
                <w:rFonts w:ascii="Arial" w:hAnsi="Arial" w:cs="Arial"/>
                <w:b/>
              </w:rPr>
              <w:t>Others</w:t>
            </w:r>
          </w:p>
        </w:tc>
      </w:tr>
      <w:tr w:rsidR="004E07CA" w14:paraId="247ED7B8" w14:textId="77777777" w:rsidTr="00E4192B">
        <w:trPr>
          <w:trHeight w:val="253"/>
        </w:trPr>
        <w:tc>
          <w:tcPr>
            <w:tcW w:w="339" w:type="dxa"/>
            <w:tcBorders>
              <w:top w:val="single" w:sz="4" w:space="0" w:color="auto"/>
            </w:tcBorders>
            <w:shd w:val="clear" w:color="auto" w:fill="auto"/>
            <w:vAlign w:val="bottom"/>
          </w:tcPr>
          <w:p w14:paraId="0DE08083" w14:textId="77777777" w:rsidR="004E07CA" w:rsidRDefault="004E07CA" w:rsidP="00E4192B">
            <w:pPr>
              <w:tabs>
                <w:tab w:val="left" w:pos="1290"/>
              </w:tabs>
              <w:spacing w:after="0" w:line="240" w:lineRule="auto"/>
              <w:jc w:val="both"/>
              <w:rPr>
                <w:rFonts w:ascii="Arial" w:hAnsi="Arial" w:cs="Arial"/>
              </w:rPr>
            </w:pPr>
            <w:r>
              <w:rPr>
                <w:rFonts w:ascii="Arial" w:hAnsi="Arial" w:cs="Arial"/>
              </w:rPr>
              <w:t>1</w:t>
            </w:r>
          </w:p>
        </w:tc>
        <w:tc>
          <w:tcPr>
            <w:tcW w:w="3459" w:type="dxa"/>
            <w:tcBorders>
              <w:top w:val="single" w:sz="4" w:space="0" w:color="auto"/>
            </w:tcBorders>
            <w:shd w:val="clear" w:color="auto" w:fill="auto"/>
          </w:tcPr>
          <w:p w14:paraId="78AED37D" w14:textId="77777777" w:rsidR="004E07CA" w:rsidRDefault="004E07CA" w:rsidP="00E4192B">
            <w:pPr>
              <w:tabs>
                <w:tab w:val="left" w:pos="1440"/>
              </w:tabs>
              <w:spacing w:after="0" w:line="240" w:lineRule="auto"/>
              <w:jc w:val="both"/>
              <w:rPr>
                <w:rFonts w:ascii="Arial" w:hAnsi="Arial" w:cs="Arial"/>
              </w:rPr>
            </w:pPr>
            <w:proofErr w:type="spellStart"/>
            <w:r>
              <w:rPr>
                <w:rFonts w:ascii="Arial" w:hAnsi="Arial" w:cs="Arial"/>
                <w:bCs/>
              </w:rPr>
              <w:t>Anaped</w:t>
            </w:r>
            <w:proofErr w:type="spellEnd"/>
            <w:r>
              <w:rPr>
                <w:rFonts w:ascii="Arial" w:hAnsi="Arial" w:cs="Arial"/>
                <w:bCs/>
              </w:rPr>
              <w:t xml:space="preserve"> Estate, Inc.</w:t>
            </w:r>
          </w:p>
        </w:tc>
        <w:tc>
          <w:tcPr>
            <w:tcW w:w="1134" w:type="dxa"/>
            <w:tcBorders>
              <w:top w:val="single" w:sz="4" w:space="0" w:color="auto"/>
            </w:tcBorders>
            <w:shd w:val="clear" w:color="auto" w:fill="auto"/>
          </w:tcPr>
          <w:p w14:paraId="65F46190" w14:textId="77777777" w:rsidR="004E07CA" w:rsidRDefault="004E07CA" w:rsidP="00E4192B">
            <w:pPr>
              <w:tabs>
                <w:tab w:val="left" w:pos="1440"/>
              </w:tabs>
              <w:spacing w:after="0" w:line="240" w:lineRule="auto"/>
              <w:ind w:right="-288"/>
              <w:jc w:val="center"/>
              <w:rPr>
                <w:rFonts w:ascii="Arial" w:hAnsi="Arial" w:cs="Arial"/>
              </w:rPr>
            </w:pPr>
            <w:r>
              <w:rPr>
                <w:rFonts w:ascii="Arial" w:hAnsi="Arial" w:cs="Arial"/>
              </w:rPr>
              <w:t>2</w:t>
            </w:r>
          </w:p>
        </w:tc>
        <w:tc>
          <w:tcPr>
            <w:tcW w:w="1326" w:type="dxa"/>
            <w:tcBorders>
              <w:top w:val="single" w:sz="4" w:space="0" w:color="auto"/>
            </w:tcBorders>
            <w:shd w:val="clear" w:color="auto" w:fill="auto"/>
          </w:tcPr>
          <w:p w14:paraId="6B4FB497" w14:textId="77777777" w:rsidR="004E07CA" w:rsidRDefault="004E07CA" w:rsidP="00E4192B">
            <w:pPr>
              <w:tabs>
                <w:tab w:val="left" w:pos="1440"/>
              </w:tabs>
              <w:spacing w:after="0" w:line="240" w:lineRule="auto"/>
              <w:jc w:val="center"/>
              <w:rPr>
                <w:rFonts w:ascii="Arial" w:hAnsi="Arial" w:cs="Arial"/>
              </w:rPr>
            </w:pPr>
            <w:r>
              <w:rPr>
                <w:rFonts w:ascii="Arial" w:hAnsi="Arial" w:cs="Arial"/>
              </w:rPr>
              <w:t>0</w:t>
            </w:r>
          </w:p>
        </w:tc>
        <w:tc>
          <w:tcPr>
            <w:tcW w:w="1150" w:type="dxa"/>
            <w:tcBorders>
              <w:top w:val="single" w:sz="4" w:space="0" w:color="auto"/>
            </w:tcBorders>
            <w:shd w:val="clear" w:color="auto" w:fill="auto"/>
          </w:tcPr>
          <w:p w14:paraId="6BCFF88B" w14:textId="77777777" w:rsidR="004E07CA" w:rsidRDefault="004E07CA" w:rsidP="00E4192B">
            <w:pPr>
              <w:tabs>
                <w:tab w:val="left" w:pos="1440"/>
              </w:tabs>
              <w:spacing w:after="0" w:line="240" w:lineRule="auto"/>
              <w:ind w:right="-288"/>
              <w:jc w:val="center"/>
              <w:rPr>
                <w:rFonts w:ascii="Arial" w:hAnsi="Arial" w:cs="Arial"/>
              </w:rPr>
            </w:pPr>
            <w:r>
              <w:rPr>
                <w:rFonts w:ascii="Arial" w:hAnsi="Arial" w:cs="Arial"/>
              </w:rPr>
              <w:t>2</w:t>
            </w:r>
          </w:p>
        </w:tc>
      </w:tr>
      <w:tr w:rsidR="004E07CA" w14:paraId="233CAD76" w14:textId="77777777" w:rsidTr="00E4192B">
        <w:trPr>
          <w:trHeight w:val="266"/>
        </w:trPr>
        <w:tc>
          <w:tcPr>
            <w:tcW w:w="339" w:type="dxa"/>
            <w:shd w:val="clear" w:color="auto" w:fill="auto"/>
            <w:vAlign w:val="bottom"/>
          </w:tcPr>
          <w:p w14:paraId="312684FD" w14:textId="77777777" w:rsidR="004E07CA" w:rsidRDefault="004E07CA" w:rsidP="00E4192B">
            <w:pPr>
              <w:tabs>
                <w:tab w:val="left" w:pos="1290"/>
              </w:tabs>
              <w:spacing w:after="0" w:line="240" w:lineRule="auto"/>
              <w:jc w:val="both"/>
              <w:rPr>
                <w:rFonts w:ascii="Arial" w:hAnsi="Arial" w:cs="Arial"/>
              </w:rPr>
            </w:pPr>
            <w:r>
              <w:rPr>
                <w:rFonts w:ascii="Arial" w:hAnsi="Arial" w:cs="Arial"/>
              </w:rPr>
              <w:t>2</w:t>
            </w:r>
          </w:p>
        </w:tc>
        <w:tc>
          <w:tcPr>
            <w:tcW w:w="3459" w:type="dxa"/>
            <w:shd w:val="clear" w:color="auto" w:fill="auto"/>
            <w:vAlign w:val="center"/>
          </w:tcPr>
          <w:p w14:paraId="2DC89AE7" w14:textId="77777777" w:rsidR="004E07CA" w:rsidRDefault="004E07CA" w:rsidP="00E4192B">
            <w:pPr>
              <w:pStyle w:val="NoSpacing"/>
              <w:rPr>
                <w:rFonts w:ascii="Arial" w:hAnsi="Arial" w:cs="Arial"/>
                <w:bCs/>
              </w:rPr>
            </w:pPr>
            <w:r>
              <w:rPr>
                <w:rFonts w:ascii="Arial" w:hAnsi="Arial" w:cs="Arial"/>
                <w:bCs/>
              </w:rPr>
              <w:t>Congressional Property</w:t>
            </w:r>
          </w:p>
        </w:tc>
        <w:tc>
          <w:tcPr>
            <w:tcW w:w="1134" w:type="dxa"/>
            <w:shd w:val="clear" w:color="auto" w:fill="auto"/>
            <w:vAlign w:val="center"/>
          </w:tcPr>
          <w:p w14:paraId="03EB6437" w14:textId="77777777" w:rsidR="004E07CA" w:rsidRDefault="004E07CA" w:rsidP="00E4192B">
            <w:pPr>
              <w:pStyle w:val="NoSpacing"/>
              <w:ind w:right="-288"/>
              <w:jc w:val="center"/>
              <w:rPr>
                <w:rFonts w:ascii="Arial" w:hAnsi="Arial" w:cs="Arial"/>
                <w:bCs/>
              </w:rPr>
            </w:pPr>
            <w:r>
              <w:rPr>
                <w:rFonts w:ascii="Arial" w:hAnsi="Arial" w:cs="Arial"/>
                <w:bCs/>
              </w:rPr>
              <w:t>2</w:t>
            </w:r>
          </w:p>
        </w:tc>
        <w:tc>
          <w:tcPr>
            <w:tcW w:w="1326" w:type="dxa"/>
            <w:shd w:val="clear" w:color="auto" w:fill="auto"/>
            <w:vAlign w:val="center"/>
          </w:tcPr>
          <w:p w14:paraId="787052B7" w14:textId="77777777" w:rsidR="004E07CA" w:rsidRDefault="004E07CA" w:rsidP="00E4192B">
            <w:pPr>
              <w:pStyle w:val="NoSpacing"/>
              <w:jc w:val="center"/>
              <w:rPr>
                <w:rFonts w:ascii="Arial" w:hAnsi="Arial" w:cs="Arial"/>
                <w:bCs/>
              </w:rPr>
            </w:pPr>
            <w:r>
              <w:rPr>
                <w:rFonts w:ascii="Arial" w:hAnsi="Arial" w:cs="Arial"/>
                <w:bCs/>
              </w:rPr>
              <w:t>2</w:t>
            </w:r>
          </w:p>
        </w:tc>
        <w:tc>
          <w:tcPr>
            <w:tcW w:w="1150" w:type="dxa"/>
            <w:shd w:val="clear" w:color="auto" w:fill="auto"/>
          </w:tcPr>
          <w:p w14:paraId="0822344A" w14:textId="77777777" w:rsidR="004E07CA" w:rsidRDefault="004E07CA" w:rsidP="00E4192B">
            <w:pPr>
              <w:pStyle w:val="NoSpacing"/>
              <w:ind w:right="-288"/>
              <w:jc w:val="center"/>
              <w:rPr>
                <w:rFonts w:ascii="Arial" w:hAnsi="Arial" w:cs="Arial"/>
                <w:bCs/>
              </w:rPr>
            </w:pPr>
            <w:r>
              <w:rPr>
                <w:rFonts w:ascii="Arial" w:hAnsi="Arial" w:cs="Arial"/>
                <w:bCs/>
              </w:rPr>
              <w:t>0</w:t>
            </w:r>
          </w:p>
        </w:tc>
      </w:tr>
      <w:tr w:rsidR="004E07CA" w14:paraId="0B3DCD61" w14:textId="77777777" w:rsidTr="00E4192B">
        <w:trPr>
          <w:trHeight w:val="266"/>
        </w:trPr>
        <w:tc>
          <w:tcPr>
            <w:tcW w:w="339" w:type="dxa"/>
            <w:shd w:val="clear" w:color="auto" w:fill="auto"/>
            <w:vAlign w:val="bottom"/>
          </w:tcPr>
          <w:p w14:paraId="69D752A5" w14:textId="77777777" w:rsidR="004E07CA" w:rsidRDefault="004E07CA" w:rsidP="00E4192B">
            <w:pPr>
              <w:tabs>
                <w:tab w:val="left" w:pos="1290"/>
              </w:tabs>
              <w:spacing w:after="0" w:line="240" w:lineRule="auto"/>
              <w:jc w:val="both"/>
              <w:rPr>
                <w:rFonts w:ascii="Arial" w:hAnsi="Arial" w:cs="Arial"/>
              </w:rPr>
            </w:pPr>
            <w:r>
              <w:rPr>
                <w:rFonts w:ascii="Arial" w:hAnsi="Arial" w:cs="Arial"/>
              </w:rPr>
              <w:t>3</w:t>
            </w:r>
          </w:p>
        </w:tc>
        <w:tc>
          <w:tcPr>
            <w:tcW w:w="3459" w:type="dxa"/>
            <w:shd w:val="clear" w:color="auto" w:fill="auto"/>
            <w:vAlign w:val="center"/>
          </w:tcPr>
          <w:p w14:paraId="048A686D" w14:textId="77777777" w:rsidR="004E07CA" w:rsidRDefault="004E07CA" w:rsidP="00E4192B">
            <w:pPr>
              <w:pStyle w:val="NoSpacing"/>
              <w:rPr>
                <w:rFonts w:ascii="Arial" w:hAnsi="Arial" w:cs="Arial"/>
                <w:bCs/>
              </w:rPr>
            </w:pPr>
            <w:r>
              <w:rPr>
                <w:rFonts w:ascii="Arial" w:hAnsi="Arial" w:cs="Arial"/>
                <w:bCs/>
              </w:rPr>
              <w:t>Iloilo Certificate Land Transfer</w:t>
            </w:r>
          </w:p>
        </w:tc>
        <w:tc>
          <w:tcPr>
            <w:tcW w:w="1134" w:type="dxa"/>
            <w:shd w:val="clear" w:color="auto" w:fill="auto"/>
            <w:vAlign w:val="center"/>
          </w:tcPr>
          <w:p w14:paraId="4CD4C0F7" w14:textId="77777777" w:rsidR="004E07CA" w:rsidRDefault="004E07CA" w:rsidP="00E4192B">
            <w:pPr>
              <w:pStyle w:val="NoSpacing"/>
              <w:ind w:right="-144"/>
              <w:jc w:val="center"/>
              <w:rPr>
                <w:rFonts w:ascii="Arial" w:hAnsi="Arial" w:cs="Arial"/>
                <w:bCs/>
              </w:rPr>
            </w:pPr>
            <w:r>
              <w:rPr>
                <w:rFonts w:ascii="Arial" w:hAnsi="Arial" w:cs="Arial"/>
                <w:bCs/>
              </w:rPr>
              <w:t>14</w:t>
            </w:r>
          </w:p>
        </w:tc>
        <w:tc>
          <w:tcPr>
            <w:tcW w:w="1326" w:type="dxa"/>
            <w:shd w:val="clear" w:color="auto" w:fill="auto"/>
            <w:vAlign w:val="center"/>
          </w:tcPr>
          <w:p w14:paraId="18FB9362" w14:textId="77777777" w:rsidR="004E07CA" w:rsidRDefault="004E07CA" w:rsidP="00E4192B">
            <w:pPr>
              <w:pStyle w:val="NoSpacing"/>
              <w:jc w:val="center"/>
              <w:rPr>
                <w:rFonts w:ascii="Arial" w:hAnsi="Arial" w:cs="Arial"/>
                <w:bCs/>
              </w:rPr>
            </w:pPr>
            <w:r>
              <w:rPr>
                <w:rFonts w:ascii="Arial" w:hAnsi="Arial" w:cs="Arial"/>
                <w:bCs/>
              </w:rPr>
              <w:t>0</w:t>
            </w:r>
          </w:p>
        </w:tc>
        <w:tc>
          <w:tcPr>
            <w:tcW w:w="1150" w:type="dxa"/>
            <w:shd w:val="clear" w:color="auto" w:fill="auto"/>
          </w:tcPr>
          <w:p w14:paraId="0651CD4E" w14:textId="77777777" w:rsidR="004E07CA" w:rsidRDefault="004E07CA" w:rsidP="00E4192B">
            <w:pPr>
              <w:pStyle w:val="NoSpacing"/>
              <w:ind w:right="-144"/>
              <w:jc w:val="center"/>
              <w:rPr>
                <w:rFonts w:ascii="Arial" w:hAnsi="Arial" w:cs="Arial"/>
                <w:bCs/>
              </w:rPr>
            </w:pPr>
            <w:r>
              <w:rPr>
                <w:rFonts w:ascii="Arial" w:hAnsi="Arial" w:cs="Arial"/>
                <w:bCs/>
              </w:rPr>
              <w:t>14</w:t>
            </w:r>
          </w:p>
        </w:tc>
      </w:tr>
      <w:tr w:rsidR="004E07CA" w14:paraId="75A6D89C" w14:textId="77777777" w:rsidTr="00E4192B">
        <w:trPr>
          <w:trHeight w:val="253"/>
        </w:trPr>
        <w:tc>
          <w:tcPr>
            <w:tcW w:w="339" w:type="dxa"/>
            <w:shd w:val="clear" w:color="auto" w:fill="auto"/>
            <w:vAlign w:val="bottom"/>
          </w:tcPr>
          <w:p w14:paraId="5CFCC3E0" w14:textId="77777777" w:rsidR="004E07CA" w:rsidRDefault="004E07CA" w:rsidP="00E4192B">
            <w:pPr>
              <w:tabs>
                <w:tab w:val="left" w:pos="1290"/>
              </w:tabs>
              <w:spacing w:after="0" w:line="240" w:lineRule="auto"/>
              <w:jc w:val="both"/>
              <w:rPr>
                <w:rFonts w:ascii="Arial" w:hAnsi="Arial" w:cs="Arial"/>
              </w:rPr>
            </w:pPr>
            <w:r>
              <w:rPr>
                <w:rFonts w:ascii="Arial" w:hAnsi="Arial" w:cs="Arial"/>
              </w:rPr>
              <w:t>4</w:t>
            </w:r>
          </w:p>
        </w:tc>
        <w:tc>
          <w:tcPr>
            <w:tcW w:w="3459" w:type="dxa"/>
            <w:shd w:val="clear" w:color="auto" w:fill="auto"/>
            <w:vAlign w:val="center"/>
          </w:tcPr>
          <w:p w14:paraId="67F346B5" w14:textId="77777777" w:rsidR="004E07CA" w:rsidRDefault="004E07CA" w:rsidP="00E4192B">
            <w:pPr>
              <w:pStyle w:val="NoSpacing"/>
              <w:rPr>
                <w:rFonts w:ascii="Arial" w:hAnsi="Arial" w:cs="Arial"/>
                <w:bCs/>
              </w:rPr>
            </w:pPr>
            <w:r>
              <w:rPr>
                <w:rFonts w:ascii="Arial" w:hAnsi="Arial" w:cs="Arial"/>
                <w:bCs/>
              </w:rPr>
              <w:t xml:space="preserve">Isla </w:t>
            </w:r>
            <w:proofErr w:type="spellStart"/>
            <w:r>
              <w:rPr>
                <w:rFonts w:ascii="Arial" w:hAnsi="Arial" w:cs="Arial"/>
                <w:bCs/>
              </w:rPr>
              <w:t>Philcons</w:t>
            </w:r>
            <w:proofErr w:type="spellEnd"/>
            <w:r>
              <w:rPr>
                <w:rFonts w:ascii="Arial" w:hAnsi="Arial" w:cs="Arial"/>
                <w:bCs/>
              </w:rPr>
              <w:t xml:space="preserve"> Holdings</w:t>
            </w:r>
          </w:p>
        </w:tc>
        <w:tc>
          <w:tcPr>
            <w:tcW w:w="1134" w:type="dxa"/>
            <w:shd w:val="clear" w:color="auto" w:fill="auto"/>
            <w:vAlign w:val="center"/>
          </w:tcPr>
          <w:p w14:paraId="7AEC81E4" w14:textId="77777777" w:rsidR="004E07CA" w:rsidRDefault="004E07CA" w:rsidP="00E4192B">
            <w:pPr>
              <w:pStyle w:val="NoSpacing"/>
              <w:ind w:right="-144"/>
              <w:jc w:val="center"/>
              <w:rPr>
                <w:rFonts w:ascii="Arial" w:hAnsi="Arial" w:cs="Arial"/>
                <w:bCs/>
              </w:rPr>
            </w:pPr>
            <w:r>
              <w:rPr>
                <w:rFonts w:ascii="Arial" w:hAnsi="Arial" w:cs="Arial"/>
                <w:bCs/>
              </w:rPr>
              <w:t>22</w:t>
            </w:r>
          </w:p>
        </w:tc>
        <w:tc>
          <w:tcPr>
            <w:tcW w:w="1326" w:type="dxa"/>
            <w:shd w:val="clear" w:color="auto" w:fill="auto"/>
            <w:vAlign w:val="center"/>
          </w:tcPr>
          <w:p w14:paraId="5E3FF67F" w14:textId="77777777" w:rsidR="004E07CA" w:rsidRDefault="004E07CA" w:rsidP="00E4192B">
            <w:pPr>
              <w:pStyle w:val="NoSpacing"/>
              <w:jc w:val="center"/>
              <w:rPr>
                <w:rFonts w:ascii="Arial" w:hAnsi="Arial" w:cs="Arial"/>
                <w:bCs/>
              </w:rPr>
            </w:pPr>
            <w:r>
              <w:rPr>
                <w:rFonts w:ascii="Arial" w:hAnsi="Arial" w:cs="Arial"/>
                <w:bCs/>
              </w:rPr>
              <w:t>0</w:t>
            </w:r>
          </w:p>
        </w:tc>
        <w:tc>
          <w:tcPr>
            <w:tcW w:w="1150" w:type="dxa"/>
            <w:shd w:val="clear" w:color="auto" w:fill="auto"/>
          </w:tcPr>
          <w:p w14:paraId="56E04AEA" w14:textId="77777777" w:rsidR="004E07CA" w:rsidRDefault="004E07CA" w:rsidP="00E4192B">
            <w:pPr>
              <w:pStyle w:val="NoSpacing"/>
              <w:ind w:right="-144"/>
              <w:jc w:val="center"/>
              <w:rPr>
                <w:rFonts w:ascii="Arial" w:hAnsi="Arial" w:cs="Arial"/>
                <w:bCs/>
              </w:rPr>
            </w:pPr>
            <w:r>
              <w:rPr>
                <w:rFonts w:ascii="Arial" w:hAnsi="Arial" w:cs="Arial"/>
                <w:bCs/>
              </w:rPr>
              <w:t>22</w:t>
            </w:r>
          </w:p>
        </w:tc>
      </w:tr>
      <w:tr w:rsidR="004E07CA" w14:paraId="0AA7E8EE" w14:textId="77777777" w:rsidTr="00E4192B">
        <w:trPr>
          <w:trHeight w:val="266"/>
        </w:trPr>
        <w:tc>
          <w:tcPr>
            <w:tcW w:w="339" w:type="dxa"/>
            <w:shd w:val="clear" w:color="auto" w:fill="auto"/>
            <w:vAlign w:val="bottom"/>
          </w:tcPr>
          <w:p w14:paraId="1CD0BE34" w14:textId="77777777" w:rsidR="004E07CA" w:rsidRDefault="004E07CA" w:rsidP="00E4192B">
            <w:pPr>
              <w:tabs>
                <w:tab w:val="left" w:pos="1290"/>
              </w:tabs>
              <w:spacing w:after="0" w:line="240" w:lineRule="auto"/>
              <w:jc w:val="both"/>
              <w:rPr>
                <w:rFonts w:ascii="Arial" w:hAnsi="Arial" w:cs="Arial"/>
              </w:rPr>
            </w:pPr>
            <w:r>
              <w:rPr>
                <w:rFonts w:ascii="Arial" w:hAnsi="Arial" w:cs="Arial"/>
              </w:rPr>
              <w:t>5</w:t>
            </w:r>
          </w:p>
        </w:tc>
        <w:tc>
          <w:tcPr>
            <w:tcW w:w="3459" w:type="dxa"/>
            <w:shd w:val="clear" w:color="auto" w:fill="auto"/>
            <w:vAlign w:val="center"/>
          </w:tcPr>
          <w:p w14:paraId="0F1D892A" w14:textId="77777777" w:rsidR="004E07CA" w:rsidRDefault="004E07CA" w:rsidP="00E4192B">
            <w:pPr>
              <w:pStyle w:val="NoSpacing"/>
              <w:rPr>
                <w:rFonts w:ascii="Arial" w:hAnsi="Arial" w:cs="Arial"/>
                <w:bCs/>
              </w:rPr>
            </w:pPr>
            <w:proofErr w:type="spellStart"/>
            <w:r>
              <w:rPr>
                <w:rFonts w:ascii="Arial" w:hAnsi="Arial" w:cs="Arial"/>
                <w:bCs/>
              </w:rPr>
              <w:t>Philcons</w:t>
            </w:r>
            <w:proofErr w:type="spellEnd"/>
            <w:r>
              <w:rPr>
                <w:rFonts w:ascii="Arial" w:hAnsi="Arial" w:cs="Arial"/>
                <w:bCs/>
              </w:rPr>
              <w:t xml:space="preserve"> Finance</w:t>
            </w:r>
          </w:p>
        </w:tc>
        <w:tc>
          <w:tcPr>
            <w:tcW w:w="1134" w:type="dxa"/>
            <w:shd w:val="clear" w:color="auto" w:fill="auto"/>
            <w:vAlign w:val="center"/>
          </w:tcPr>
          <w:p w14:paraId="7B23D38A" w14:textId="77777777" w:rsidR="004E07CA" w:rsidRDefault="004E07CA" w:rsidP="00E4192B">
            <w:pPr>
              <w:pStyle w:val="NoSpacing"/>
              <w:ind w:right="-144"/>
              <w:jc w:val="center"/>
              <w:rPr>
                <w:rFonts w:ascii="Arial" w:hAnsi="Arial" w:cs="Arial"/>
                <w:bCs/>
              </w:rPr>
            </w:pPr>
            <w:r>
              <w:rPr>
                <w:rFonts w:ascii="Arial" w:hAnsi="Arial" w:cs="Arial"/>
                <w:bCs/>
              </w:rPr>
              <w:t>78</w:t>
            </w:r>
          </w:p>
        </w:tc>
        <w:tc>
          <w:tcPr>
            <w:tcW w:w="1326" w:type="dxa"/>
            <w:shd w:val="clear" w:color="auto" w:fill="auto"/>
            <w:vAlign w:val="center"/>
          </w:tcPr>
          <w:p w14:paraId="287759AF" w14:textId="77777777" w:rsidR="004E07CA" w:rsidRDefault="004E07CA" w:rsidP="00E4192B">
            <w:pPr>
              <w:pStyle w:val="NoSpacing"/>
              <w:jc w:val="center"/>
              <w:rPr>
                <w:rFonts w:ascii="Arial" w:hAnsi="Arial" w:cs="Arial"/>
                <w:bCs/>
              </w:rPr>
            </w:pPr>
            <w:r>
              <w:rPr>
                <w:rFonts w:ascii="Arial" w:hAnsi="Arial" w:cs="Arial"/>
                <w:bCs/>
              </w:rPr>
              <w:t>0</w:t>
            </w:r>
          </w:p>
        </w:tc>
        <w:tc>
          <w:tcPr>
            <w:tcW w:w="1150" w:type="dxa"/>
            <w:shd w:val="clear" w:color="auto" w:fill="auto"/>
          </w:tcPr>
          <w:p w14:paraId="05B84E7E" w14:textId="77777777" w:rsidR="004E07CA" w:rsidRDefault="004E07CA" w:rsidP="00E4192B">
            <w:pPr>
              <w:pStyle w:val="NoSpacing"/>
              <w:ind w:right="-144"/>
              <w:jc w:val="center"/>
              <w:rPr>
                <w:rFonts w:ascii="Arial" w:hAnsi="Arial" w:cs="Arial"/>
                <w:bCs/>
              </w:rPr>
            </w:pPr>
            <w:r>
              <w:rPr>
                <w:rFonts w:ascii="Arial" w:hAnsi="Arial" w:cs="Arial"/>
                <w:bCs/>
              </w:rPr>
              <w:t>78</w:t>
            </w:r>
          </w:p>
        </w:tc>
      </w:tr>
      <w:tr w:rsidR="004E07CA" w14:paraId="7619BCB4" w14:textId="77777777" w:rsidTr="00E4192B">
        <w:trPr>
          <w:trHeight w:val="253"/>
        </w:trPr>
        <w:tc>
          <w:tcPr>
            <w:tcW w:w="339" w:type="dxa"/>
            <w:shd w:val="clear" w:color="auto" w:fill="auto"/>
            <w:vAlign w:val="bottom"/>
          </w:tcPr>
          <w:p w14:paraId="669FABEE" w14:textId="77777777" w:rsidR="004E07CA" w:rsidRDefault="004E07CA" w:rsidP="00E4192B">
            <w:pPr>
              <w:tabs>
                <w:tab w:val="left" w:pos="1290"/>
              </w:tabs>
              <w:spacing w:after="0" w:line="240" w:lineRule="auto"/>
              <w:jc w:val="both"/>
              <w:rPr>
                <w:rFonts w:ascii="Arial" w:hAnsi="Arial" w:cs="Arial"/>
              </w:rPr>
            </w:pPr>
            <w:r>
              <w:rPr>
                <w:rFonts w:ascii="Arial" w:hAnsi="Arial" w:cs="Arial"/>
              </w:rPr>
              <w:t>6</w:t>
            </w:r>
          </w:p>
        </w:tc>
        <w:tc>
          <w:tcPr>
            <w:tcW w:w="3459" w:type="dxa"/>
            <w:shd w:val="clear" w:color="auto" w:fill="auto"/>
            <w:vAlign w:val="center"/>
          </w:tcPr>
          <w:p w14:paraId="1693AF84" w14:textId="77777777" w:rsidR="004E07CA" w:rsidRDefault="004E07CA" w:rsidP="00E4192B">
            <w:pPr>
              <w:pStyle w:val="NoSpacing"/>
              <w:rPr>
                <w:rFonts w:ascii="Arial" w:hAnsi="Arial" w:cs="Arial"/>
                <w:bCs/>
              </w:rPr>
            </w:pPr>
            <w:r>
              <w:rPr>
                <w:rFonts w:ascii="Arial" w:hAnsi="Arial" w:cs="Arial"/>
                <w:bCs/>
              </w:rPr>
              <w:t>Superior Pharmacy, Inc.</w:t>
            </w:r>
          </w:p>
        </w:tc>
        <w:tc>
          <w:tcPr>
            <w:tcW w:w="1134" w:type="dxa"/>
            <w:shd w:val="clear" w:color="auto" w:fill="auto"/>
            <w:vAlign w:val="center"/>
          </w:tcPr>
          <w:p w14:paraId="3AC11D91" w14:textId="77777777" w:rsidR="004E07CA" w:rsidRDefault="004E07CA" w:rsidP="00E4192B">
            <w:pPr>
              <w:pStyle w:val="NoSpacing"/>
              <w:ind w:right="-288"/>
              <w:jc w:val="center"/>
              <w:rPr>
                <w:rFonts w:ascii="Arial" w:hAnsi="Arial" w:cs="Arial"/>
                <w:bCs/>
              </w:rPr>
            </w:pPr>
            <w:r>
              <w:rPr>
                <w:rFonts w:ascii="Arial" w:hAnsi="Arial" w:cs="Arial"/>
                <w:bCs/>
              </w:rPr>
              <w:t>1</w:t>
            </w:r>
          </w:p>
        </w:tc>
        <w:tc>
          <w:tcPr>
            <w:tcW w:w="1326" w:type="dxa"/>
            <w:shd w:val="clear" w:color="auto" w:fill="auto"/>
            <w:vAlign w:val="center"/>
          </w:tcPr>
          <w:p w14:paraId="1D980983" w14:textId="77777777" w:rsidR="004E07CA" w:rsidRDefault="004E07CA" w:rsidP="00E4192B">
            <w:pPr>
              <w:pStyle w:val="NoSpacing"/>
              <w:jc w:val="center"/>
              <w:rPr>
                <w:rFonts w:ascii="Arial" w:hAnsi="Arial" w:cs="Arial"/>
                <w:bCs/>
              </w:rPr>
            </w:pPr>
            <w:r>
              <w:rPr>
                <w:rFonts w:ascii="Arial" w:hAnsi="Arial" w:cs="Arial"/>
                <w:bCs/>
              </w:rPr>
              <w:t>0</w:t>
            </w:r>
          </w:p>
        </w:tc>
        <w:tc>
          <w:tcPr>
            <w:tcW w:w="1150" w:type="dxa"/>
            <w:shd w:val="clear" w:color="auto" w:fill="auto"/>
          </w:tcPr>
          <w:p w14:paraId="6CB1A527" w14:textId="77777777" w:rsidR="004E07CA" w:rsidRDefault="004E07CA" w:rsidP="00E4192B">
            <w:pPr>
              <w:pStyle w:val="NoSpacing"/>
              <w:ind w:right="-288"/>
              <w:jc w:val="center"/>
              <w:rPr>
                <w:rFonts w:ascii="Arial" w:hAnsi="Arial" w:cs="Arial"/>
                <w:bCs/>
              </w:rPr>
            </w:pPr>
            <w:r>
              <w:rPr>
                <w:rFonts w:ascii="Arial" w:hAnsi="Arial" w:cs="Arial"/>
                <w:bCs/>
              </w:rPr>
              <w:t>1</w:t>
            </w:r>
          </w:p>
        </w:tc>
      </w:tr>
      <w:tr w:rsidR="004E07CA" w14:paraId="510A659A" w14:textId="77777777" w:rsidTr="00E4192B">
        <w:trPr>
          <w:trHeight w:val="266"/>
        </w:trPr>
        <w:tc>
          <w:tcPr>
            <w:tcW w:w="339" w:type="dxa"/>
            <w:tcBorders>
              <w:bottom w:val="single" w:sz="4" w:space="0" w:color="auto"/>
            </w:tcBorders>
            <w:shd w:val="clear" w:color="auto" w:fill="auto"/>
            <w:vAlign w:val="bottom"/>
          </w:tcPr>
          <w:p w14:paraId="54694930" w14:textId="77777777" w:rsidR="004E07CA" w:rsidRDefault="004E07CA" w:rsidP="00E4192B">
            <w:pPr>
              <w:tabs>
                <w:tab w:val="left" w:pos="1290"/>
              </w:tabs>
              <w:spacing w:after="0" w:line="240" w:lineRule="auto"/>
              <w:jc w:val="both"/>
              <w:rPr>
                <w:rFonts w:ascii="Arial" w:hAnsi="Arial" w:cs="Arial"/>
              </w:rPr>
            </w:pPr>
            <w:r>
              <w:rPr>
                <w:rFonts w:ascii="Arial" w:hAnsi="Arial" w:cs="Arial"/>
              </w:rPr>
              <w:t>7</w:t>
            </w:r>
          </w:p>
        </w:tc>
        <w:tc>
          <w:tcPr>
            <w:tcW w:w="3459" w:type="dxa"/>
            <w:tcBorders>
              <w:bottom w:val="single" w:sz="4" w:space="0" w:color="auto"/>
            </w:tcBorders>
            <w:shd w:val="clear" w:color="auto" w:fill="auto"/>
            <w:vAlign w:val="center"/>
          </w:tcPr>
          <w:p w14:paraId="6629A3C2" w14:textId="77777777" w:rsidR="004E07CA" w:rsidRDefault="004E07CA" w:rsidP="00E4192B">
            <w:pPr>
              <w:pStyle w:val="NoSpacing"/>
              <w:rPr>
                <w:rFonts w:ascii="Arial" w:hAnsi="Arial" w:cs="Arial"/>
                <w:bCs/>
              </w:rPr>
            </w:pPr>
            <w:r>
              <w:rPr>
                <w:rFonts w:ascii="Arial" w:hAnsi="Arial" w:cs="Arial"/>
                <w:bCs/>
              </w:rPr>
              <w:t>Terra Fortuna</w:t>
            </w:r>
          </w:p>
        </w:tc>
        <w:tc>
          <w:tcPr>
            <w:tcW w:w="1134" w:type="dxa"/>
            <w:tcBorders>
              <w:bottom w:val="single" w:sz="4" w:space="0" w:color="auto"/>
            </w:tcBorders>
            <w:shd w:val="clear" w:color="auto" w:fill="auto"/>
            <w:vAlign w:val="center"/>
          </w:tcPr>
          <w:p w14:paraId="667C23D7" w14:textId="77777777" w:rsidR="004E07CA" w:rsidRDefault="004E07CA" w:rsidP="00E4192B">
            <w:pPr>
              <w:pStyle w:val="NoSpacing"/>
              <w:ind w:right="-288"/>
              <w:jc w:val="center"/>
              <w:rPr>
                <w:rFonts w:ascii="Arial" w:hAnsi="Arial" w:cs="Arial"/>
                <w:bCs/>
              </w:rPr>
            </w:pPr>
            <w:r>
              <w:rPr>
                <w:rFonts w:ascii="Arial" w:hAnsi="Arial" w:cs="Arial"/>
                <w:bCs/>
              </w:rPr>
              <w:t>1</w:t>
            </w:r>
          </w:p>
        </w:tc>
        <w:tc>
          <w:tcPr>
            <w:tcW w:w="1326" w:type="dxa"/>
            <w:tcBorders>
              <w:bottom w:val="single" w:sz="4" w:space="0" w:color="auto"/>
            </w:tcBorders>
            <w:shd w:val="clear" w:color="auto" w:fill="auto"/>
            <w:vAlign w:val="center"/>
          </w:tcPr>
          <w:p w14:paraId="4377CB31" w14:textId="77777777" w:rsidR="004E07CA" w:rsidRDefault="004E07CA" w:rsidP="00E4192B">
            <w:pPr>
              <w:pStyle w:val="NoSpacing"/>
              <w:jc w:val="center"/>
              <w:rPr>
                <w:rFonts w:ascii="Arial" w:hAnsi="Arial" w:cs="Arial"/>
                <w:bCs/>
              </w:rPr>
            </w:pPr>
            <w:r>
              <w:rPr>
                <w:rFonts w:ascii="Arial" w:hAnsi="Arial" w:cs="Arial"/>
                <w:bCs/>
              </w:rPr>
              <w:t>1</w:t>
            </w:r>
          </w:p>
        </w:tc>
        <w:tc>
          <w:tcPr>
            <w:tcW w:w="1150" w:type="dxa"/>
            <w:tcBorders>
              <w:bottom w:val="single" w:sz="4" w:space="0" w:color="auto"/>
            </w:tcBorders>
            <w:shd w:val="clear" w:color="auto" w:fill="auto"/>
          </w:tcPr>
          <w:p w14:paraId="65BAF9B4" w14:textId="77777777" w:rsidR="004E07CA" w:rsidRDefault="004E07CA" w:rsidP="00E4192B">
            <w:pPr>
              <w:pStyle w:val="NoSpacing"/>
              <w:ind w:right="-288"/>
              <w:jc w:val="center"/>
              <w:rPr>
                <w:rFonts w:ascii="Arial" w:hAnsi="Arial" w:cs="Arial"/>
                <w:bCs/>
              </w:rPr>
            </w:pPr>
            <w:r>
              <w:rPr>
                <w:rFonts w:ascii="Arial" w:hAnsi="Arial" w:cs="Arial"/>
                <w:bCs/>
              </w:rPr>
              <w:t>0</w:t>
            </w:r>
          </w:p>
        </w:tc>
      </w:tr>
      <w:tr w:rsidR="004E07CA" w14:paraId="609C9AF3" w14:textId="77777777" w:rsidTr="00E4192B">
        <w:trPr>
          <w:trHeight w:val="317"/>
        </w:trPr>
        <w:tc>
          <w:tcPr>
            <w:tcW w:w="3798" w:type="dxa"/>
            <w:gridSpan w:val="2"/>
            <w:tcBorders>
              <w:top w:val="single" w:sz="4" w:space="0" w:color="auto"/>
              <w:bottom w:val="double" w:sz="4" w:space="0" w:color="auto"/>
            </w:tcBorders>
            <w:shd w:val="clear" w:color="auto" w:fill="auto"/>
            <w:vAlign w:val="center"/>
          </w:tcPr>
          <w:p w14:paraId="16E89E6A" w14:textId="77777777" w:rsidR="004E07CA" w:rsidRDefault="004E07CA" w:rsidP="00E4192B">
            <w:pPr>
              <w:pStyle w:val="NoSpacing"/>
              <w:rPr>
                <w:rFonts w:ascii="Arial" w:hAnsi="Arial" w:cs="Arial"/>
                <w:b/>
                <w:bCs/>
              </w:rPr>
            </w:pPr>
            <w:r>
              <w:rPr>
                <w:rFonts w:ascii="Arial" w:hAnsi="Arial" w:cs="Arial"/>
                <w:b/>
                <w:bCs/>
              </w:rPr>
              <w:t>Total</w:t>
            </w:r>
          </w:p>
        </w:tc>
        <w:tc>
          <w:tcPr>
            <w:tcW w:w="1134" w:type="dxa"/>
            <w:tcBorders>
              <w:top w:val="single" w:sz="4" w:space="0" w:color="auto"/>
              <w:bottom w:val="double" w:sz="4" w:space="0" w:color="auto"/>
            </w:tcBorders>
            <w:shd w:val="clear" w:color="auto" w:fill="auto"/>
            <w:vAlign w:val="center"/>
          </w:tcPr>
          <w:p w14:paraId="7511F756" w14:textId="77777777" w:rsidR="004E07CA" w:rsidRDefault="004E07CA" w:rsidP="00E4192B">
            <w:pPr>
              <w:pStyle w:val="NoSpacing"/>
              <w:jc w:val="center"/>
              <w:rPr>
                <w:rFonts w:ascii="Arial" w:hAnsi="Arial" w:cs="Arial"/>
                <w:b/>
                <w:bCs/>
              </w:rPr>
            </w:pPr>
            <w:r>
              <w:rPr>
                <w:rFonts w:ascii="Arial" w:hAnsi="Arial" w:cs="Arial"/>
                <w:b/>
                <w:bCs/>
              </w:rPr>
              <w:t>120</w:t>
            </w:r>
          </w:p>
        </w:tc>
        <w:tc>
          <w:tcPr>
            <w:tcW w:w="1326" w:type="dxa"/>
            <w:tcBorders>
              <w:top w:val="single" w:sz="4" w:space="0" w:color="auto"/>
              <w:bottom w:val="double" w:sz="4" w:space="0" w:color="auto"/>
            </w:tcBorders>
            <w:shd w:val="clear" w:color="auto" w:fill="auto"/>
            <w:vAlign w:val="center"/>
          </w:tcPr>
          <w:p w14:paraId="4D4A8C3D" w14:textId="77777777" w:rsidR="004E07CA" w:rsidRDefault="004E07CA" w:rsidP="00E4192B">
            <w:pPr>
              <w:pStyle w:val="NoSpacing"/>
              <w:jc w:val="center"/>
              <w:rPr>
                <w:rFonts w:ascii="Arial" w:hAnsi="Arial" w:cs="Arial"/>
                <w:b/>
                <w:bCs/>
              </w:rPr>
            </w:pPr>
            <w:r>
              <w:rPr>
                <w:rFonts w:ascii="Arial" w:hAnsi="Arial" w:cs="Arial"/>
                <w:b/>
                <w:bCs/>
              </w:rPr>
              <w:t>3</w:t>
            </w:r>
          </w:p>
        </w:tc>
        <w:tc>
          <w:tcPr>
            <w:tcW w:w="1150" w:type="dxa"/>
            <w:tcBorders>
              <w:top w:val="single" w:sz="4" w:space="0" w:color="auto"/>
              <w:bottom w:val="double" w:sz="4" w:space="0" w:color="auto"/>
            </w:tcBorders>
            <w:shd w:val="clear" w:color="auto" w:fill="auto"/>
            <w:vAlign w:val="center"/>
          </w:tcPr>
          <w:p w14:paraId="3FF2CC83" w14:textId="77777777" w:rsidR="004E07CA" w:rsidRDefault="004E07CA" w:rsidP="00E4192B">
            <w:pPr>
              <w:pStyle w:val="NoSpacing"/>
              <w:jc w:val="center"/>
              <w:rPr>
                <w:rFonts w:ascii="Arial" w:hAnsi="Arial" w:cs="Arial"/>
                <w:b/>
                <w:bCs/>
              </w:rPr>
            </w:pPr>
            <w:r>
              <w:rPr>
                <w:rFonts w:ascii="Arial" w:hAnsi="Arial" w:cs="Arial"/>
                <w:b/>
                <w:bCs/>
              </w:rPr>
              <w:t>117</w:t>
            </w:r>
          </w:p>
        </w:tc>
      </w:tr>
    </w:tbl>
    <w:p w14:paraId="72F1428D" w14:textId="77777777" w:rsidR="004E07CA" w:rsidRPr="00200B96" w:rsidRDefault="004E07CA" w:rsidP="00200B96">
      <w:pPr>
        <w:pStyle w:val="NoSpacing"/>
        <w:jc w:val="both"/>
        <w:rPr>
          <w:rFonts w:ascii="Arial" w:hAnsi="Arial" w:cs="Arial"/>
          <w:b/>
        </w:rPr>
      </w:pPr>
    </w:p>
    <w:p w14:paraId="2C93191B" w14:textId="77777777" w:rsidR="004E07CA" w:rsidRPr="00200B96" w:rsidRDefault="004E07CA" w:rsidP="00BB0337">
      <w:pPr>
        <w:pStyle w:val="ListParagraph"/>
        <w:numPr>
          <w:ilvl w:val="1"/>
          <w:numId w:val="3"/>
        </w:numPr>
        <w:ind w:left="1267" w:hanging="691"/>
        <w:jc w:val="both"/>
        <w:rPr>
          <w:rFonts w:ascii="Arial" w:hAnsi="Arial" w:cs="Arial"/>
          <w:sz w:val="22"/>
          <w:szCs w:val="22"/>
        </w:rPr>
      </w:pPr>
      <w:r w:rsidRPr="00200B96">
        <w:rPr>
          <w:rFonts w:ascii="Arial" w:hAnsi="Arial" w:cs="Arial"/>
          <w:sz w:val="22"/>
          <w:szCs w:val="22"/>
        </w:rPr>
        <w:t>The Audit Team would like to emphasize that the prompt reconciliation and correction of records of the Real estate inventories will accurately present the AFPRSBS’ financial reports to be more useful and will provide relevant financial information to determine whether the assets of the AFPRSBS will be sufficient to cover all its existing obligations at the time of its liquidation.</w:t>
      </w:r>
    </w:p>
    <w:p w14:paraId="2236DA48" w14:textId="77777777" w:rsidR="004E07CA" w:rsidRPr="003A5208" w:rsidRDefault="004E07CA" w:rsidP="00200B96">
      <w:pPr>
        <w:spacing w:after="0" w:line="240" w:lineRule="auto"/>
        <w:jc w:val="both"/>
        <w:rPr>
          <w:rFonts w:ascii="Arial" w:hAnsi="Arial" w:cs="Arial"/>
          <w:lang w:val="en-PH"/>
        </w:rPr>
      </w:pPr>
    </w:p>
    <w:p w14:paraId="2D60BBD9" w14:textId="78FD22A4" w:rsidR="004E07CA" w:rsidRPr="003A5208" w:rsidRDefault="004E07CA" w:rsidP="003A5208">
      <w:pPr>
        <w:pStyle w:val="ListParagraph"/>
        <w:numPr>
          <w:ilvl w:val="0"/>
          <w:numId w:val="80"/>
        </w:numPr>
        <w:ind w:left="1267" w:hanging="691"/>
        <w:jc w:val="both"/>
        <w:rPr>
          <w:rFonts w:ascii="Arial" w:hAnsi="Arial" w:cs="Arial"/>
          <w:b/>
          <w:sz w:val="22"/>
          <w:szCs w:val="22"/>
        </w:rPr>
      </w:pPr>
      <w:r w:rsidRPr="003A5208">
        <w:rPr>
          <w:rFonts w:ascii="Arial" w:hAnsi="Arial" w:cs="Arial"/>
          <w:b/>
          <w:sz w:val="22"/>
          <w:szCs w:val="22"/>
        </w:rPr>
        <w:t xml:space="preserve">We reiterated with modifications our PYs' </w:t>
      </w:r>
      <w:r w:rsidR="00E74758" w:rsidRPr="003A5208">
        <w:rPr>
          <w:rFonts w:ascii="Arial" w:hAnsi="Arial" w:cs="Arial"/>
          <w:b/>
          <w:sz w:val="22"/>
          <w:szCs w:val="22"/>
        </w:rPr>
        <w:t xml:space="preserve">audit </w:t>
      </w:r>
      <w:r w:rsidRPr="003A5208">
        <w:rPr>
          <w:rFonts w:ascii="Arial" w:hAnsi="Arial" w:cs="Arial"/>
          <w:b/>
          <w:sz w:val="22"/>
          <w:szCs w:val="22"/>
        </w:rPr>
        <w:t>recommendations that Management require the concerned personnel to:</w:t>
      </w:r>
    </w:p>
    <w:p w14:paraId="73133671" w14:textId="77777777" w:rsidR="004E07CA" w:rsidRPr="003A5208" w:rsidRDefault="004E07CA" w:rsidP="00200B96">
      <w:pPr>
        <w:spacing w:after="0" w:line="240" w:lineRule="auto"/>
        <w:jc w:val="both"/>
        <w:rPr>
          <w:rFonts w:ascii="Arial" w:hAnsi="Arial" w:cs="Arial"/>
          <w:b/>
        </w:rPr>
      </w:pPr>
    </w:p>
    <w:p w14:paraId="431C793F" w14:textId="77777777" w:rsidR="004E07CA" w:rsidRPr="00200B96" w:rsidRDefault="004E07CA" w:rsidP="00200B96">
      <w:pPr>
        <w:pStyle w:val="ListParagraph"/>
        <w:numPr>
          <w:ilvl w:val="0"/>
          <w:numId w:val="22"/>
        </w:numPr>
        <w:ind w:left="1656"/>
        <w:contextualSpacing/>
        <w:jc w:val="both"/>
        <w:rPr>
          <w:rFonts w:ascii="Arial" w:hAnsi="Arial" w:cs="Arial"/>
          <w:b/>
          <w:bCs/>
          <w:sz w:val="22"/>
          <w:szCs w:val="22"/>
        </w:rPr>
      </w:pPr>
      <w:r w:rsidRPr="00200B96">
        <w:rPr>
          <w:rFonts w:ascii="Arial" w:hAnsi="Arial" w:cs="Arial"/>
          <w:b/>
          <w:bCs/>
          <w:sz w:val="22"/>
          <w:szCs w:val="22"/>
        </w:rPr>
        <w:t xml:space="preserve">Reconcile the remaining variances between the total land area per physical inventory of TCTs with those recorded under the </w:t>
      </w:r>
      <w:proofErr w:type="spellStart"/>
      <w:r w:rsidRPr="00200B96">
        <w:rPr>
          <w:rFonts w:ascii="Arial" w:hAnsi="Arial" w:cs="Arial"/>
          <w:b/>
          <w:bCs/>
          <w:sz w:val="22"/>
          <w:szCs w:val="22"/>
        </w:rPr>
        <w:t>Landbanking</w:t>
      </w:r>
      <w:proofErr w:type="spellEnd"/>
      <w:r w:rsidRPr="00200B96">
        <w:rPr>
          <w:rFonts w:ascii="Arial" w:hAnsi="Arial" w:cs="Arial"/>
          <w:b/>
          <w:bCs/>
          <w:sz w:val="22"/>
          <w:szCs w:val="22"/>
        </w:rPr>
        <w:t xml:space="preserve"> assets account to ensure correctness of the account balance; </w:t>
      </w:r>
    </w:p>
    <w:p w14:paraId="36644AD1" w14:textId="77777777" w:rsidR="004E07CA" w:rsidRPr="00200B96" w:rsidRDefault="004E07CA" w:rsidP="00200B96">
      <w:pPr>
        <w:pStyle w:val="ListParagraph"/>
        <w:ind w:left="1296"/>
        <w:jc w:val="both"/>
        <w:rPr>
          <w:rFonts w:ascii="Arial" w:hAnsi="Arial" w:cs="Arial"/>
          <w:b/>
          <w:sz w:val="22"/>
          <w:szCs w:val="22"/>
        </w:rPr>
      </w:pPr>
    </w:p>
    <w:p w14:paraId="4097011A" w14:textId="77777777" w:rsidR="004E07CA" w:rsidRPr="00200B96" w:rsidRDefault="004E07CA" w:rsidP="00200B96">
      <w:pPr>
        <w:pStyle w:val="ListParagraph"/>
        <w:numPr>
          <w:ilvl w:val="0"/>
          <w:numId w:val="22"/>
        </w:numPr>
        <w:ind w:left="1656"/>
        <w:contextualSpacing/>
        <w:jc w:val="both"/>
        <w:rPr>
          <w:rFonts w:ascii="Arial" w:hAnsi="Arial" w:cs="Arial"/>
          <w:b/>
          <w:sz w:val="22"/>
          <w:szCs w:val="22"/>
        </w:rPr>
      </w:pPr>
      <w:r w:rsidRPr="00200B96">
        <w:rPr>
          <w:rFonts w:ascii="Arial" w:hAnsi="Arial" w:cs="Arial"/>
          <w:b/>
          <w:sz w:val="22"/>
          <w:szCs w:val="22"/>
        </w:rPr>
        <w:t xml:space="preserve">Prioritize the submission of the updated reconciliation pertaining to </w:t>
      </w:r>
      <w:proofErr w:type="spellStart"/>
      <w:r w:rsidRPr="00200B96">
        <w:rPr>
          <w:rFonts w:ascii="Arial" w:hAnsi="Arial" w:cs="Arial"/>
          <w:b/>
          <w:sz w:val="22"/>
          <w:szCs w:val="22"/>
        </w:rPr>
        <w:t>Landbanking</w:t>
      </w:r>
      <w:proofErr w:type="spellEnd"/>
      <w:r w:rsidRPr="00200B96">
        <w:rPr>
          <w:rFonts w:ascii="Arial" w:hAnsi="Arial" w:cs="Arial"/>
          <w:b/>
          <w:sz w:val="22"/>
          <w:szCs w:val="22"/>
        </w:rPr>
        <w:t xml:space="preserve"> assets account for the Audit Team to validate and verify the nature of the remaining variance totaling P84.442 million; and</w:t>
      </w:r>
    </w:p>
    <w:p w14:paraId="7C121FBA" w14:textId="77777777" w:rsidR="004E07CA" w:rsidRPr="00200B96" w:rsidRDefault="004E07CA" w:rsidP="00200B96">
      <w:pPr>
        <w:pStyle w:val="ListParagraph"/>
        <w:ind w:left="1296"/>
        <w:rPr>
          <w:rFonts w:ascii="Arial" w:hAnsi="Arial" w:cs="Arial"/>
          <w:b/>
          <w:sz w:val="22"/>
          <w:szCs w:val="22"/>
        </w:rPr>
      </w:pPr>
    </w:p>
    <w:p w14:paraId="5E58283E" w14:textId="77777777" w:rsidR="004E07CA" w:rsidRPr="00200B96" w:rsidRDefault="004E07CA" w:rsidP="00200B96">
      <w:pPr>
        <w:pStyle w:val="ListParagraph"/>
        <w:numPr>
          <w:ilvl w:val="0"/>
          <w:numId w:val="22"/>
        </w:numPr>
        <w:ind w:left="1656"/>
        <w:contextualSpacing/>
        <w:jc w:val="both"/>
        <w:rPr>
          <w:rFonts w:ascii="Arial" w:hAnsi="Arial" w:cs="Arial"/>
          <w:b/>
          <w:sz w:val="22"/>
          <w:szCs w:val="22"/>
        </w:rPr>
      </w:pPr>
      <w:r w:rsidRPr="00200B96">
        <w:rPr>
          <w:rFonts w:ascii="Arial" w:hAnsi="Arial" w:cs="Arial"/>
          <w:b/>
          <w:sz w:val="22"/>
          <w:szCs w:val="22"/>
        </w:rPr>
        <w:lastRenderedPageBreak/>
        <w:t>Record in the books of the AFPRSBS the listed/identified assets based on the result of the reconciliation that are duly supported with proofs of ownership.</w:t>
      </w:r>
    </w:p>
    <w:p w14:paraId="770CAE28" w14:textId="77777777" w:rsidR="004E07CA" w:rsidRPr="00200B96" w:rsidRDefault="004E07CA" w:rsidP="00200B96">
      <w:pPr>
        <w:pStyle w:val="ListParagraph"/>
        <w:ind w:left="1296"/>
        <w:rPr>
          <w:rFonts w:ascii="Arial" w:hAnsi="Arial" w:cs="Arial"/>
          <w:b/>
          <w:sz w:val="22"/>
          <w:szCs w:val="22"/>
        </w:rPr>
      </w:pPr>
    </w:p>
    <w:p w14:paraId="3C823A5B" w14:textId="77777777" w:rsidR="004E07CA" w:rsidRPr="00200B96" w:rsidRDefault="004E07CA" w:rsidP="003A5208">
      <w:pPr>
        <w:pStyle w:val="ListParagraph"/>
        <w:numPr>
          <w:ilvl w:val="0"/>
          <w:numId w:val="80"/>
        </w:numPr>
        <w:ind w:left="1267" w:hanging="691"/>
        <w:jc w:val="both"/>
        <w:rPr>
          <w:rFonts w:ascii="Arial" w:hAnsi="Arial" w:cs="Arial"/>
          <w:b/>
          <w:sz w:val="22"/>
          <w:szCs w:val="22"/>
        </w:rPr>
      </w:pPr>
      <w:r w:rsidRPr="00200B96">
        <w:rPr>
          <w:rFonts w:ascii="Arial" w:hAnsi="Arial" w:cs="Arial"/>
          <w:b/>
          <w:sz w:val="22"/>
          <w:szCs w:val="22"/>
        </w:rPr>
        <w:t>We further recommended that Management:</w:t>
      </w:r>
    </w:p>
    <w:p w14:paraId="6B05786B" w14:textId="77777777" w:rsidR="004E07CA" w:rsidRPr="00200B96" w:rsidRDefault="004E07CA" w:rsidP="00200B96">
      <w:pPr>
        <w:pStyle w:val="ListParagraph"/>
        <w:ind w:left="1296"/>
        <w:jc w:val="both"/>
        <w:rPr>
          <w:rFonts w:ascii="Arial" w:hAnsi="Arial" w:cs="Arial"/>
          <w:b/>
          <w:sz w:val="22"/>
          <w:szCs w:val="22"/>
        </w:rPr>
      </w:pPr>
    </w:p>
    <w:p w14:paraId="4BE98606" w14:textId="77777777" w:rsidR="004E07CA" w:rsidRPr="00200B96" w:rsidRDefault="004E07CA" w:rsidP="00BB0337">
      <w:pPr>
        <w:pStyle w:val="ListParagraph"/>
        <w:numPr>
          <w:ilvl w:val="3"/>
          <w:numId w:val="3"/>
        </w:numPr>
        <w:ind w:left="1656" w:hanging="360"/>
        <w:contextualSpacing/>
        <w:jc w:val="both"/>
        <w:rPr>
          <w:rFonts w:ascii="Arial" w:hAnsi="Arial" w:cs="Arial"/>
          <w:b/>
          <w:sz w:val="22"/>
          <w:szCs w:val="22"/>
        </w:rPr>
      </w:pPr>
      <w:r w:rsidRPr="00200B96">
        <w:rPr>
          <w:rFonts w:ascii="Arial" w:hAnsi="Arial" w:cs="Arial"/>
          <w:b/>
          <w:sz w:val="22"/>
          <w:szCs w:val="22"/>
        </w:rPr>
        <w:t>Facilitate the cancellation of Installment Sales Contracts with past due accounts; and</w:t>
      </w:r>
    </w:p>
    <w:p w14:paraId="58C77669" w14:textId="77777777" w:rsidR="004E07CA" w:rsidRPr="00200B96" w:rsidRDefault="004E07CA" w:rsidP="00200B96">
      <w:pPr>
        <w:pStyle w:val="ListParagraph"/>
        <w:ind w:left="1656" w:hanging="360"/>
        <w:rPr>
          <w:rFonts w:ascii="Arial" w:hAnsi="Arial" w:cs="Arial"/>
          <w:b/>
          <w:sz w:val="22"/>
          <w:szCs w:val="22"/>
        </w:rPr>
      </w:pPr>
    </w:p>
    <w:p w14:paraId="77167900" w14:textId="77777777" w:rsidR="004E07CA" w:rsidRPr="00200B96" w:rsidRDefault="004E07CA" w:rsidP="00BB0337">
      <w:pPr>
        <w:pStyle w:val="ListParagraph"/>
        <w:numPr>
          <w:ilvl w:val="3"/>
          <w:numId w:val="3"/>
        </w:numPr>
        <w:ind w:left="1656" w:hanging="360"/>
        <w:contextualSpacing/>
        <w:jc w:val="both"/>
        <w:rPr>
          <w:rFonts w:ascii="Arial" w:hAnsi="Arial" w:cs="Arial"/>
          <w:b/>
          <w:sz w:val="22"/>
          <w:szCs w:val="22"/>
        </w:rPr>
      </w:pPr>
      <w:r w:rsidRPr="00200B96">
        <w:rPr>
          <w:rFonts w:ascii="Arial" w:hAnsi="Arial" w:cs="Arial"/>
          <w:b/>
          <w:sz w:val="22"/>
          <w:szCs w:val="22"/>
        </w:rPr>
        <w:t xml:space="preserve">Derecognize from the books of the AFPRSBS, the unpaid property purchased from </w:t>
      </w:r>
      <w:proofErr w:type="spellStart"/>
      <w:r w:rsidRPr="00200B96">
        <w:rPr>
          <w:rFonts w:ascii="Arial" w:hAnsi="Arial" w:cs="Arial"/>
          <w:b/>
          <w:sz w:val="22"/>
          <w:szCs w:val="22"/>
        </w:rPr>
        <w:t>Bulaong</w:t>
      </w:r>
      <w:proofErr w:type="spellEnd"/>
      <w:r w:rsidRPr="00200B96">
        <w:rPr>
          <w:rFonts w:ascii="Arial" w:hAnsi="Arial" w:cs="Arial"/>
          <w:b/>
          <w:sz w:val="22"/>
          <w:szCs w:val="22"/>
        </w:rPr>
        <w:t xml:space="preserve"> Enterprises, unless ownership or real rights could already be established.</w:t>
      </w:r>
    </w:p>
    <w:p w14:paraId="342CF38E" w14:textId="77777777" w:rsidR="004E07CA" w:rsidRPr="00200B96" w:rsidRDefault="004E07CA" w:rsidP="00200B96">
      <w:pPr>
        <w:pStyle w:val="ListParagraph"/>
        <w:rPr>
          <w:rFonts w:ascii="Arial" w:hAnsi="Arial" w:cs="Arial"/>
          <w:b/>
          <w:sz w:val="22"/>
          <w:szCs w:val="22"/>
        </w:rPr>
      </w:pPr>
    </w:p>
    <w:p w14:paraId="3B88607C" w14:textId="77777777" w:rsidR="004E07CA" w:rsidRPr="00200B96" w:rsidRDefault="004E07CA" w:rsidP="003A5208">
      <w:pPr>
        <w:pStyle w:val="ListParagraph"/>
        <w:numPr>
          <w:ilvl w:val="0"/>
          <w:numId w:val="80"/>
        </w:numPr>
        <w:ind w:left="1267" w:hanging="691"/>
        <w:jc w:val="both"/>
        <w:rPr>
          <w:rFonts w:ascii="Arial" w:hAnsi="Arial" w:cs="Arial"/>
          <w:sz w:val="22"/>
          <w:szCs w:val="22"/>
        </w:rPr>
      </w:pPr>
      <w:r w:rsidRPr="00200B96">
        <w:rPr>
          <w:rFonts w:ascii="Arial" w:hAnsi="Arial" w:cs="Arial"/>
          <w:sz w:val="22"/>
          <w:szCs w:val="22"/>
        </w:rPr>
        <w:t>The</w:t>
      </w:r>
      <w:r w:rsidRPr="00200B96">
        <w:rPr>
          <w:rFonts w:ascii="Arial" w:hAnsi="Arial" w:cs="Arial"/>
          <w:bCs/>
          <w:sz w:val="22"/>
          <w:szCs w:val="22"/>
        </w:rPr>
        <w:t xml:space="preserve"> Management commented that</w:t>
      </w:r>
      <w:r w:rsidRPr="00200B96">
        <w:rPr>
          <w:rFonts w:ascii="Arial" w:hAnsi="Arial" w:cs="Arial"/>
          <w:sz w:val="22"/>
          <w:szCs w:val="22"/>
        </w:rPr>
        <w:t xml:space="preserve"> the balance of P84.442 million is still </w:t>
      </w:r>
      <w:r w:rsidRPr="003A5208">
        <w:rPr>
          <w:rFonts w:ascii="Arial" w:hAnsi="Arial" w:cs="Arial"/>
          <w:sz w:val="22"/>
          <w:szCs w:val="22"/>
        </w:rPr>
        <w:t>subject</w:t>
      </w:r>
      <w:r w:rsidRPr="00200B96">
        <w:rPr>
          <w:rFonts w:ascii="Arial" w:hAnsi="Arial" w:cs="Arial"/>
          <w:sz w:val="22"/>
          <w:szCs w:val="22"/>
        </w:rPr>
        <w:t xml:space="preserve"> to reconciliation. An updated reconciliation schedule will be submitted to the Audit Team once the validation/review of the accounts are completed.   </w:t>
      </w:r>
    </w:p>
    <w:p w14:paraId="79EA3CFA" w14:textId="77777777" w:rsidR="004E07CA" w:rsidRPr="00200B96" w:rsidRDefault="004E07CA" w:rsidP="00200B96">
      <w:pPr>
        <w:pStyle w:val="ListParagraph"/>
        <w:ind w:left="1296"/>
        <w:jc w:val="both"/>
        <w:rPr>
          <w:rFonts w:ascii="Arial" w:hAnsi="Arial" w:cs="Arial"/>
          <w:b/>
          <w:sz w:val="22"/>
          <w:szCs w:val="22"/>
        </w:rPr>
      </w:pPr>
    </w:p>
    <w:p w14:paraId="2A322B0C" w14:textId="77777777" w:rsidR="004E07CA" w:rsidRPr="00200B96" w:rsidRDefault="004E07CA" w:rsidP="003A5208">
      <w:pPr>
        <w:pStyle w:val="ListParagraph"/>
        <w:numPr>
          <w:ilvl w:val="0"/>
          <w:numId w:val="80"/>
        </w:numPr>
        <w:ind w:left="1267" w:hanging="691"/>
        <w:jc w:val="both"/>
        <w:rPr>
          <w:rFonts w:ascii="Arial" w:hAnsi="Arial" w:cs="Arial"/>
          <w:sz w:val="22"/>
          <w:szCs w:val="22"/>
        </w:rPr>
      </w:pPr>
      <w:r w:rsidRPr="00200B96">
        <w:rPr>
          <w:rFonts w:ascii="Arial" w:hAnsi="Arial" w:cs="Arial"/>
          <w:sz w:val="22"/>
          <w:szCs w:val="22"/>
        </w:rPr>
        <w:t>As</w:t>
      </w:r>
      <w:r w:rsidRPr="00200B96">
        <w:rPr>
          <w:rFonts w:ascii="Arial" w:hAnsi="Arial" w:cs="Arial"/>
          <w:bCs/>
          <w:sz w:val="22"/>
          <w:szCs w:val="22"/>
        </w:rPr>
        <w:t xml:space="preserve"> regards the </w:t>
      </w:r>
      <w:r w:rsidRPr="003A5208">
        <w:rPr>
          <w:rFonts w:ascii="Arial" w:hAnsi="Arial" w:cs="Arial"/>
          <w:sz w:val="22"/>
          <w:szCs w:val="22"/>
        </w:rPr>
        <w:t>seven</w:t>
      </w:r>
      <w:r w:rsidRPr="00200B96">
        <w:rPr>
          <w:rFonts w:ascii="Arial" w:hAnsi="Arial" w:cs="Arial"/>
          <w:bCs/>
          <w:sz w:val="22"/>
          <w:szCs w:val="22"/>
        </w:rPr>
        <w:t xml:space="preserve"> projects which were not recorded in the AFPRSBS </w:t>
      </w:r>
      <w:r w:rsidRPr="00200B96">
        <w:rPr>
          <w:rFonts w:ascii="Arial" w:hAnsi="Arial" w:cs="Arial"/>
          <w:sz w:val="22"/>
          <w:szCs w:val="22"/>
        </w:rPr>
        <w:t>books</w:t>
      </w:r>
      <w:r w:rsidRPr="00200B96">
        <w:rPr>
          <w:rFonts w:ascii="Arial" w:hAnsi="Arial" w:cs="Arial"/>
          <w:bCs/>
          <w:sz w:val="22"/>
          <w:szCs w:val="22"/>
        </w:rPr>
        <w:t xml:space="preserve">, </w:t>
      </w:r>
      <w:r w:rsidRPr="00200B96">
        <w:rPr>
          <w:rFonts w:ascii="Arial" w:hAnsi="Arial" w:cs="Arial"/>
          <w:sz w:val="22"/>
          <w:szCs w:val="22"/>
        </w:rPr>
        <w:t>the Management commented that the history of each account is being traced and adjustments in the books will be made, as necessary.</w:t>
      </w:r>
    </w:p>
    <w:p w14:paraId="61AA384F" w14:textId="77777777" w:rsidR="004E07CA" w:rsidRPr="00200B96" w:rsidRDefault="004E07CA" w:rsidP="00200B96">
      <w:pPr>
        <w:pStyle w:val="ListParagraph"/>
        <w:rPr>
          <w:rFonts w:ascii="Arial" w:hAnsi="Arial" w:cs="Arial"/>
          <w:sz w:val="22"/>
          <w:szCs w:val="22"/>
        </w:rPr>
      </w:pPr>
    </w:p>
    <w:p w14:paraId="5A3F1D71" w14:textId="77777777" w:rsidR="004E07CA" w:rsidRPr="00200B96" w:rsidRDefault="004E07CA" w:rsidP="003A5208">
      <w:pPr>
        <w:pStyle w:val="ListParagraph"/>
        <w:numPr>
          <w:ilvl w:val="0"/>
          <w:numId w:val="80"/>
        </w:numPr>
        <w:ind w:left="1267" w:hanging="691"/>
        <w:jc w:val="both"/>
        <w:rPr>
          <w:rFonts w:ascii="Arial" w:hAnsi="Arial" w:cs="Arial"/>
          <w:bCs/>
          <w:sz w:val="22"/>
          <w:szCs w:val="22"/>
        </w:rPr>
      </w:pPr>
      <w:r w:rsidRPr="00200B96">
        <w:rPr>
          <w:rFonts w:ascii="Arial" w:hAnsi="Arial" w:cs="Arial"/>
          <w:bCs/>
          <w:sz w:val="22"/>
          <w:szCs w:val="22"/>
        </w:rPr>
        <w:t>Furthermore, the AFPRSBS will work on the necessary actions in relation to the long overdue installment sales depending on the result of the evaluation/review that will be made for each account.  Past due accounts which may not qualify anymore for restructuring will be recommended for cancellation.</w:t>
      </w:r>
    </w:p>
    <w:p w14:paraId="425963B9" w14:textId="77777777" w:rsidR="004E07CA" w:rsidRPr="00200B96" w:rsidRDefault="004E07CA" w:rsidP="00200B96">
      <w:pPr>
        <w:pStyle w:val="ListParagraph"/>
        <w:ind w:left="1296"/>
        <w:jc w:val="both"/>
        <w:rPr>
          <w:rFonts w:ascii="Arial" w:hAnsi="Arial" w:cs="Arial"/>
          <w:sz w:val="22"/>
          <w:szCs w:val="22"/>
        </w:rPr>
      </w:pPr>
    </w:p>
    <w:p w14:paraId="7A538AB8" w14:textId="77777777" w:rsidR="004E07CA" w:rsidRPr="00200B96" w:rsidRDefault="004E07CA" w:rsidP="003A5208">
      <w:pPr>
        <w:pStyle w:val="ListParagraph"/>
        <w:numPr>
          <w:ilvl w:val="0"/>
          <w:numId w:val="80"/>
        </w:numPr>
        <w:ind w:left="1267" w:hanging="691"/>
        <w:jc w:val="both"/>
        <w:rPr>
          <w:rFonts w:ascii="Arial" w:hAnsi="Arial" w:cs="Arial"/>
          <w:sz w:val="22"/>
          <w:szCs w:val="22"/>
        </w:rPr>
      </w:pPr>
      <w:r w:rsidRPr="00200B96">
        <w:rPr>
          <w:rFonts w:ascii="Arial" w:hAnsi="Arial" w:cs="Arial"/>
          <w:bCs/>
          <w:sz w:val="22"/>
          <w:szCs w:val="22"/>
        </w:rPr>
        <w:t xml:space="preserve">Moreover, </w:t>
      </w:r>
      <w:r w:rsidRPr="00200B96">
        <w:rPr>
          <w:rFonts w:ascii="Arial" w:hAnsi="Arial" w:cs="Arial"/>
          <w:sz w:val="22"/>
          <w:szCs w:val="22"/>
        </w:rPr>
        <w:t xml:space="preserve">necessary adjustments will be made in the books depending on the result of the negotiation that will be undertaken, if any, between the seller and the AFPRSBS.        </w:t>
      </w:r>
    </w:p>
    <w:p w14:paraId="71FD9EDD" w14:textId="77777777" w:rsidR="004E07CA" w:rsidRPr="00200B96" w:rsidRDefault="004E07CA" w:rsidP="00200B96">
      <w:pPr>
        <w:pStyle w:val="ListParagraph"/>
        <w:rPr>
          <w:rFonts w:ascii="Arial" w:hAnsi="Arial" w:cs="Arial"/>
          <w:sz w:val="22"/>
          <w:szCs w:val="22"/>
        </w:rPr>
      </w:pPr>
    </w:p>
    <w:p w14:paraId="29C48563" w14:textId="77777777" w:rsidR="004E07CA" w:rsidRPr="00200B96" w:rsidRDefault="004E07CA" w:rsidP="003A5208">
      <w:pPr>
        <w:pStyle w:val="ListParagraph"/>
        <w:numPr>
          <w:ilvl w:val="0"/>
          <w:numId w:val="80"/>
        </w:numPr>
        <w:ind w:left="1267" w:hanging="691"/>
        <w:jc w:val="both"/>
        <w:rPr>
          <w:rFonts w:ascii="Arial" w:hAnsi="Arial" w:cs="Arial"/>
          <w:sz w:val="22"/>
          <w:szCs w:val="22"/>
          <w:lang w:val="en-PH"/>
        </w:rPr>
      </w:pPr>
      <w:r w:rsidRPr="00200B96">
        <w:rPr>
          <w:rFonts w:ascii="Arial" w:hAnsi="Arial" w:cs="Arial"/>
          <w:bCs/>
          <w:sz w:val="22"/>
          <w:szCs w:val="22"/>
        </w:rPr>
        <w:t xml:space="preserve">As a rejoinder, we appreciate Management’s continuous effort in reconciling the noted variances but the Audit Team </w:t>
      </w:r>
      <w:r w:rsidRPr="00200B96">
        <w:rPr>
          <w:rFonts w:ascii="Arial" w:hAnsi="Arial" w:cs="Arial"/>
          <w:sz w:val="22"/>
          <w:szCs w:val="22"/>
          <w:lang w:val="en-PH"/>
        </w:rPr>
        <w:t>will closely monitor Management’s compliance with the above recommendations until the variance is fully reconciled.</w:t>
      </w:r>
    </w:p>
    <w:p w14:paraId="7CFF715E" w14:textId="2AB906C1" w:rsidR="004E07CA" w:rsidRDefault="004E07CA" w:rsidP="007947AE">
      <w:pPr>
        <w:spacing w:after="0" w:line="240" w:lineRule="auto"/>
        <w:contextualSpacing/>
        <w:jc w:val="both"/>
        <w:rPr>
          <w:rFonts w:ascii="Arial" w:hAnsi="Arial" w:cs="Arial"/>
        </w:rPr>
      </w:pPr>
    </w:p>
    <w:p w14:paraId="1744E3C5" w14:textId="77777777" w:rsidR="007947AE" w:rsidRPr="00200B96" w:rsidRDefault="007947AE" w:rsidP="007947AE">
      <w:pPr>
        <w:spacing w:after="0" w:line="240" w:lineRule="auto"/>
        <w:contextualSpacing/>
        <w:jc w:val="both"/>
        <w:rPr>
          <w:rFonts w:ascii="Arial" w:hAnsi="Arial" w:cs="Arial"/>
        </w:rPr>
      </w:pPr>
    </w:p>
    <w:p w14:paraId="6EAD2D8A" w14:textId="5D19FE4B" w:rsidR="004E07CA" w:rsidRPr="00200B96" w:rsidRDefault="004E07CA"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200B96">
        <w:rPr>
          <w:rFonts w:ascii="Arial" w:hAnsi="Arial" w:cs="Arial"/>
          <w:b/>
          <w:sz w:val="22"/>
          <w:szCs w:val="22"/>
        </w:rPr>
        <w:t xml:space="preserve">The net values of Investment in real estate – </w:t>
      </w:r>
      <w:proofErr w:type="spellStart"/>
      <w:r w:rsidRPr="00200B96">
        <w:rPr>
          <w:rFonts w:ascii="Arial" w:hAnsi="Arial" w:cs="Arial"/>
          <w:b/>
          <w:sz w:val="22"/>
          <w:szCs w:val="22"/>
        </w:rPr>
        <w:t>landbanking</w:t>
      </w:r>
      <w:proofErr w:type="spellEnd"/>
      <w:r w:rsidRPr="00200B96">
        <w:rPr>
          <w:rFonts w:ascii="Arial" w:hAnsi="Arial" w:cs="Arial"/>
          <w:b/>
          <w:sz w:val="22"/>
          <w:szCs w:val="22"/>
        </w:rPr>
        <w:t xml:space="preserve"> and industrial park and Acquired assets accounts of AFPRSBS totaling P2.092 billion as at December 31, 2022 are still valued using the cost model despite the issuance of MO No. 90 which directs the abolition of the </w:t>
      </w:r>
      <w:r w:rsidR="000C5F71">
        <w:rPr>
          <w:rFonts w:ascii="Arial" w:hAnsi="Arial" w:cs="Arial"/>
          <w:b/>
          <w:sz w:val="22"/>
          <w:szCs w:val="22"/>
        </w:rPr>
        <w:t>AFPRSBS</w:t>
      </w:r>
      <w:r w:rsidRPr="00200B96">
        <w:rPr>
          <w:rFonts w:ascii="Arial" w:hAnsi="Arial" w:cs="Arial"/>
          <w:b/>
          <w:sz w:val="22"/>
          <w:szCs w:val="22"/>
        </w:rPr>
        <w:t xml:space="preserve"> and to sell all its real estate assets.  Likewise, the same accounts were not classified and presented as Assets Held for Sale under current assets. Consequently, the continued measurement, classification, and presentation of the account balances in this manner is not in consonance with Paragraph 15 of PAS 1, and Paragraphs 6 and 15 of PFRS 5. Thus, the balances could not be relied upon affecting the fair presentation of the accounts in the FS. </w:t>
      </w:r>
    </w:p>
    <w:p w14:paraId="04B8F3DC" w14:textId="77777777" w:rsidR="004E07CA" w:rsidRPr="00200B96" w:rsidRDefault="004E07CA" w:rsidP="00200B96">
      <w:pPr>
        <w:pStyle w:val="NormalWeb"/>
        <w:spacing w:before="0" w:beforeAutospacing="0" w:after="0" w:afterAutospacing="0"/>
        <w:ind w:left="792"/>
        <w:jc w:val="both"/>
        <w:rPr>
          <w:rFonts w:ascii="Arial" w:hAnsi="Arial" w:cs="Arial"/>
          <w:sz w:val="22"/>
          <w:szCs w:val="22"/>
          <w:lang w:eastAsia="en-PH"/>
        </w:rPr>
      </w:pPr>
    </w:p>
    <w:p w14:paraId="466FE19D" w14:textId="3042541E" w:rsidR="004E07CA"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200B96">
        <w:rPr>
          <w:rFonts w:ascii="Arial" w:hAnsi="Arial" w:cs="Arial"/>
          <w:sz w:val="22"/>
          <w:szCs w:val="22"/>
          <w:lang w:eastAsia="en-PH"/>
        </w:rPr>
        <w:t xml:space="preserve">Aside from Paragraph 15 of PAS 1 requiring fair presentation of FS, Paragraphs 6 and 15 of PFRS 5 on Non-current Assets Held for Sale and </w:t>
      </w:r>
      <w:r w:rsidRPr="00200B96">
        <w:rPr>
          <w:rFonts w:ascii="Arial" w:hAnsi="Arial" w:cs="Arial"/>
          <w:sz w:val="22"/>
          <w:szCs w:val="22"/>
        </w:rPr>
        <w:t>Discontinued</w:t>
      </w:r>
      <w:r w:rsidRPr="00200B96">
        <w:rPr>
          <w:rFonts w:ascii="Arial" w:hAnsi="Arial" w:cs="Arial"/>
          <w:sz w:val="22"/>
          <w:szCs w:val="22"/>
          <w:lang w:eastAsia="en-PH"/>
        </w:rPr>
        <w:t xml:space="preserve"> Operations provide:</w:t>
      </w:r>
    </w:p>
    <w:p w14:paraId="7BA1C5A8" w14:textId="77777777" w:rsidR="001D2A5A" w:rsidRPr="00200B96" w:rsidRDefault="001D2A5A" w:rsidP="001D2A5A">
      <w:pPr>
        <w:pStyle w:val="NormalWeb"/>
        <w:spacing w:before="0" w:beforeAutospacing="0" w:after="0" w:afterAutospacing="0"/>
        <w:ind w:left="1267"/>
        <w:jc w:val="both"/>
        <w:rPr>
          <w:rFonts w:ascii="Arial" w:hAnsi="Arial" w:cs="Arial"/>
          <w:sz w:val="22"/>
          <w:szCs w:val="22"/>
          <w:lang w:eastAsia="en-PH"/>
        </w:rPr>
      </w:pPr>
    </w:p>
    <w:p w14:paraId="242C8574" w14:textId="77777777" w:rsidR="004E07CA" w:rsidRPr="00200B96" w:rsidRDefault="004E07CA" w:rsidP="00200B96">
      <w:pPr>
        <w:tabs>
          <w:tab w:val="left" w:pos="1080"/>
        </w:tabs>
        <w:spacing w:after="0" w:line="240" w:lineRule="auto"/>
        <w:ind w:left="1728" w:right="432"/>
        <w:contextualSpacing/>
        <w:jc w:val="both"/>
        <w:rPr>
          <w:rFonts w:ascii="Arial" w:hAnsi="Arial" w:cs="Arial"/>
          <w:i/>
          <w:lang w:eastAsia="en-PH"/>
        </w:rPr>
      </w:pPr>
      <w:r w:rsidRPr="00200B96">
        <w:rPr>
          <w:rFonts w:ascii="Arial" w:hAnsi="Arial" w:cs="Arial"/>
          <w:i/>
          <w:lang w:eastAsia="en-PH"/>
        </w:rPr>
        <w:t>6. An entity shall classify a non-current asset (or disposal group) as held for sale if its carrying amount will be recovered principally through a sale transaction rather than through continuing use.</w:t>
      </w:r>
    </w:p>
    <w:p w14:paraId="5B087A2C" w14:textId="77777777" w:rsidR="004E07CA" w:rsidRPr="00200B96" w:rsidRDefault="004E07CA" w:rsidP="00200B96">
      <w:pPr>
        <w:tabs>
          <w:tab w:val="left" w:pos="1080"/>
        </w:tabs>
        <w:spacing w:after="0" w:line="240" w:lineRule="auto"/>
        <w:ind w:left="1728" w:right="432"/>
        <w:contextualSpacing/>
        <w:jc w:val="both"/>
        <w:rPr>
          <w:rFonts w:ascii="Arial" w:hAnsi="Arial" w:cs="Arial"/>
          <w:i/>
          <w:lang w:eastAsia="en-PH"/>
        </w:rPr>
      </w:pPr>
    </w:p>
    <w:p w14:paraId="6F43CB50" w14:textId="77777777" w:rsidR="004E07CA" w:rsidRPr="00200B96" w:rsidRDefault="004E07CA" w:rsidP="00200B96">
      <w:pPr>
        <w:tabs>
          <w:tab w:val="left" w:pos="1080"/>
        </w:tabs>
        <w:spacing w:after="0" w:line="240" w:lineRule="auto"/>
        <w:ind w:left="1728" w:right="432"/>
        <w:contextualSpacing/>
        <w:jc w:val="both"/>
        <w:rPr>
          <w:rFonts w:ascii="Arial" w:hAnsi="Arial" w:cs="Arial"/>
          <w:i/>
          <w:lang w:eastAsia="en-PH"/>
        </w:rPr>
      </w:pPr>
      <w:r w:rsidRPr="00200B96">
        <w:rPr>
          <w:rFonts w:ascii="Arial" w:hAnsi="Arial" w:cs="Arial"/>
          <w:i/>
          <w:lang w:eastAsia="en-PH"/>
        </w:rPr>
        <w:t>7. For this to be the case, the asset (or disposal group) must be available for immediate sale in its present condition subject only to terms that are usual and customary for sales of such assets (or disposal groups) and its sale must be highly probable.</w:t>
      </w:r>
    </w:p>
    <w:p w14:paraId="16DBBA65" w14:textId="77777777" w:rsidR="004E07CA" w:rsidRPr="00200B96" w:rsidRDefault="004E07CA" w:rsidP="00200B96">
      <w:pPr>
        <w:tabs>
          <w:tab w:val="left" w:pos="1080"/>
        </w:tabs>
        <w:spacing w:after="0" w:line="240" w:lineRule="auto"/>
        <w:ind w:left="1728" w:right="432"/>
        <w:contextualSpacing/>
        <w:jc w:val="both"/>
        <w:rPr>
          <w:rFonts w:ascii="Arial" w:hAnsi="Arial" w:cs="Arial"/>
          <w:i/>
          <w:lang w:eastAsia="en-PH"/>
        </w:rPr>
      </w:pPr>
    </w:p>
    <w:p w14:paraId="068A71C3" w14:textId="77777777" w:rsidR="004E07CA" w:rsidRPr="00200B96" w:rsidRDefault="004E07CA" w:rsidP="00200B96">
      <w:pPr>
        <w:tabs>
          <w:tab w:val="left" w:pos="1080"/>
        </w:tabs>
        <w:spacing w:after="0" w:line="240" w:lineRule="auto"/>
        <w:ind w:left="1728" w:right="432"/>
        <w:contextualSpacing/>
        <w:jc w:val="both"/>
        <w:rPr>
          <w:rFonts w:ascii="Arial" w:hAnsi="Arial" w:cs="Arial"/>
          <w:lang w:eastAsia="en-PH"/>
        </w:rPr>
      </w:pPr>
      <w:r w:rsidRPr="00200B96">
        <w:rPr>
          <w:rFonts w:ascii="Arial" w:hAnsi="Arial" w:cs="Arial"/>
          <w:i/>
          <w:lang w:eastAsia="en-PH"/>
        </w:rPr>
        <w:t xml:space="preserve">8. For the sale to be highly probable, </w:t>
      </w:r>
      <w:r w:rsidRPr="00200B96">
        <w:rPr>
          <w:rFonts w:ascii="Arial" w:hAnsi="Arial" w:cs="Arial"/>
          <w:b/>
          <w:i/>
          <w:lang w:eastAsia="en-PH"/>
        </w:rPr>
        <w:t xml:space="preserve">the appropriate level of management must be committed to a plan to sell the asset (or disposal group), and an active program to locate a buyer and complete the plan must have been initiated. </w:t>
      </w:r>
    </w:p>
    <w:p w14:paraId="083AFABE" w14:textId="77777777" w:rsidR="004E07CA" w:rsidRPr="00200B96" w:rsidRDefault="004E07CA" w:rsidP="00200B96">
      <w:pPr>
        <w:spacing w:after="0" w:line="240" w:lineRule="auto"/>
        <w:ind w:left="1728" w:right="432" w:firstLine="270"/>
        <w:contextualSpacing/>
        <w:jc w:val="both"/>
        <w:rPr>
          <w:rFonts w:ascii="Arial" w:hAnsi="Arial" w:cs="Arial"/>
          <w:lang w:eastAsia="en-PH"/>
        </w:rPr>
      </w:pPr>
    </w:p>
    <w:p w14:paraId="59B207A4" w14:textId="77777777" w:rsidR="004E07CA" w:rsidRPr="00200B96" w:rsidRDefault="004E07CA" w:rsidP="00200B96">
      <w:pPr>
        <w:tabs>
          <w:tab w:val="left" w:pos="1080"/>
        </w:tabs>
        <w:spacing w:after="0" w:line="240" w:lineRule="auto"/>
        <w:ind w:left="1728" w:right="432"/>
        <w:contextualSpacing/>
        <w:jc w:val="both"/>
        <w:rPr>
          <w:rFonts w:ascii="Arial" w:hAnsi="Arial" w:cs="Arial"/>
          <w:i/>
        </w:rPr>
      </w:pPr>
      <w:r w:rsidRPr="00200B96">
        <w:rPr>
          <w:rFonts w:ascii="Arial" w:hAnsi="Arial" w:cs="Arial"/>
          <w:i/>
        </w:rPr>
        <w:t xml:space="preserve">Xxx </w:t>
      </w:r>
    </w:p>
    <w:p w14:paraId="1DDBF666" w14:textId="77777777" w:rsidR="004E07CA" w:rsidRPr="00200B96" w:rsidRDefault="004E07CA" w:rsidP="00200B96">
      <w:pPr>
        <w:tabs>
          <w:tab w:val="left" w:pos="1080"/>
        </w:tabs>
        <w:spacing w:after="0" w:line="240" w:lineRule="auto"/>
        <w:ind w:left="1728" w:right="432"/>
        <w:contextualSpacing/>
        <w:jc w:val="both"/>
        <w:rPr>
          <w:rFonts w:ascii="Arial" w:hAnsi="Arial" w:cs="Arial"/>
          <w:i/>
        </w:rPr>
      </w:pPr>
    </w:p>
    <w:p w14:paraId="1A88560A" w14:textId="77777777" w:rsidR="004E07CA" w:rsidRPr="00200B96" w:rsidRDefault="004E07CA" w:rsidP="00200B96">
      <w:pPr>
        <w:tabs>
          <w:tab w:val="left" w:pos="1080"/>
        </w:tabs>
        <w:spacing w:after="0" w:line="240" w:lineRule="auto"/>
        <w:ind w:left="1728" w:right="432"/>
        <w:contextualSpacing/>
        <w:jc w:val="both"/>
        <w:rPr>
          <w:rFonts w:ascii="Arial" w:hAnsi="Arial" w:cs="Arial"/>
          <w:i/>
        </w:rPr>
      </w:pPr>
      <w:r w:rsidRPr="00200B96">
        <w:rPr>
          <w:rFonts w:ascii="Arial" w:hAnsi="Arial" w:cs="Arial"/>
          <w:i/>
        </w:rPr>
        <w:t xml:space="preserve">15. An </w:t>
      </w:r>
      <w:r w:rsidRPr="00200B96">
        <w:rPr>
          <w:rFonts w:ascii="Arial" w:hAnsi="Arial" w:cs="Arial"/>
          <w:i/>
          <w:lang w:eastAsia="en-PH"/>
        </w:rPr>
        <w:t>entity</w:t>
      </w:r>
      <w:r w:rsidRPr="00200B96">
        <w:rPr>
          <w:rFonts w:ascii="Arial" w:hAnsi="Arial" w:cs="Arial"/>
          <w:i/>
        </w:rPr>
        <w:t xml:space="preserve"> shall measure a non-current asset (or disposal group) classified as held for sale at the </w:t>
      </w:r>
      <w:r w:rsidRPr="00200B96">
        <w:rPr>
          <w:rFonts w:ascii="Arial" w:hAnsi="Arial" w:cs="Arial"/>
          <w:b/>
          <w:i/>
        </w:rPr>
        <w:t>lower of its carrying amount and fair value less costs to</w:t>
      </w:r>
      <w:r w:rsidRPr="00200B96">
        <w:rPr>
          <w:rFonts w:ascii="Arial" w:hAnsi="Arial" w:cs="Arial"/>
          <w:i/>
        </w:rPr>
        <w:t xml:space="preserve"> </w:t>
      </w:r>
      <w:r w:rsidRPr="00200B96">
        <w:rPr>
          <w:rFonts w:ascii="Arial" w:hAnsi="Arial" w:cs="Arial"/>
          <w:b/>
          <w:i/>
        </w:rPr>
        <w:t xml:space="preserve">sell. </w:t>
      </w:r>
      <w:r w:rsidRPr="00200B96">
        <w:rPr>
          <w:rFonts w:ascii="Arial" w:hAnsi="Arial" w:cs="Arial"/>
        </w:rPr>
        <w:t>(Emphasis supplied)</w:t>
      </w:r>
    </w:p>
    <w:p w14:paraId="7B596CD6" w14:textId="77777777" w:rsidR="004E07CA" w:rsidRPr="00200B96" w:rsidRDefault="004E07CA" w:rsidP="00200B96">
      <w:pPr>
        <w:tabs>
          <w:tab w:val="left" w:pos="1080"/>
        </w:tabs>
        <w:spacing w:after="0" w:line="240" w:lineRule="auto"/>
        <w:ind w:left="1728" w:right="432"/>
        <w:contextualSpacing/>
        <w:jc w:val="both"/>
        <w:rPr>
          <w:rFonts w:ascii="Arial" w:hAnsi="Arial" w:cs="Arial"/>
        </w:rPr>
      </w:pPr>
    </w:p>
    <w:p w14:paraId="30B13837" w14:textId="77777777" w:rsidR="004E07CA" w:rsidRPr="00200B96"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200B96">
        <w:rPr>
          <w:rFonts w:ascii="Arial" w:hAnsi="Arial" w:cs="Arial"/>
          <w:sz w:val="22"/>
          <w:szCs w:val="22"/>
          <w:lang w:eastAsia="en-PH"/>
        </w:rPr>
        <w:t>In addition, as defined under Paragraph 5 of PAS 41, costs to sell is the incremental costs directly attributable to the disposal of an asset (or disposal group), excluding finance costs and income tax expense.</w:t>
      </w:r>
    </w:p>
    <w:p w14:paraId="19C6742B" w14:textId="77777777" w:rsidR="004E07CA" w:rsidRPr="00200B96" w:rsidRDefault="004E07CA" w:rsidP="00200B96">
      <w:pPr>
        <w:pStyle w:val="NormalWeb"/>
        <w:spacing w:before="0" w:beforeAutospacing="0" w:after="0" w:afterAutospacing="0"/>
        <w:ind w:left="792"/>
        <w:jc w:val="both"/>
        <w:rPr>
          <w:rFonts w:ascii="Arial" w:hAnsi="Arial" w:cs="Arial"/>
          <w:sz w:val="22"/>
          <w:szCs w:val="22"/>
        </w:rPr>
      </w:pPr>
    </w:p>
    <w:p w14:paraId="6D635575" w14:textId="77777777" w:rsidR="004E07CA" w:rsidRPr="00200B96"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200B96">
        <w:rPr>
          <w:rFonts w:ascii="Arial" w:hAnsi="Arial" w:cs="Arial"/>
          <w:sz w:val="22"/>
          <w:szCs w:val="22"/>
          <w:lang w:eastAsia="en-PH"/>
        </w:rPr>
        <w:t>Likewise, Section 3 of MO No. 90 provides:</w:t>
      </w:r>
    </w:p>
    <w:p w14:paraId="16D2606B" w14:textId="77777777" w:rsidR="004E07CA" w:rsidRPr="00200B96" w:rsidRDefault="004E07CA" w:rsidP="00200B96">
      <w:pPr>
        <w:spacing w:line="240" w:lineRule="auto"/>
        <w:ind w:firstLine="810"/>
        <w:contextualSpacing/>
        <w:jc w:val="both"/>
        <w:rPr>
          <w:rFonts w:ascii="Arial" w:hAnsi="Arial" w:cs="Arial"/>
          <w:lang w:eastAsia="en-PH"/>
        </w:rPr>
      </w:pPr>
    </w:p>
    <w:p w14:paraId="1FC9A68A" w14:textId="77777777" w:rsidR="004E07CA" w:rsidRPr="00200B96" w:rsidRDefault="004E07CA" w:rsidP="00200B96">
      <w:pPr>
        <w:tabs>
          <w:tab w:val="left" w:pos="1080"/>
        </w:tabs>
        <w:spacing w:after="0" w:line="240" w:lineRule="auto"/>
        <w:ind w:left="1728" w:right="432"/>
        <w:contextualSpacing/>
        <w:jc w:val="both"/>
        <w:rPr>
          <w:rFonts w:ascii="Arial" w:hAnsi="Arial" w:cs="Arial"/>
          <w:i/>
          <w:lang w:eastAsia="en-PH"/>
        </w:rPr>
      </w:pPr>
      <w:r w:rsidRPr="00200B96">
        <w:rPr>
          <w:rFonts w:ascii="Arial" w:hAnsi="Arial" w:cs="Arial"/>
          <w:i/>
          <w:lang w:eastAsia="en-PH"/>
        </w:rPr>
        <w:t>Section 3. Winding down and Liquidation – The AFPRSBS Board shall act as a Board of Liquidators, subject to oversight by the Governance Commission, and is hereby directed to:</w:t>
      </w:r>
    </w:p>
    <w:p w14:paraId="1606C26B" w14:textId="77777777" w:rsidR="004E07CA" w:rsidRPr="00200B96" w:rsidRDefault="004E07CA" w:rsidP="00200B96">
      <w:pPr>
        <w:spacing w:after="0" w:line="240" w:lineRule="auto"/>
        <w:ind w:left="1728" w:right="432"/>
        <w:contextualSpacing/>
        <w:jc w:val="both"/>
        <w:rPr>
          <w:rFonts w:ascii="Arial" w:hAnsi="Arial" w:cs="Arial"/>
          <w:i/>
          <w:lang w:eastAsia="en-PH"/>
        </w:rPr>
      </w:pPr>
    </w:p>
    <w:p w14:paraId="1C5D44E3" w14:textId="77777777" w:rsidR="004E07CA" w:rsidRPr="00200B96" w:rsidRDefault="004E07CA" w:rsidP="00200B96">
      <w:pPr>
        <w:spacing w:after="0" w:line="240" w:lineRule="auto"/>
        <w:ind w:left="1728" w:right="432"/>
        <w:contextualSpacing/>
        <w:jc w:val="both"/>
        <w:rPr>
          <w:rFonts w:ascii="Arial" w:hAnsi="Arial" w:cs="Arial"/>
          <w:i/>
          <w:lang w:eastAsia="en-PH"/>
        </w:rPr>
      </w:pPr>
      <w:r w:rsidRPr="00200B96">
        <w:rPr>
          <w:rFonts w:ascii="Arial" w:hAnsi="Arial" w:cs="Arial"/>
          <w:i/>
          <w:lang w:eastAsia="en-PH"/>
        </w:rPr>
        <w:t>Xxx</w:t>
      </w:r>
    </w:p>
    <w:p w14:paraId="41286CEA" w14:textId="77777777" w:rsidR="004E07CA" w:rsidRPr="00200B96" w:rsidRDefault="004E07CA" w:rsidP="00200B96">
      <w:pPr>
        <w:spacing w:after="0" w:line="240" w:lineRule="auto"/>
        <w:ind w:left="1728" w:right="432"/>
        <w:contextualSpacing/>
        <w:jc w:val="both"/>
        <w:rPr>
          <w:rFonts w:ascii="Arial" w:hAnsi="Arial" w:cs="Arial"/>
          <w:i/>
          <w:lang w:eastAsia="en-PH"/>
        </w:rPr>
      </w:pPr>
    </w:p>
    <w:p w14:paraId="46E72C8B" w14:textId="77777777" w:rsidR="004E07CA" w:rsidRPr="00200B96" w:rsidRDefault="004E07CA" w:rsidP="00200B96">
      <w:pPr>
        <w:spacing w:after="0" w:line="240" w:lineRule="auto"/>
        <w:ind w:left="1728" w:right="432"/>
        <w:contextualSpacing/>
        <w:jc w:val="both"/>
        <w:rPr>
          <w:rFonts w:ascii="Arial" w:hAnsi="Arial" w:cs="Arial"/>
          <w:i/>
          <w:lang w:eastAsia="en-PH"/>
        </w:rPr>
      </w:pPr>
      <w:r w:rsidRPr="00200B96">
        <w:rPr>
          <w:rFonts w:ascii="Arial" w:hAnsi="Arial" w:cs="Arial"/>
          <w:i/>
          <w:lang w:eastAsia="en-PH"/>
        </w:rPr>
        <w:t>f. Enter contracts for the following purpose:</w:t>
      </w:r>
    </w:p>
    <w:p w14:paraId="2DA49AAD" w14:textId="77777777" w:rsidR="004E07CA" w:rsidRPr="00200B96" w:rsidRDefault="004E07CA" w:rsidP="00200B96">
      <w:pPr>
        <w:spacing w:after="0" w:line="240" w:lineRule="auto"/>
        <w:ind w:left="1728" w:right="432"/>
        <w:contextualSpacing/>
        <w:jc w:val="both"/>
        <w:rPr>
          <w:rFonts w:ascii="Arial" w:hAnsi="Arial" w:cs="Arial"/>
          <w:i/>
          <w:lang w:eastAsia="en-PH"/>
        </w:rPr>
      </w:pPr>
    </w:p>
    <w:p w14:paraId="1ECEB1F2" w14:textId="77777777" w:rsidR="004E07CA" w:rsidRPr="00200B96" w:rsidRDefault="004E07CA" w:rsidP="00200B96">
      <w:pPr>
        <w:pStyle w:val="ListParagraph"/>
        <w:numPr>
          <w:ilvl w:val="0"/>
          <w:numId w:val="13"/>
        </w:numPr>
        <w:ind w:left="1728" w:right="432" w:firstLine="0"/>
        <w:contextualSpacing/>
        <w:jc w:val="both"/>
        <w:rPr>
          <w:rFonts w:ascii="Arial" w:hAnsi="Arial" w:cs="Arial"/>
          <w:sz w:val="22"/>
          <w:szCs w:val="22"/>
          <w:lang w:eastAsia="en-PH"/>
        </w:rPr>
      </w:pPr>
      <w:r w:rsidRPr="00200B96">
        <w:rPr>
          <w:rFonts w:ascii="Arial" w:hAnsi="Arial" w:cs="Arial"/>
          <w:b/>
          <w:i/>
          <w:sz w:val="22"/>
          <w:szCs w:val="22"/>
          <w:lang w:eastAsia="en-PH"/>
        </w:rPr>
        <w:t>Sell all its real estate assets</w:t>
      </w:r>
      <w:r w:rsidRPr="00200B96">
        <w:rPr>
          <w:rFonts w:ascii="Arial" w:hAnsi="Arial" w:cs="Arial"/>
          <w:i/>
          <w:sz w:val="22"/>
          <w:szCs w:val="22"/>
          <w:lang w:eastAsia="en-PH"/>
        </w:rPr>
        <w:t xml:space="preserve">, such as, but not limited to, subdivision lots, house and lots, memorial lots, raw lands and all acquired assets in accordance with the existing internal policies of AFP-RSBS; </w:t>
      </w:r>
      <w:r w:rsidRPr="00200B96">
        <w:rPr>
          <w:rFonts w:ascii="Arial" w:hAnsi="Arial" w:cs="Arial"/>
          <w:sz w:val="22"/>
          <w:szCs w:val="22"/>
          <w:lang w:eastAsia="en-PH"/>
        </w:rPr>
        <w:t>(Emphasis supplied)</w:t>
      </w:r>
    </w:p>
    <w:p w14:paraId="7A8D553F" w14:textId="77777777" w:rsidR="004E07CA" w:rsidRPr="00200B96" w:rsidRDefault="004E07CA" w:rsidP="00200B96">
      <w:pPr>
        <w:pStyle w:val="NormalWeb"/>
        <w:spacing w:before="0" w:beforeAutospacing="0" w:after="0" w:afterAutospacing="0"/>
        <w:ind w:left="792"/>
        <w:jc w:val="both"/>
        <w:rPr>
          <w:rFonts w:ascii="Arial" w:hAnsi="Arial" w:cs="Arial"/>
          <w:sz w:val="22"/>
          <w:szCs w:val="22"/>
        </w:rPr>
      </w:pPr>
    </w:p>
    <w:p w14:paraId="1B0C44E7" w14:textId="23F222F1" w:rsidR="004E07CA" w:rsidRPr="00200B96"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In the review of the FS as at December 31, 2022, the Audit Team observed that the AFPRSBS still used the cost model as measurement basis for its Investment in real estate – </w:t>
      </w:r>
      <w:proofErr w:type="spellStart"/>
      <w:r w:rsidRPr="00200B96">
        <w:rPr>
          <w:rFonts w:ascii="Arial" w:hAnsi="Arial" w:cs="Arial"/>
          <w:sz w:val="22"/>
          <w:szCs w:val="22"/>
        </w:rPr>
        <w:t>landbanking</w:t>
      </w:r>
      <w:proofErr w:type="spellEnd"/>
      <w:r w:rsidRPr="00200B96">
        <w:rPr>
          <w:rFonts w:ascii="Arial" w:hAnsi="Arial" w:cs="Arial"/>
          <w:sz w:val="22"/>
          <w:szCs w:val="22"/>
        </w:rPr>
        <w:t xml:space="preserve"> and industrial park, and Acquired assets totaling to P2.092 billion, despite the issuance of MO No. 90 directing the AFPRSBS’ abolition. The details and account b</w:t>
      </w:r>
      <w:r w:rsidR="00E4192B" w:rsidRPr="00200B96">
        <w:rPr>
          <w:rFonts w:ascii="Arial" w:hAnsi="Arial" w:cs="Arial"/>
          <w:sz w:val="22"/>
          <w:szCs w:val="22"/>
        </w:rPr>
        <w:t>alances are presented in Table 6</w:t>
      </w:r>
      <w:r w:rsidRPr="00200B96">
        <w:rPr>
          <w:rFonts w:ascii="Arial" w:hAnsi="Arial" w:cs="Arial"/>
          <w:sz w:val="22"/>
          <w:szCs w:val="22"/>
        </w:rPr>
        <w:t>.1.</w:t>
      </w:r>
    </w:p>
    <w:p w14:paraId="1B3340C2" w14:textId="77777777" w:rsidR="008E03D7" w:rsidRPr="00200B96" w:rsidRDefault="008E03D7" w:rsidP="00200B96">
      <w:pPr>
        <w:pStyle w:val="NormalWeb"/>
        <w:spacing w:before="0" w:beforeAutospacing="0" w:after="0" w:afterAutospacing="0"/>
        <w:ind w:left="1260"/>
        <w:jc w:val="both"/>
        <w:rPr>
          <w:rFonts w:ascii="Arial" w:hAnsi="Arial" w:cs="Arial"/>
          <w:sz w:val="22"/>
          <w:szCs w:val="22"/>
        </w:rPr>
      </w:pPr>
    </w:p>
    <w:p w14:paraId="361E7CB1" w14:textId="77777777" w:rsidR="00EB778E" w:rsidRDefault="00EB778E" w:rsidP="00200B96">
      <w:pPr>
        <w:spacing w:line="240" w:lineRule="auto"/>
        <w:ind w:left="1260"/>
        <w:contextualSpacing/>
        <w:jc w:val="center"/>
        <w:rPr>
          <w:rFonts w:ascii="Arial" w:hAnsi="Arial" w:cs="Arial"/>
          <w:b/>
        </w:rPr>
      </w:pPr>
    </w:p>
    <w:p w14:paraId="531E7E21" w14:textId="77777777" w:rsidR="00EB778E" w:rsidRDefault="00EB778E" w:rsidP="00200B96">
      <w:pPr>
        <w:spacing w:line="240" w:lineRule="auto"/>
        <w:ind w:left="1260"/>
        <w:contextualSpacing/>
        <w:jc w:val="center"/>
        <w:rPr>
          <w:rFonts w:ascii="Arial" w:hAnsi="Arial" w:cs="Arial"/>
          <w:b/>
        </w:rPr>
      </w:pPr>
    </w:p>
    <w:p w14:paraId="5F45E675" w14:textId="77777777" w:rsidR="00EB778E" w:rsidRDefault="00EB778E" w:rsidP="00200B96">
      <w:pPr>
        <w:spacing w:line="240" w:lineRule="auto"/>
        <w:ind w:left="1260"/>
        <w:contextualSpacing/>
        <w:jc w:val="center"/>
        <w:rPr>
          <w:rFonts w:ascii="Arial" w:hAnsi="Arial" w:cs="Arial"/>
          <w:b/>
        </w:rPr>
      </w:pPr>
    </w:p>
    <w:p w14:paraId="7E758290" w14:textId="77777777" w:rsidR="00EB778E" w:rsidRDefault="00EB778E" w:rsidP="00200B96">
      <w:pPr>
        <w:spacing w:line="240" w:lineRule="auto"/>
        <w:ind w:left="1260"/>
        <w:contextualSpacing/>
        <w:jc w:val="center"/>
        <w:rPr>
          <w:rFonts w:ascii="Arial" w:hAnsi="Arial" w:cs="Arial"/>
          <w:b/>
        </w:rPr>
      </w:pPr>
    </w:p>
    <w:p w14:paraId="213EB734" w14:textId="77777777" w:rsidR="00EB778E" w:rsidRDefault="00EB778E" w:rsidP="00200B96">
      <w:pPr>
        <w:spacing w:line="240" w:lineRule="auto"/>
        <w:ind w:left="1260"/>
        <w:contextualSpacing/>
        <w:jc w:val="center"/>
        <w:rPr>
          <w:rFonts w:ascii="Arial" w:hAnsi="Arial" w:cs="Arial"/>
          <w:b/>
        </w:rPr>
      </w:pPr>
    </w:p>
    <w:p w14:paraId="1246BD3E" w14:textId="7D1ECA2A" w:rsidR="008E03D7" w:rsidRPr="00200B96" w:rsidRDefault="004E07CA" w:rsidP="00200B96">
      <w:pPr>
        <w:spacing w:line="240" w:lineRule="auto"/>
        <w:ind w:left="1260"/>
        <w:contextualSpacing/>
        <w:jc w:val="center"/>
        <w:rPr>
          <w:rFonts w:ascii="Arial" w:hAnsi="Arial" w:cs="Arial"/>
          <w:b/>
        </w:rPr>
      </w:pPr>
      <w:r w:rsidRPr="00200B96">
        <w:rPr>
          <w:rFonts w:ascii="Arial" w:hAnsi="Arial" w:cs="Arial"/>
          <w:b/>
        </w:rPr>
        <w:t xml:space="preserve">Table </w:t>
      </w:r>
      <w:r w:rsidR="00E4192B" w:rsidRPr="00200B96">
        <w:rPr>
          <w:rFonts w:ascii="Arial" w:hAnsi="Arial" w:cs="Arial"/>
          <w:b/>
        </w:rPr>
        <w:t>6</w:t>
      </w:r>
      <w:r w:rsidRPr="00200B96">
        <w:rPr>
          <w:rFonts w:ascii="Arial" w:hAnsi="Arial" w:cs="Arial"/>
          <w:b/>
        </w:rPr>
        <w:t xml:space="preserve">.1 – Account Balances of Investment property and </w:t>
      </w:r>
      <w:r w:rsidR="008E03D7" w:rsidRPr="00200B96">
        <w:rPr>
          <w:rFonts w:ascii="Arial" w:hAnsi="Arial" w:cs="Arial"/>
          <w:b/>
        </w:rPr>
        <w:t xml:space="preserve"> </w:t>
      </w:r>
    </w:p>
    <w:p w14:paraId="64511440" w14:textId="6CD714D2" w:rsidR="004E07CA" w:rsidRPr="00200B96" w:rsidRDefault="004E07CA" w:rsidP="00200B96">
      <w:pPr>
        <w:spacing w:line="240" w:lineRule="auto"/>
        <w:ind w:left="1260"/>
        <w:contextualSpacing/>
        <w:jc w:val="center"/>
        <w:rPr>
          <w:rFonts w:ascii="Arial" w:hAnsi="Arial" w:cs="Arial"/>
          <w:b/>
        </w:rPr>
      </w:pPr>
      <w:r w:rsidRPr="00200B96">
        <w:rPr>
          <w:rFonts w:ascii="Arial" w:hAnsi="Arial" w:cs="Arial"/>
          <w:b/>
        </w:rPr>
        <w:t>Acquired assets account</w:t>
      </w:r>
    </w:p>
    <w:p w14:paraId="1582D3BD" w14:textId="77777777" w:rsidR="004E07CA" w:rsidRPr="00200B96" w:rsidRDefault="004E07CA" w:rsidP="00200B96">
      <w:pPr>
        <w:spacing w:line="240" w:lineRule="auto"/>
        <w:ind w:left="1260"/>
        <w:contextualSpacing/>
        <w:jc w:val="center"/>
        <w:rPr>
          <w:rFonts w:ascii="Arial" w:hAnsi="Arial" w:cs="Arial"/>
          <w:b/>
        </w:rPr>
      </w:pPr>
      <w:r w:rsidRPr="00200B96">
        <w:rPr>
          <w:rFonts w:ascii="Arial" w:hAnsi="Arial" w:cs="Arial"/>
          <w:b/>
        </w:rPr>
        <w:t>As at December 31, 2022</w:t>
      </w:r>
    </w:p>
    <w:p w14:paraId="5701B022" w14:textId="77777777" w:rsidR="004E07CA" w:rsidRPr="00200B96" w:rsidRDefault="004E07CA" w:rsidP="00200B96">
      <w:pPr>
        <w:spacing w:after="0" w:line="240" w:lineRule="auto"/>
        <w:contextualSpacing/>
        <w:jc w:val="center"/>
        <w:rPr>
          <w:rFonts w:ascii="Arial" w:hAnsi="Arial" w:cs="Arial"/>
          <w:b/>
        </w:rPr>
      </w:pPr>
    </w:p>
    <w:tbl>
      <w:tblPr>
        <w:tblW w:w="7470" w:type="dxa"/>
        <w:tblInd w:w="1260" w:type="dxa"/>
        <w:tblLayout w:type="fixed"/>
        <w:tblLook w:val="04A0" w:firstRow="1" w:lastRow="0" w:firstColumn="1" w:lastColumn="0" w:noHBand="0" w:noVBand="1"/>
      </w:tblPr>
      <w:tblGrid>
        <w:gridCol w:w="4590"/>
        <w:gridCol w:w="720"/>
        <w:gridCol w:w="2160"/>
      </w:tblGrid>
      <w:tr w:rsidR="004E07CA" w:rsidRPr="00892A58" w14:paraId="343E7D78" w14:textId="77777777" w:rsidTr="00E4192B">
        <w:trPr>
          <w:trHeight w:val="20"/>
          <w:tblHeader/>
        </w:trPr>
        <w:tc>
          <w:tcPr>
            <w:tcW w:w="4590" w:type="dxa"/>
            <w:tcBorders>
              <w:top w:val="single" w:sz="4" w:space="0" w:color="auto"/>
              <w:bottom w:val="single" w:sz="4" w:space="0" w:color="auto"/>
            </w:tcBorders>
            <w:shd w:val="clear" w:color="auto" w:fill="auto"/>
          </w:tcPr>
          <w:p w14:paraId="76CEE436" w14:textId="77777777" w:rsidR="004E07CA" w:rsidRPr="00892A58" w:rsidRDefault="004E07CA" w:rsidP="00E4192B">
            <w:pPr>
              <w:pStyle w:val="ListParagraph"/>
              <w:ind w:left="252" w:hanging="360"/>
              <w:jc w:val="center"/>
              <w:rPr>
                <w:rFonts w:ascii="Arial" w:hAnsi="Arial" w:cs="Arial"/>
                <w:b/>
                <w:sz w:val="20"/>
                <w:szCs w:val="20"/>
                <w:lang w:val="en-PH"/>
              </w:rPr>
            </w:pPr>
            <w:r w:rsidRPr="00892A58">
              <w:rPr>
                <w:rFonts w:ascii="Arial" w:hAnsi="Arial" w:cs="Arial"/>
                <w:b/>
                <w:sz w:val="20"/>
                <w:szCs w:val="20"/>
                <w:lang w:val="en-PH"/>
              </w:rPr>
              <w:t>Account title</w:t>
            </w:r>
          </w:p>
        </w:tc>
        <w:tc>
          <w:tcPr>
            <w:tcW w:w="2880" w:type="dxa"/>
            <w:gridSpan w:val="2"/>
            <w:tcBorders>
              <w:top w:val="single" w:sz="4" w:space="0" w:color="auto"/>
              <w:bottom w:val="single" w:sz="4" w:space="0" w:color="auto"/>
            </w:tcBorders>
          </w:tcPr>
          <w:p w14:paraId="7A15DFFA" w14:textId="77777777" w:rsidR="004E07CA" w:rsidRPr="00892A58" w:rsidRDefault="004E07CA" w:rsidP="00E4192B">
            <w:pPr>
              <w:pStyle w:val="ListParagraph"/>
              <w:ind w:left="844"/>
              <w:jc w:val="center"/>
              <w:rPr>
                <w:rFonts w:ascii="Arial" w:hAnsi="Arial" w:cs="Arial"/>
                <w:b/>
                <w:sz w:val="20"/>
                <w:szCs w:val="20"/>
                <w:lang w:val="en-PH"/>
              </w:rPr>
            </w:pPr>
            <w:r w:rsidRPr="00892A58">
              <w:rPr>
                <w:rFonts w:ascii="Arial" w:hAnsi="Arial" w:cs="Arial"/>
                <w:b/>
                <w:sz w:val="20"/>
                <w:szCs w:val="20"/>
                <w:lang w:val="en-PH"/>
              </w:rPr>
              <w:t>Amount</w:t>
            </w:r>
          </w:p>
        </w:tc>
      </w:tr>
      <w:tr w:rsidR="004E07CA" w:rsidRPr="00892A58" w14:paraId="0BA920F0" w14:textId="77777777" w:rsidTr="00E4192B">
        <w:trPr>
          <w:trHeight w:val="20"/>
        </w:trPr>
        <w:tc>
          <w:tcPr>
            <w:tcW w:w="4590" w:type="dxa"/>
            <w:tcBorders>
              <w:top w:val="single" w:sz="4" w:space="0" w:color="auto"/>
            </w:tcBorders>
            <w:shd w:val="clear" w:color="auto" w:fill="auto"/>
          </w:tcPr>
          <w:p w14:paraId="5C6043FA" w14:textId="77777777" w:rsidR="004E07CA" w:rsidRPr="00892A58" w:rsidRDefault="004E07CA" w:rsidP="00E4192B">
            <w:pPr>
              <w:pStyle w:val="ListParagraph"/>
              <w:ind w:left="252" w:hanging="360"/>
              <w:rPr>
                <w:rFonts w:ascii="Arial" w:hAnsi="Arial" w:cs="Arial"/>
                <w:b/>
                <w:sz w:val="20"/>
                <w:szCs w:val="20"/>
                <w:lang w:val="en-PH"/>
              </w:rPr>
            </w:pPr>
            <w:r w:rsidRPr="00892A58">
              <w:rPr>
                <w:rFonts w:ascii="Arial" w:hAnsi="Arial" w:cs="Arial"/>
                <w:b/>
                <w:sz w:val="20"/>
                <w:szCs w:val="20"/>
                <w:lang w:val="en-PH"/>
              </w:rPr>
              <w:t>Investment property</w:t>
            </w:r>
          </w:p>
        </w:tc>
        <w:tc>
          <w:tcPr>
            <w:tcW w:w="2880" w:type="dxa"/>
            <w:gridSpan w:val="2"/>
            <w:tcBorders>
              <w:top w:val="single" w:sz="4" w:space="0" w:color="auto"/>
            </w:tcBorders>
          </w:tcPr>
          <w:p w14:paraId="741CB06C" w14:textId="77777777" w:rsidR="004E07CA" w:rsidRPr="00892A58" w:rsidRDefault="004E07CA" w:rsidP="00E4192B">
            <w:pPr>
              <w:pStyle w:val="ListParagraph"/>
              <w:tabs>
                <w:tab w:val="left" w:pos="142"/>
              </w:tabs>
              <w:ind w:left="175"/>
              <w:jc w:val="center"/>
              <w:rPr>
                <w:rFonts w:ascii="Arial" w:hAnsi="Arial" w:cs="Arial"/>
                <w:b/>
                <w:sz w:val="20"/>
                <w:szCs w:val="20"/>
                <w:lang w:val="en-PH"/>
              </w:rPr>
            </w:pPr>
          </w:p>
        </w:tc>
      </w:tr>
      <w:tr w:rsidR="004E07CA" w:rsidRPr="00892A58" w14:paraId="0A9706E3" w14:textId="77777777" w:rsidTr="00E4192B">
        <w:trPr>
          <w:trHeight w:val="20"/>
        </w:trPr>
        <w:tc>
          <w:tcPr>
            <w:tcW w:w="4590" w:type="dxa"/>
            <w:shd w:val="clear" w:color="auto" w:fill="auto"/>
          </w:tcPr>
          <w:p w14:paraId="72615AD8" w14:textId="77777777" w:rsidR="004E07CA" w:rsidRPr="00892A58" w:rsidRDefault="004E07CA" w:rsidP="00E4192B">
            <w:pPr>
              <w:pStyle w:val="ListParagraph"/>
              <w:ind w:left="252" w:hanging="180"/>
              <w:rPr>
                <w:rFonts w:ascii="Arial" w:hAnsi="Arial" w:cs="Arial"/>
                <w:i/>
                <w:sz w:val="20"/>
                <w:szCs w:val="20"/>
                <w:lang w:val="en-PH"/>
              </w:rPr>
            </w:pPr>
            <w:proofErr w:type="spellStart"/>
            <w:r w:rsidRPr="00892A58">
              <w:rPr>
                <w:rFonts w:ascii="Arial" w:hAnsi="Arial" w:cs="Arial"/>
                <w:i/>
                <w:sz w:val="20"/>
                <w:szCs w:val="20"/>
                <w:lang w:val="en-PH"/>
              </w:rPr>
              <w:t>Landbanking</w:t>
            </w:r>
            <w:proofErr w:type="spellEnd"/>
            <w:r w:rsidRPr="00892A58">
              <w:rPr>
                <w:rFonts w:ascii="Arial" w:hAnsi="Arial" w:cs="Arial"/>
                <w:i/>
                <w:sz w:val="20"/>
                <w:szCs w:val="20"/>
                <w:lang w:val="en-PH"/>
              </w:rPr>
              <w:t xml:space="preserve"> assets</w:t>
            </w:r>
          </w:p>
        </w:tc>
        <w:tc>
          <w:tcPr>
            <w:tcW w:w="2880" w:type="dxa"/>
            <w:gridSpan w:val="2"/>
          </w:tcPr>
          <w:p w14:paraId="1BE7117F" w14:textId="77777777" w:rsidR="004E07CA" w:rsidRPr="00892A58" w:rsidRDefault="004E07CA" w:rsidP="00E4192B">
            <w:pPr>
              <w:pStyle w:val="ListParagraph"/>
              <w:tabs>
                <w:tab w:val="left" w:pos="142"/>
              </w:tabs>
              <w:ind w:left="175"/>
              <w:jc w:val="center"/>
              <w:rPr>
                <w:rFonts w:ascii="Arial" w:hAnsi="Arial" w:cs="Arial"/>
                <w:b/>
                <w:sz w:val="20"/>
                <w:szCs w:val="20"/>
                <w:lang w:val="en-PH"/>
              </w:rPr>
            </w:pPr>
          </w:p>
        </w:tc>
      </w:tr>
      <w:tr w:rsidR="004E07CA" w:rsidRPr="00892A58" w14:paraId="3AB00096" w14:textId="77777777" w:rsidTr="00E4192B">
        <w:trPr>
          <w:trHeight w:val="20"/>
        </w:trPr>
        <w:tc>
          <w:tcPr>
            <w:tcW w:w="4590" w:type="dxa"/>
            <w:shd w:val="clear" w:color="auto" w:fill="auto"/>
            <w:vAlign w:val="bottom"/>
          </w:tcPr>
          <w:p w14:paraId="5EEFEC75" w14:textId="77777777" w:rsidR="004E07CA" w:rsidRPr="00892A58" w:rsidRDefault="004E07CA" w:rsidP="00E4192B">
            <w:pPr>
              <w:pStyle w:val="ListParagraph"/>
              <w:tabs>
                <w:tab w:val="left" w:pos="142"/>
              </w:tabs>
              <w:ind w:left="252" w:right="-57"/>
              <w:rPr>
                <w:rFonts w:ascii="Arial" w:hAnsi="Arial" w:cs="Arial"/>
                <w:sz w:val="20"/>
                <w:szCs w:val="20"/>
                <w:lang w:val="en-PH"/>
              </w:rPr>
            </w:pPr>
            <w:r w:rsidRPr="00892A58">
              <w:rPr>
                <w:rFonts w:ascii="Arial" w:hAnsi="Arial" w:cs="Arial"/>
                <w:sz w:val="20"/>
                <w:szCs w:val="20"/>
              </w:rPr>
              <w:t xml:space="preserve">Investment in real estate, </w:t>
            </w:r>
            <w:proofErr w:type="spellStart"/>
            <w:r w:rsidRPr="00892A58">
              <w:rPr>
                <w:rFonts w:ascii="Arial" w:hAnsi="Arial" w:cs="Arial"/>
                <w:sz w:val="20"/>
                <w:szCs w:val="20"/>
              </w:rPr>
              <w:t>landbanking</w:t>
            </w:r>
            <w:proofErr w:type="spellEnd"/>
          </w:p>
        </w:tc>
        <w:tc>
          <w:tcPr>
            <w:tcW w:w="2880" w:type="dxa"/>
            <w:gridSpan w:val="2"/>
          </w:tcPr>
          <w:p w14:paraId="354F34F9" w14:textId="77777777" w:rsidR="004E07CA" w:rsidRPr="00892A58" w:rsidRDefault="004E07CA" w:rsidP="00E4192B">
            <w:pPr>
              <w:pStyle w:val="ListParagraph"/>
              <w:tabs>
                <w:tab w:val="left" w:pos="142"/>
              </w:tabs>
              <w:ind w:left="-57" w:right="-57"/>
              <w:jc w:val="right"/>
              <w:rPr>
                <w:rFonts w:ascii="Arial" w:hAnsi="Arial" w:cs="Arial"/>
                <w:sz w:val="20"/>
                <w:szCs w:val="20"/>
              </w:rPr>
            </w:pPr>
            <w:r w:rsidRPr="00892A58">
              <w:rPr>
                <w:rFonts w:ascii="Arial" w:hAnsi="Arial" w:cs="Arial"/>
                <w:sz w:val="20"/>
                <w:szCs w:val="20"/>
              </w:rPr>
              <w:t>P 1,767,013,436</w:t>
            </w:r>
          </w:p>
        </w:tc>
      </w:tr>
      <w:tr w:rsidR="004E07CA" w:rsidRPr="00892A58" w14:paraId="03DF8DFB" w14:textId="77777777" w:rsidTr="00E4192B">
        <w:trPr>
          <w:trHeight w:val="20"/>
        </w:trPr>
        <w:tc>
          <w:tcPr>
            <w:tcW w:w="4590" w:type="dxa"/>
            <w:shd w:val="clear" w:color="auto" w:fill="auto"/>
            <w:vAlign w:val="bottom"/>
          </w:tcPr>
          <w:p w14:paraId="0D1342F4" w14:textId="77777777" w:rsidR="004E07CA" w:rsidRPr="00892A58" w:rsidRDefault="004E07CA" w:rsidP="00E4192B">
            <w:pPr>
              <w:pStyle w:val="ListParagraph"/>
              <w:tabs>
                <w:tab w:val="left" w:pos="142"/>
              </w:tabs>
              <w:ind w:left="252" w:right="-57"/>
              <w:rPr>
                <w:rFonts w:ascii="Arial" w:hAnsi="Arial" w:cs="Arial"/>
                <w:sz w:val="20"/>
                <w:szCs w:val="20"/>
                <w:lang w:val="en-PH"/>
              </w:rPr>
            </w:pPr>
            <w:r w:rsidRPr="00892A58">
              <w:rPr>
                <w:rFonts w:ascii="Arial" w:hAnsi="Arial" w:cs="Arial"/>
                <w:sz w:val="20"/>
                <w:szCs w:val="20"/>
              </w:rPr>
              <w:t>Allowance for probable loss, other assets</w:t>
            </w:r>
          </w:p>
        </w:tc>
        <w:tc>
          <w:tcPr>
            <w:tcW w:w="2880" w:type="dxa"/>
            <w:gridSpan w:val="2"/>
          </w:tcPr>
          <w:p w14:paraId="36FC308E" w14:textId="77777777" w:rsidR="004E07CA" w:rsidRPr="00892A58" w:rsidRDefault="004E07CA" w:rsidP="00E4192B">
            <w:pPr>
              <w:pStyle w:val="ListParagraph"/>
              <w:tabs>
                <w:tab w:val="left" w:pos="142"/>
              </w:tabs>
              <w:ind w:left="-57" w:right="-115"/>
              <w:jc w:val="right"/>
              <w:rPr>
                <w:rFonts w:ascii="Arial" w:hAnsi="Arial" w:cs="Arial"/>
                <w:sz w:val="20"/>
                <w:szCs w:val="20"/>
              </w:rPr>
            </w:pPr>
            <w:r w:rsidRPr="00892A58">
              <w:rPr>
                <w:rFonts w:ascii="Arial" w:hAnsi="Arial" w:cs="Arial"/>
                <w:sz w:val="20"/>
                <w:szCs w:val="20"/>
              </w:rPr>
              <w:t xml:space="preserve"> (19,232,230)</w:t>
            </w:r>
          </w:p>
        </w:tc>
      </w:tr>
      <w:tr w:rsidR="004E07CA" w:rsidRPr="00892A58" w14:paraId="7448D166" w14:textId="77777777" w:rsidTr="00E4192B">
        <w:trPr>
          <w:trHeight w:val="144"/>
        </w:trPr>
        <w:tc>
          <w:tcPr>
            <w:tcW w:w="4590" w:type="dxa"/>
            <w:tcBorders>
              <w:top w:val="single" w:sz="4" w:space="0" w:color="auto"/>
              <w:bottom w:val="single" w:sz="4" w:space="0" w:color="auto"/>
            </w:tcBorders>
            <w:shd w:val="clear" w:color="auto" w:fill="auto"/>
            <w:vAlign w:val="center"/>
          </w:tcPr>
          <w:p w14:paraId="32569A38" w14:textId="77777777" w:rsidR="004E07CA" w:rsidRPr="00892A58" w:rsidRDefault="004E07CA" w:rsidP="00E4192B">
            <w:pPr>
              <w:pStyle w:val="ListParagraph"/>
              <w:tabs>
                <w:tab w:val="left" w:pos="142"/>
              </w:tabs>
              <w:ind w:left="-57" w:right="-57"/>
              <w:rPr>
                <w:rFonts w:ascii="Arial" w:hAnsi="Arial" w:cs="Arial"/>
                <w:sz w:val="20"/>
                <w:szCs w:val="20"/>
                <w:lang w:val="en-PH"/>
              </w:rPr>
            </w:pPr>
            <w:r w:rsidRPr="00892A58">
              <w:rPr>
                <w:rFonts w:ascii="Arial" w:hAnsi="Arial" w:cs="Arial"/>
                <w:b/>
                <w:sz w:val="20"/>
                <w:szCs w:val="20"/>
                <w:lang w:val="en-PH"/>
              </w:rPr>
              <w:t>Sub-total</w:t>
            </w:r>
          </w:p>
        </w:tc>
        <w:tc>
          <w:tcPr>
            <w:tcW w:w="2880" w:type="dxa"/>
            <w:gridSpan w:val="2"/>
            <w:tcBorders>
              <w:top w:val="single" w:sz="4" w:space="0" w:color="auto"/>
              <w:bottom w:val="single" w:sz="4" w:space="0" w:color="auto"/>
            </w:tcBorders>
            <w:vAlign w:val="center"/>
          </w:tcPr>
          <w:p w14:paraId="3F672D7C" w14:textId="77777777" w:rsidR="004E07CA" w:rsidRPr="00892A58" w:rsidRDefault="004E07CA" w:rsidP="00E4192B">
            <w:pPr>
              <w:pStyle w:val="ListParagraph"/>
              <w:tabs>
                <w:tab w:val="left" w:pos="142"/>
              </w:tabs>
              <w:ind w:left="-57" w:right="-57"/>
              <w:jc w:val="right"/>
              <w:rPr>
                <w:rFonts w:ascii="Arial" w:hAnsi="Arial" w:cs="Arial"/>
                <w:b/>
                <w:sz w:val="20"/>
                <w:szCs w:val="20"/>
                <w:lang w:val="en-PH"/>
              </w:rPr>
            </w:pPr>
            <w:r w:rsidRPr="00892A58">
              <w:rPr>
                <w:rFonts w:ascii="Arial" w:hAnsi="Arial" w:cs="Arial"/>
                <w:b/>
                <w:sz w:val="20"/>
                <w:szCs w:val="20"/>
              </w:rPr>
              <w:t xml:space="preserve"> </w:t>
            </w:r>
            <w:r w:rsidRPr="00892A58">
              <w:rPr>
                <w:rFonts w:ascii="Arial" w:hAnsi="Arial" w:cs="Arial"/>
                <w:b/>
                <w:sz w:val="20"/>
                <w:szCs w:val="20"/>
                <w:lang w:val="en-PH"/>
              </w:rPr>
              <w:fldChar w:fldCharType="begin"/>
            </w:r>
            <w:r w:rsidRPr="00892A58">
              <w:rPr>
                <w:rFonts w:ascii="Arial" w:hAnsi="Arial" w:cs="Arial"/>
                <w:b/>
                <w:sz w:val="20"/>
                <w:szCs w:val="20"/>
                <w:lang w:val="en-PH"/>
              </w:rPr>
              <w:instrText xml:space="preserve"> =SUM(b4:b7) </w:instrText>
            </w:r>
            <w:r w:rsidRPr="00892A58">
              <w:rPr>
                <w:rFonts w:ascii="Arial" w:hAnsi="Arial" w:cs="Arial"/>
                <w:b/>
                <w:sz w:val="20"/>
                <w:szCs w:val="20"/>
                <w:lang w:val="en-PH"/>
              </w:rPr>
              <w:fldChar w:fldCharType="separate"/>
            </w:r>
            <w:r w:rsidRPr="00892A58">
              <w:rPr>
                <w:rFonts w:ascii="Arial" w:hAnsi="Arial" w:cs="Arial"/>
                <w:b/>
                <w:sz w:val="20"/>
                <w:szCs w:val="20"/>
                <w:lang w:val="en-PH"/>
              </w:rPr>
              <w:t>1,747,781,206</w:t>
            </w:r>
            <w:r w:rsidRPr="00892A58">
              <w:rPr>
                <w:rFonts w:ascii="Arial" w:hAnsi="Arial" w:cs="Arial"/>
                <w:b/>
                <w:sz w:val="20"/>
                <w:szCs w:val="20"/>
                <w:lang w:val="en-PH"/>
              </w:rPr>
              <w:fldChar w:fldCharType="end"/>
            </w:r>
            <w:r w:rsidRPr="00892A58">
              <w:rPr>
                <w:rFonts w:ascii="Arial" w:hAnsi="Arial" w:cs="Arial"/>
                <w:b/>
                <w:sz w:val="20"/>
                <w:szCs w:val="20"/>
                <w:lang w:val="en-PH"/>
              </w:rPr>
              <w:t xml:space="preserve"> </w:t>
            </w:r>
          </w:p>
        </w:tc>
      </w:tr>
      <w:tr w:rsidR="004E07CA" w:rsidRPr="00892A58" w14:paraId="7EBA24A7" w14:textId="77777777" w:rsidTr="00E4192B">
        <w:trPr>
          <w:trHeight w:val="20"/>
        </w:trPr>
        <w:tc>
          <w:tcPr>
            <w:tcW w:w="5310" w:type="dxa"/>
            <w:gridSpan w:val="2"/>
            <w:shd w:val="clear" w:color="auto" w:fill="auto"/>
            <w:vAlign w:val="bottom"/>
          </w:tcPr>
          <w:p w14:paraId="289630B7" w14:textId="77777777" w:rsidR="004E07CA" w:rsidRPr="00892A58" w:rsidRDefault="004E07CA" w:rsidP="00E4192B">
            <w:pPr>
              <w:pStyle w:val="ListParagraph"/>
              <w:ind w:left="252" w:hanging="180"/>
              <w:rPr>
                <w:rFonts w:ascii="Arial" w:hAnsi="Arial" w:cs="Arial"/>
                <w:sz w:val="20"/>
                <w:szCs w:val="20"/>
                <w:lang w:val="en-PH"/>
              </w:rPr>
            </w:pPr>
            <w:r w:rsidRPr="00892A58">
              <w:rPr>
                <w:rFonts w:ascii="Arial" w:hAnsi="Arial" w:cs="Arial"/>
                <w:i/>
                <w:sz w:val="20"/>
                <w:szCs w:val="20"/>
                <w:lang w:val="en-PH"/>
              </w:rPr>
              <w:t>Building and building improvements at the industrial park</w:t>
            </w:r>
          </w:p>
        </w:tc>
        <w:tc>
          <w:tcPr>
            <w:tcW w:w="2160" w:type="dxa"/>
            <w:shd w:val="clear" w:color="auto" w:fill="auto"/>
            <w:vAlign w:val="bottom"/>
          </w:tcPr>
          <w:p w14:paraId="24D79D4C" w14:textId="77777777" w:rsidR="004E07CA" w:rsidRPr="00892A58" w:rsidRDefault="004E07CA" w:rsidP="00E4192B">
            <w:pPr>
              <w:pStyle w:val="ListParagraph"/>
              <w:ind w:left="252" w:hanging="180"/>
              <w:rPr>
                <w:rFonts w:ascii="Arial" w:hAnsi="Arial" w:cs="Arial"/>
                <w:sz w:val="20"/>
                <w:szCs w:val="20"/>
                <w:lang w:val="en-PH"/>
              </w:rPr>
            </w:pPr>
          </w:p>
        </w:tc>
      </w:tr>
      <w:tr w:rsidR="004E07CA" w:rsidRPr="00650FAE" w14:paraId="7C350844" w14:textId="77777777" w:rsidTr="00E4192B">
        <w:trPr>
          <w:trHeight w:val="20"/>
        </w:trPr>
        <w:tc>
          <w:tcPr>
            <w:tcW w:w="4590" w:type="dxa"/>
            <w:shd w:val="clear" w:color="auto" w:fill="auto"/>
            <w:vAlign w:val="bottom"/>
          </w:tcPr>
          <w:p w14:paraId="461D15C6" w14:textId="77777777" w:rsidR="004E07CA" w:rsidRPr="00892A58" w:rsidRDefault="004E07CA" w:rsidP="00E4192B">
            <w:pPr>
              <w:pStyle w:val="ListParagraph"/>
              <w:tabs>
                <w:tab w:val="left" w:pos="142"/>
              </w:tabs>
              <w:ind w:left="252" w:right="-57"/>
              <w:rPr>
                <w:rFonts w:ascii="Arial" w:hAnsi="Arial" w:cs="Arial"/>
                <w:sz w:val="20"/>
                <w:szCs w:val="20"/>
              </w:rPr>
            </w:pPr>
            <w:r w:rsidRPr="00892A58">
              <w:rPr>
                <w:rFonts w:ascii="Arial" w:hAnsi="Arial" w:cs="Arial"/>
                <w:sz w:val="20"/>
                <w:szCs w:val="20"/>
              </w:rPr>
              <w:t>Investment in real estate, industrial park*</w:t>
            </w:r>
          </w:p>
        </w:tc>
        <w:tc>
          <w:tcPr>
            <w:tcW w:w="2880" w:type="dxa"/>
            <w:gridSpan w:val="2"/>
          </w:tcPr>
          <w:p w14:paraId="64D9378D" w14:textId="77777777" w:rsidR="004E07CA" w:rsidRPr="00650FAE" w:rsidRDefault="004E07CA" w:rsidP="00E4192B">
            <w:pPr>
              <w:pStyle w:val="ListParagraph"/>
              <w:tabs>
                <w:tab w:val="left" w:pos="142"/>
              </w:tabs>
              <w:ind w:left="-57" w:right="-57"/>
              <w:jc w:val="right"/>
              <w:rPr>
                <w:rFonts w:ascii="Arial" w:hAnsi="Arial" w:cs="Arial"/>
                <w:sz w:val="20"/>
                <w:szCs w:val="20"/>
              </w:rPr>
            </w:pPr>
            <w:r w:rsidRPr="00892A58">
              <w:rPr>
                <w:rFonts w:ascii="Arial" w:hAnsi="Arial" w:cs="Arial"/>
                <w:sz w:val="20"/>
                <w:szCs w:val="20"/>
              </w:rPr>
              <w:t>129,061,550</w:t>
            </w:r>
          </w:p>
        </w:tc>
      </w:tr>
      <w:tr w:rsidR="004E07CA" w:rsidRPr="00650FAE" w14:paraId="54158B0E" w14:textId="77777777" w:rsidTr="00E4192B">
        <w:trPr>
          <w:trHeight w:val="20"/>
        </w:trPr>
        <w:tc>
          <w:tcPr>
            <w:tcW w:w="4590" w:type="dxa"/>
            <w:tcBorders>
              <w:bottom w:val="single" w:sz="4" w:space="0" w:color="auto"/>
            </w:tcBorders>
            <w:shd w:val="clear" w:color="auto" w:fill="auto"/>
            <w:vAlign w:val="bottom"/>
          </w:tcPr>
          <w:p w14:paraId="198B1610" w14:textId="77777777" w:rsidR="004E07CA" w:rsidRPr="00650FAE" w:rsidRDefault="004E07CA" w:rsidP="00E4192B">
            <w:pPr>
              <w:pStyle w:val="ListParagraph"/>
              <w:tabs>
                <w:tab w:val="left" w:pos="142"/>
              </w:tabs>
              <w:ind w:left="252" w:right="-57"/>
              <w:rPr>
                <w:rFonts w:ascii="Arial" w:hAnsi="Arial" w:cs="Arial"/>
                <w:sz w:val="20"/>
                <w:szCs w:val="20"/>
              </w:rPr>
            </w:pPr>
            <w:r w:rsidRPr="00650FAE">
              <w:rPr>
                <w:rFonts w:ascii="Arial" w:hAnsi="Arial" w:cs="Arial"/>
                <w:sz w:val="20"/>
                <w:szCs w:val="20"/>
              </w:rPr>
              <w:t>Allowance for depreciation, industrial park</w:t>
            </w:r>
          </w:p>
        </w:tc>
        <w:tc>
          <w:tcPr>
            <w:tcW w:w="2880" w:type="dxa"/>
            <w:gridSpan w:val="2"/>
            <w:tcBorders>
              <w:bottom w:val="single" w:sz="4" w:space="0" w:color="auto"/>
            </w:tcBorders>
          </w:tcPr>
          <w:p w14:paraId="07DA12F2" w14:textId="77777777" w:rsidR="004E07CA" w:rsidRPr="00650FAE" w:rsidRDefault="004E07CA" w:rsidP="00E4192B">
            <w:pPr>
              <w:pStyle w:val="ListParagraph"/>
              <w:tabs>
                <w:tab w:val="left" w:pos="142"/>
              </w:tabs>
              <w:ind w:left="-57" w:right="-115"/>
              <w:jc w:val="right"/>
              <w:rPr>
                <w:rFonts w:ascii="Arial" w:hAnsi="Arial" w:cs="Arial"/>
                <w:sz w:val="20"/>
                <w:szCs w:val="20"/>
              </w:rPr>
            </w:pPr>
            <w:r w:rsidRPr="00650FAE">
              <w:rPr>
                <w:rFonts w:ascii="Arial" w:hAnsi="Arial" w:cs="Arial"/>
                <w:sz w:val="20"/>
                <w:szCs w:val="20"/>
              </w:rPr>
              <w:t>(109,942,571)</w:t>
            </w:r>
          </w:p>
        </w:tc>
      </w:tr>
      <w:tr w:rsidR="004E07CA" w:rsidRPr="00650FAE" w14:paraId="468F4CB6" w14:textId="77777777" w:rsidTr="00E4192B">
        <w:trPr>
          <w:trHeight w:val="144"/>
        </w:trPr>
        <w:tc>
          <w:tcPr>
            <w:tcW w:w="4590" w:type="dxa"/>
            <w:tcBorders>
              <w:top w:val="single" w:sz="4" w:space="0" w:color="auto"/>
              <w:bottom w:val="single" w:sz="4" w:space="0" w:color="auto"/>
            </w:tcBorders>
            <w:shd w:val="clear" w:color="auto" w:fill="auto"/>
            <w:vAlign w:val="center"/>
          </w:tcPr>
          <w:p w14:paraId="59847A51" w14:textId="77777777" w:rsidR="004E07CA" w:rsidRPr="00650FAE" w:rsidRDefault="004E07CA" w:rsidP="00E4192B">
            <w:pPr>
              <w:pStyle w:val="ListParagraph"/>
              <w:tabs>
                <w:tab w:val="left" w:pos="142"/>
              </w:tabs>
              <w:ind w:left="-57" w:right="-57"/>
              <w:rPr>
                <w:rFonts w:ascii="Arial" w:hAnsi="Arial" w:cs="Arial"/>
                <w:b/>
                <w:sz w:val="20"/>
                <w:szCs w:val="20"/>
              </w:rPr>
            </w:pPr>
            <w:r w:rsidRPr="00650FAE">
              <w:rPr>
                <w:rFonts w:ascii="Arial" w:hAnsi="Arial" w:cs="Arial"/>
                <w:b/>
                <w:sz w:val="20"/>
                <w:szCs w:val="20"/>
              </w:rPr>
              <w:t>Sub-total</w:t>
            </w:r>
          </w:p>
        </w:tc>
        <w:tc>
          <w:tcPr>
            <w:tcW w:w="2880" w:type="dxa"/>
            <w:gridSpan w:val="2"/>
            <w:tcBorders>
              <w:top w:val="single" w:sz="4" w:space="0" w:color="auto"/>
              <w:bottom w:val="single" w:sz="4" w:space="0" w:color="auto"/>
            </w:tcBorders>
            <w:vAlign w:val="center"/>
          </w:tcPr>
          <w:p w14:paraId="4A555449" w14:textId="77777777" w:rsidR="004E07CA" w:rsidRPr="00650FAE" w:rsidRDefault="004E07CA" w:rsidP="00E4192B">
            <w:pPr>
              <w:pStyle w:val="ListParagraph"/>
              <w:tabs>
                <w:tab w:val="left" w:pos="142"/>
              </w:tabs>
              <w:ind w:left="-57" w:right="-57"/>
              <w:jc w:val="right"/>
              <w:rPr>
                <w:rFonts w:ascii="Arial" w:hAnsi="Arial" w:cs="Arial"/>
                <w:b/>
                <w:sz w:val="20"/>
                <w:szCs w:val="20"/>
              </w:rPr>
            </w:pPr>
            <w:r w:rsidRPr="00650FAE">
              <w:rPr>
                <w:rFonts w:ascii="Arial" w:hAnsi="Arial" w:cs="Arial"/>
                <w:b/>
                <w:sz w:val="20"/>
                <w:szCs w:val="20"/>
              </w:rPr>
              <w:t xml:space="preserve">19,118,979 </w:t>
            </w:r>
          </w:p>
        </w:tc>
      </w:tr>
      <w:tr w:rsidR="004E07CA" w:rsidRPr="00650FAE" w14:paraId="4976BEF0" w14:textId="77777777" w:rsidTr="00821B0A">
        <w:trPr>
          <w:trHeight w:val="70"/>
        </w:trPr>
        <w:tc>
          <w:tcPr>
            <w:tcW w:w="4590" w:type="dxa"/>
            <w:tcBorders>
              <w:top w:val="single" w:sz="4" w:space="0" w:color="auto"/>
            </w:tcBorders>
            <w:shd w:val="clear" w:color="auto" w:fill="auto"/>
            <w:vAlign w:val="bottom"/>
          </w:tcPr>
          <w:p w14:paraId="027EB3F1" w14:textId="77777777" w:rsidR="004E07CA" w:rsidRPr="00650FAE" w:rsidRDefault="004E07CA" w:rsidP="00E4192B">
            <w:pPr>
              <w:pStyle w:val="ListParagraph"/>
              <w:tabs>
                <w:tab w:val="left" w:pos="142"/>
              </w:tabs>
              <w:ind w:left="-57" w:right="-57"/>
              <w:rPr>
                <w:rFonts w:ascii="Arial" w:hAnsi="Arial" w:cs="Arial"/>
                <w:b/>
                <w:sz w:val="20"/>
                <w:szCs w:val="20"/>
                <w:lang w:val="en-PH"/>
              </w:rPr>
            </w:pPr>
            <w:r w:rsidRPr="00650FAE">
              <w:rPr>
                <w:rFonts w:ascii="Arial" w:hAnsi="Arial" w:cs="Arial"/>
                <w:b/>
                <w:sz w:val="20"/>
                <w:szCs w:val="20"/>
                <w:lang w:val="en-PH"/>
              </w:rPr>
              <w:t>Acquired assets</w:t>
            </w:r>
          </w:p>
        </w:tc>
        <w:tc>
          <w:tcPr>
            <w:tcW w:w="2880" w:type="dxa"/>
            <w:gridSpan w:val="2"/>
            <w:tcBorders>
              <w:top w:val="single" w:sz="4" w:space="0" w:color="auto"/>
            </w:tcBorders>
            <w:vAlign w:val="center"/>
          </w:tcPr>
          <w:p w14:paraId="51C9E583" w14:textId="77777777" w:rsidR="004E07CA" w:rsidRPr="00650FAE" w:rsidRDefault="004E07CA" w:rsidP="00E4192B">
            <w:pPr>
              <w:pStyle w:val="ListParagraph"/>
              <w:tabs>
                <w:tab w:val="left" w:pos="142"/>
              </w:tabs>
              <w:ind w:left="-57" w:right="-57"/>
              <w:jc w:val="right"/>
              <w:rPr>
                <w:rFonts w:ascii="Arial" w:hAnsi="Arial" w:cs="Arial"/>
                <w:sz w:val="20"/>
                <w:szCs w:val="20"/>
                <w:lang w:val="en-PH"/>
              </w:rPr>
            </w:pPr>
          </w:p>
        </w:tc>
      </w:tr>
      <w:tr w:rsidR="004E07CA" w:rsidRPr="00650FAE" w14:paraId="2FF0E857" w14:textId="77777777" w:rsidTr="00821B0A">
        <w:trPr>
          <w:trHeight w:val="198"/>
        </w:trPr>
        <w:tc>
          <w:tcPr>
            <w:tcW w:w="4590" w:type="dxa"/>
            <w:shd w:val="clear" w:color="auto" w:fill="auto"/>
            <w:vAlign w:val="bottom"/>
          </w:tcPr>
          <w:p w14:paraId="6B87E0B1" w14:textId="77777777" w:rsidR="004E07CA" w:rsidRPr="00650FAE" w:rsidRDefault="004E07CA" w:rsidP="00E4192B">
            <w:pPr>
              <w:pStyle w:val="ListParagraph"/>
              <w:tabs>
                <w:tab w:val="left" w:pos="142"/>
              </w:tabs>
              <w:ind w:left="72" w:right="-57"/>
              <w:rPr>
                <w:rFonts w:ascii="Arial" w:hAnsi="Arial" w:cs="Arial"/>
                <w:sz w:val="20"/>
                <w:szCs w:val="20"/>
                <w:lang w:val="en-PH"/>
              </w:rPr>
            </w:pPr>
            <w:r w:rsidRPr="00650FAE">
              <w:rPr>
                <w:rFonts w:ascii="Arial" w:hAnsi="Arial" w:cs="Arial"/>
                <w:sz w:val="20"/>
                <w:szCs w:val="20"/>
              </w:rPr>
              <w:t xml:space="preserve">Acquired assets </w:t>
            </w:r>
          </w:p>
        </w:tc>
        <w:tc>
          <w:tcPr>
            <w:tcW w:w="2880" w:type="dxa"/>
            <w:gridSpan w:val="2"/>
            <w:vAlign w:val="bottom"/>
          </w:tcPr>
          <w:p w14:paraId="56C3C888" w14:textId="77777777" w:rsidR="004E07CA" w:rsidRPr="00650FAE" w:rsidRDefault="004E07CA" w:rsidP="00E4192B">
            <w:pPr>
              <w:pStyle w:val="ListParagraph"/>
              <w:tabs>
                <w:tab w:val="left" w:pos="142"/>
              </w:tabs>
              <w:ind w:left="-57" w:right="-115"/>
              <w:jc w:val="right"/>
              <w:rPr>
                <w:rFonts w:ascii="Arial" w:hAnsi="Arial" w:cs="Arial"/>
                <w:sz w:val="20"/>
                <w:szCs w:val="20"/>
              </w:rPr>
            </w:pPr>
            <w:r w:rsidRPr="00650FAE">
              <w:rPr>
                <w:rFonts w:ascii="Arial" w:hAnsi="Arial" w:cs="Arial"/>
                <w:sz w:val="20"/>
                <w:szCs w:val="20"/>
              </w:rPr>
              <w:t>466,841,279</w:t>
            </w:r>
          </w:p>
        </w:tc>
      </w:tr>
      <w:tr w:rsidR="004E07CA" w:rsidRPr="00650FAE" w14:paraId="189D319F" w14:textId="77777777" w:rsidTr="00E4192B">
        <w:trPr>
          <w:trHeight w:val="20"/>
        </w:trPr>
        <w:tc>
          <w:tcPr>
            <w:tcW w:w="4590" w:type="dxa"/>
            <w:tcBorders>
              <w:bottom w:val="single" w:sz="4" w:space="0" w:color="auto"/>
            </w:tcBorders>
            <w:shd w:val="clear" w:color="auto" w:fill="auto"/>
            <w:vAlign w:val="bottom"/>
          </w:tcPr>
          <w:p w14:paraId="480E30C4" w14:textId="77777777" w:rsidR="004E07CA" w:rsidRPr="00650FAE" w:rsidRDefault="004E07CA" w:rsidP="00E4192B">
            <w:pPr>
              <w:pStyle w:val="ListParagraph"/>
              <w:tabs>
                <w:tab w:val="left" w:pos="142"/>
              </w:tabs>
              <w:ind w:left="72" w:right="-57"/>
              <w:rPr>
                <w:rFonts w:ascii="Arial" w:hAnsi="Arial" w:cs="Arial"/>
                <w:sz w:val="20"/>
                <w:szCs w:val="20"/>
                <w:lang w:val="en-PH"/>
              </w:rPr>
            </w:pPr>
            <w:r w:rsidRPr="00650FAE">
              <w:rPr>
                <w:rFonts w:ascii="Arial" w:hAnsi="Arial" w:cs="Arial"/>
                <w:sz w:val="20"/>
                <w:szCs w:val="20"/>
              </w:rPr>
              <w:t>Allowance for probable losses</w:t>
            </w:r>
          </w:p>
        </w:tc>
        <w:tc>
          <w:tcPr>
            <w:tcW w:w="2880" w:type="dxa"/>
            <w:gridSpan w:val="2"/>
            <w:tcBorders>
              <w:bottom w:val="single" w:sz="4" w:space="0" w:color="auto"/>
            </w:tcBorders>
          </w:tcPr>
          <w:p w14:paraId="63719CE7" w14:textId="77777777" w:rsidR="004E07CA" w:rsidRPr="00650FAE" w:rsidRDefault="004E07CA" w:rsidP="00E4192B">
            <w:pPr>
              <w:pStyle w:val="ListParagraph"/>
              <w:tabs>
                <w:tab w:val="left" w:pos="142"/>
              </w:tabs>
              <w:ind w:left="-57" w:right="-115"/>
              <w:jc w:val="right"/>
              <w:rPr>
                <w:rFonts w:ascii="Arial" w:hAnsi="Arial" w:cs="Arial"/>
                <w:sz w:val="20"/>
                <w:szCs w:val="20"/>
              </w:rPr>
            </w:pPr>
            <w:r w:rsidRPr="00650FAE">
              <w:rPr>
                <w:rFonts w:ascii="Arial" w:hAnsi="Arial" w:cs="Arial"/>
                <w:sz w:val="20"/>
                <w:szCs w:val="20"/>
              </w:rPr>
              <w:t>(141,242,942)</w:t>
            </w:r>
          </w:p>
        </w:tc>
      </w:tr>
      <w:tr w:rsidR="004E07CA" w:rsidRPr="00650FAE" w14:paraId="083A73E8" w14:textId="77777777" w:rsidTr="00E4192B">
        <w:trPr>
          <w:trHeight w:val="144"/>
        </w:trPr>
        <w:tc>
          <w:tcPr>
            <w:tcW w:w="4590" w:type="dxa"/>
            <w:tcBorders>
              <w:top w:val="single" w:sz="4" w:space="0" w:color="auto"/>
              <w:bottom w:val="single" w:sz="4" w:space="0" w:color="auto"/>
            </w:tcBorders>
            <w:shd w:val="clear" w:color="auto" w:fill="auto"/>
            <w:vAlign w:val="center"/>
          </w:tcPr>
          <w:p w14:paraId="61856339" w14:textId="77777777" w:rsidR="004E07CA" w:rsidRPr="00650FAE" w:rsidRDefault="004E07CA" w:rsidP="00E4192B">
            <w:pPr>
              <w:pStyle w:val="ListParagraph"/>
              <w:tabs>
                <w:tab w:val="left" w:pos="142"/>
              </w:tabs>
              <w:ind w:left="-57" w:right="-57"/>
              <w:rPr>
                <w:rFonts w:ascii="Arial" w:hAnsi="Arial" w:cs="Arial"/>
                <w:b/>
                <w:sz w:val="20"/>
                <w:szCs w:val="20"/>
                <w:lang w:val="en-PH"/>
              </w:rPr>
            </w:pPr>
            <w:r w:rsidRPr="00650FAE">
              <w:rPr>
                <w:rFonts w:ascii="Arial" w:hAnsi="Arial" w:cs="Arial"/>
                <w:b/>
                <w:sz w:val="20"/>
                <w:szCs w:val="20"/>
                <w:lang w:val="en-PH"/>
              </w:rPr>
              <w:t>Sub-total</w:t>
            </w:r>
          </w:p>
        </w:tc>
        <w:tc>
          <w:tcPr>
            <w:tcW w:w="2880" w:type="dxa"/>
            <w:gridSpan w:val="2"/>
            <w:tcBorders>
              <w:top w:val="single" w:sz="4" w:space="0" w:color="auto"/>
              <w:bottom w:val="single" w:sz="4" w:space="0" w:color="auto"/>
            </w:tcBorders>
            <w:vAlign w:val="center"/>
          </w:tcPr>
          <w:p w14:paraId="553C5FF7" w14:textId="77777777" w:rsidR="004E07CA" w:rsidRPr="00650FAE" w:rsidRDefault="004E07CA" w:rsidP="00E4192B">
            <w:pPr>
              <w:pStyle w:val="ListParagraph"/>
              <w:tabs>
                <w:tab w:val="left" w:pos="142"/>
              </w:tabs>
              <w:ind w:left="-57" w:right="-57"/>
              <w:jc w:val="right"/>
              <w:rPr>
                <w:rFonts w:ascii="Arial" w:hAnsi="Arial" w:cs="Arial"/>
                <w:b/>
                <w:sz w:val="20"/>
                <w:szCs w:val="20"/>
              </w:rPr>
            </w:pPr>
            <w:r w:rsidRPr="00650FAE">
              <w:rPr>
                <w:rFonts w:ascii="Arial" w:hAnsi="Arial" w:cs="Arial"/>
                <w:b/>
                <w:sz w:val="20"/>
                <w:szCs w:val="20"/>
              </w:rPr>
              <w:t xml:space="preserve">325,598,337 </w:t>
            </w:r>
          </w:p>
        </w:tc>
      </w:tr>
      <w:tr w:rsidR="004E07CA" w14:paraId="5E0202C4" w14:textId="77777777" w:rsidTr="00E4192B">
        <w:trPr>
          <w:trHeight w:val="317"/>
        </w:trPr>
        <w:tc>
          <w:tcPr>
            <w:tcW w:w="4590" w:type="dxa"/>
            <w:tcBorders>
              <w:top w:val="single" w:sz="4" w:space="0" w:color="auto"/>
              <w:bottom w:val="double" w:sz="4" w:space="0" w:color="auto"/>
            </w:tcBorders>
            <w:shd w:val="clear" w:color="auto" w:fill="auto"/>
            <w:vAlign w:val="center"/>
          </w:tcPr>
          <w:p w14:paraId="457D3158" w14:textId="77777777" w:rsidR="004E07CA" w:rsidRPr="00650FAE" w:rsidRDefault="004E07CA" w:rsidP="00E4192B">
            <w:pPr>
              <w:pStyle w:val="ListParagraph"/>
              <w:tabs>
                <w:tab w:val="left" w:pos="142"/>
              </w:tabs>
              <w:ind w:left="-57" w:right="-57"/>
              <w:rPr>
                <w:rFonts w:ascii="Arial" w:hAnsi="Arial" w:cs="Arial"/>
                <w:b/>
                <w:sz w:val="20"/>
                <w:szCs w:val="20"/>
                <w:lang w:val="en-PH"/>
              </w:rPr>
            </w:pPr>
            <w:r w:rsidRPr="00650FAE">
              <w:rPr>
                <w:rFonts w:ascii="Arial" w:hAnsi="Arial" w:cs="Arial"/>
                <w:b/>
                <w:sz w:val="20"/>
                <w:szCs w:val="20"/>
                <w:lang w:val="en-PH"/>
              </w:rPr>
              <w:t>Total</w:t>
            </w:r>
          </w:p>
        </w:tc>
        <w:tc>
          <w:tcPr>
            <w:tcW w:w="2880" w:type="dxa"/>
            <w:gridSpan w:val="2"/>
            <w:tcBorders>
              <w:top w:val="single" w:sz="4" w:space="0" w:color="auto"/>
              <w:bottom w:val="double" w:sz="4" w:space="0" w:color="auto"/>
            </w:tcBorders>
            <w:vAlign w:val="center"/>
          </w:tcPr>
          <w:p w14:paraId="6EDAE14C" w14:textId="77777777" w:rsidR="004E07CA" w:rsidRDefault="004E07CA" w:rsidP="00E4192B">
            <w:pPr>
              <w:pStyle w:val="ListParagraph"/>
              <w:tabs>
                <w:tab w:val="left" w:pos="142"/>
              </w:tabs>
              <w:ind w:left="-57" w:right="-57"/>
              <w:jc w:val="right"/>
              <w:rPr>
                <w:rFonts w:ascii="Arial" w:hAnsi="Arial" w:cs="Arial"/>
                <w:b/>
                <w:sz w:val="20"/>
                <w:szCs w:val="20"/>
              </w:rPr>
            </w:pPr>
            <w:r w:rsidRPr="00650FAE">
              <w:rPr>
                <w:rFonts w:ascii="Arial" w:hAnsi="Arial" w:cs="Arial"/>
                <w:b/>
                <w:sz w:val="20"/>
                <w:szCs w:val="20"/>
              </w:rPr>
              <w:t>P2,092,498,522</w:t>
            </w:r>
          </w:p>
        </w:tc>
      </w:tr>
    </w:tbl>
    <w:p w14:paraId="0E30F13F" w14:textId="77777777" w:rsidR="004E07CA" w:rsidRPr="00650FAE" w:rsidRDefault="004E07CA" w:rsidP="004E07CA">
      <w:pPr>
        <w:pStyle w:val="NormalWeb"/>
        <w:spacing w:before="0" w:beforeAutospacing="0" w:after="0" w:afterAutospacing="0"/>
        <w:ind w:left="792" w:firstLine="468"/>
        <w:jc w:val="both"/>
        <w:rPr>
          <w:rFonts w:ascii="Arial" w:hAnsi="Arial" w:cs="Arial"/>
          <w:i/>
          <w:iCs/>
          <w:sz w:val="18"/>
          <w:szCs w:val="18"/>
        </w:rPr>
      </w:pPr>
      <w:r w:rsidRPr="00650FAE">
        <w:rPr>
          <w:rFonts w:ascii="Arial" w:hAnsi="Arial" w:cs="Arial"/>
          <w:i/>
          <w:iCs/>
          <w:sz w:val="18"/>
          <w:szCs w:val="18"/>
        </w:rPr>
        <w:t>*Includes direct cost</w:t>
      </w:r>
    </w:p>
    <w:p w14:paraId="06A3C1C7" w14:textId="77777777" w:rsidR="004E07CA" w:rsidRPr="00200B96" w:rsidRDefault="004E07CA" w:rsidP="00200B96">
      <w:pPr>
        <w:pStyle w:val="NormalWeb"/>
        <w:spacing w:before="0" w:beforeAutospacing="0" w:after="0" w:afterAutospacing="0"/>
        <w:ind w:left="1260"/>
        <w:jc w:val="both"/>
        <w:rPr>
          <w:rFonts w:ascii="Arial" w:hAnsi="Arial" w:cs="Arial"/>
          <w:sz w:val="22"/>
          <w:szCs w:val="22"/>
        </w:rPr>
      </w:pPr>
    </w:p>
    <w:p w14:paraId="534D9222" w14:textId="77777777" w:rsidR="004E07CA" w:rsidRPr="00200B96" w:rsidRDefault="004E07CA"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Moreover, under Notes 3.10, 3.11, and 3.13 to the FS, the AFPRSBS disclosed the following:</w:t>
      </w:r>
    </w:p>
    <w:p w14:paraId="61EC0DF2" w14:textId="77777777" w:rsidR="004E07CA" w:rsidRPr="00200B96" w:rsidRDefault="004E07CA" w:rsidP="00200B96">
      <w:pPr>
        <w:pStyle w:val="NormalWeb"/>
        <w:spacing w:before="0" w:beforeAutospacing="0" w:after="0" w:afterAutospacing="0"/>
        <w:ind w:left="1260"/>
        <w:jc w:val="both"/>
        <w:rPr>
          <w:rFonts w:ascii="Arial" w:hAnsi="Arial" w:cs="Arial"/>
          <w:sz w:val="22"/>
          <w:szCs w:val="22"/>
        </w:rPr>
      </w:pPr>
      <w:r w:rsidRPr="00200B96">
        <w:rPr>
          <w:rFonts w:ascii="Arial" w:hAnsi="Arial" w:cs="Arial"/>
          <w:sz w:val="22"/>
          <w:szCs w:val="22"/>
        </w:rPr>
        <w:t xml:space="preserve"> </w:t>
      </w:r>
    </w:p>
    <w:p w14:paraId="37DFF6D3" w14:textId="77777777" w:rsidR="004E07CA" w:rsidRPr="00200B96" w:rsidRDefault="004E07CA" w:rsidP="00200B96">
      <w:pPr>
        <w:pStyle w:val="Heading1"/>
        <w:keepNext w:val="0"/>
        <w:widowControl w:val="0"/>
        <w:numPr>
          <w:ilvl w:val="0"/>
          <w:numId w:val="0"/>
        </w:numPr>
        <w:spacing w:before="0"/>
        <w:ind w:left="1008" w:right="432" w:firstLine="693"/>
        <w:rPr>
          <w:rFonts w:ascii="Arial" w:hAnsi="Arial" w:cs="Arial"/>
          <w:b w:val="0"/>
          <w:i/>
          <w:color w:val="auto"/>
          <w:sz w:val="22"/>
          <w:szCs w:val="22"/>
          <w:u w:val="single"/>
        </w:rPr>
      </w:pPr>
      <w:r w:rsidRPr="00200B96">
        <w:rPr>
          <w:rFonts w:ascii="Arial" w:hAnsi="Arial" w:cs="Arial"/>
          <w:b w:val="0"/>
          <w:i/>
          <w:color w:val="auto"/>
          <w:sz w:val="22"/>
          <w:szCs w:val="22"/>
          <w:u w:val="single"/>
        </w:rPr>
        <w:t>3.10 Investments in real estate</w:t>
      </w:r>
    </w:p>
    <w:p w14:paraId="260CC470"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52D8B09D" w14:textId="77777777" w:rsidR="004E07CA" w:rsidRPr="00200B96" w:rsidRDefault="004E07CA" w:rsidP="00200B96">
      <w:pPr>
        <w:pStyle w:val="BodyTextIndent"/>
        <w:widowControl w:val="0"/>
        <w:spacing w:after="0"/>
        <w:ind w:left="1701" w:right="432"/>
        <w:jc w:val="both"/>
        <w:rPr>
          <w:rFonts w:ascii="Arial" w:hAnsi="Arial" w:cs="Arial"/>
          <w:i/>
          <w:sz w:val="22"/>
          <w:szCs w:val="22"/>
        </w:rPr>
      </w:pPr>
      <w:r w:rsidRPr="00200B96">
        <w:rPr>
          <w:rFonts w:ascii="Arial" w:hAnsi="Arial" w:cs="Arial"/>
          <w:i/>
          <w:sz w:val="22"/>
          <w:szCs w:val="22"/>
        </w:rPr>
        <w:t>Investments in real estate are carried at cost and presented in the SFP.  These include raw land properties which are not available for sale within one (1) year period.</w:t>
      </w:r>
    </w:p>
    <w:p w14:paraId="5DFC4C27"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33025B32" w14:textId="77777777" w:rsidR="004E07CA" w:rsidRPr="00200B96" w:rsidRDefault="004E07CA" w:rsidP="00200B96">
      <w:pPr>
        <w:pStyle w:val="Heading1"/>
        <w:keepNext w:val="0"/>
        <w:widowControl w:val="0"/>
        <w:numPr>
          <w:ilvl w:val="0"/>
          <w:numId w:val="0"/>
        </w:numPr>
        <w:spacing w:before="0"/>
        <w:ind w:left="1008" w:right="432" w:firstLine="693"/>
        <w:rPr>
          <w:rFonts w:ascii="Arial" w:hAnsi="Arial" w:cs="Arial"/>
          <w:b w:val="0"/>
          <w:i/>
          <w:color w:val="auto"/>
          <w:sz w:val="22"/>
          <w:szCs w:val="22"/>
          <w:u w:val="single"/>
        </w:rPr>
      </w:pPr>
      <w:r w:rsidRPr="00200B96">
        <w:rPr>
          <w:rFonts w:ascii="Arial" w:hAnsi="Arial" w:cs="Arial"/>
          <w:b w:val="0"/>
          <w:i/>
          <w:color w:val="auto"/>
          <w:sz w:val="22"/>
          <w:szCs w:val="22"/>
          <w:u w:val="single"/>
        </w:rPr>
        <w:t>3.11 Investment property</w:t>
      </w:r>
    </w:p>
    <w:p w14:paraId="7C715DA2" w14:textId="77777777" w:rsidR="004E07CA" w:rsidRPr="00200B96" w:rsidRDefault="004E07CA" w:rsidP="00200B96">
      <w:pPr>
        <w:pStyle w:val="BodyTextIndent"/>
        <w:widowControl w:val="0"/>
        <w:spacing w:after="0"/>
        <w:ind w:left="1728" w:right="432" w:firstLine="693"/>
        <w:jc w:val="both"/>
        <w:rPr>
          <w:rFonts w:ascii="Arial" w:hAnsi="Arial" w:cs="Arial"/>
          <w:i/>
          <w:sz w:val="22"/>
          <w:szCs w:val="22"/>
        </w:rPr>
      </w:pPr>
    </w:p>
    <w:p w14:paraId="24221334" w14:textId="77777777" w:rsidR="004E07CA" w:rsidRPr="00200B96" w:rsidRDefault="004E07CA" w:rsidP="00200B96">
      <w:pPr>
        <w:pStyle w:val="BodyTextIndent"/>
        <w:widowControl w:val="0"/>
        <w:spacing w:after="0"/>
        <w:ind w:left="1728" w:right="432" w:hanging="27"/>
        <w:jc w:val="both"/>
        <w:rPr>
          <w:rFonts w:ascii="Arial" w:hAnsi="Arial" w:cs="Arial"/>
          <w:i/>
          <w:sz w:val="22"/>
          <w:szCs w:val="22"/>
        </w:rPr>
      </w:pPr>
      <w:r w:rsidRPr="00200B96">
        <w:rPr>
          <w:rFonts w:ascii="Arial" w:hAnsi="Arial" w:cs="Arial"/>
          <w:i/>
          <w:sz w:val="22"/>
          <w:szCs w:val="22"/>
        </w:rPr>
        <w:t xml:space="preserve">The investment account is </w:t>
      </w:r>
      <w:r w:rsidRPr="00200B96">
        <w:rPr>
          <w:rFonts w:ascii="Arial" w:hAnsi="Arial" w:cs="Arial"/>
          <w:b/>
          <w:i/>
          <w:sz w:val="22"/>
          <w:szCs w:val="22"/>
        </w:rPr>
        <w:t>carried at cost less any accumulated depreciation and any impairment in value</w:t>
      </w:r>
      <w:r w:rsidRPr="00200B96">
        <w:rPr>
          <w:rFonts w:ascii="Arial" w:hAnsi="Arial" w:cs="Arial"/>
          <w:i/>
          <w:sz w:val="22"/>
          <w:szCs w:val="22"/>
        </w:rPr>
        <w:t>.  Depreciation is computed using the straight-line method over its estimated useful life.  Xxx</w:t>
      </w:r>
    </w:p>
    <w:p w14:paraId="4A477567"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326FBD25" w14:textId="77777777" w:rsidR="004E07CA" w:rsidRPr="00200B96" w:rsidRDefault="004E07CA" w:rsidP="00200B96">
      <w:pPr>
        <w:pStyle w:val="BodyTextIndent"/>
        <w:widowControl w:val="0"/>
        <w:spacing w:after="0"/>
        <w:ind w:left="1728" w:right="432"/>
        <w:jc w:val="both"/>
        <w:rPr>
          <w:rFonts w:ascii="Arial" w:hAnsi="Arial" w:cs="Arial"/>
          <w:i/>
          <w:sz w:val="22"/>
          <w:szCs w:val="22"/>
        </w:rPr>
      </w:pPr>
      <w:r w:rsidRPr="00200B96">
        <w:rPr>
          <w:rFonts w:ascii="Arial" w:hAnsi="Arial" w:cs="Arial"/>
          <w:i/>
          <w:sz w:val="22"/>
          <w:szCs w:val="22"/>
        </w:rPr>
        <w:t>Xxx</w:t>
      </w:r>
    </w:p>
    <w:p w14:paraId="03B80E49"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4708B1D4" w14:textId="77777777" w:rsidR="004E07CA" w:rsidRPr="00200B96" w:rsidRDefault="004E07CA" w:rsidP="00200B96">
      <w:pPr>
        <w:pStyle w:val="Heading1"/>
        <w:keepNext w:val="0"/>
        <w:widowControl w:val="0"/>
        <w:numPr>
          <w:ilvl w:val="0"/>
          <w:numId w:val="0"/>
        </w:numPr>
        <w:spacing w:before="0"/>
        <w:ind w:left="1008" w:right="432" w:firstLine="720"/>
        <w:rPr>
          <w:rFonts w:ascii="Arial" w:hAnsi="Arial" w:cs="Arial"/>
          <w:b w:val="0"/>
          <w:i/>
          <w:color w:val="auto"/>
          <w:sz w:val="22"/>
          <w:szCs w:val="22"/>
          <w:u w:val="single"/>
        </w:rPr>
      </w:pPr>
      <w:r w:rsidRPr="00200B96">
        <w:rPr>
          <w:rFonts w:ascii="Arial" w:hAnsi="Arial" w:cs="Arial"/>
          <w:b w:val="0"/>
          <w:i/>
          <w:color w:val="auto"/>
          <w:sz w:val="22"/>
          <w:szCs w:val="22"/>
          <w:u w:val="single"/>
        </w:rPr>
        <w:t>3.13 Acquired assets</w:t>
      </w:r>
    </w:p>
    <w:p w14:paraId="339AEB68"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5945C301" w14:textId="77777777" w:rsidR="004E07CA" w:rsidRPr="00200B96" w:rsidRDefault="004E07CA" w:rsidP="00200B96">
      <w:pPr>
        <w:pStyle w:val="BodyTextIndent"/>
        <w:widowControl w:val="0"/>
        <w:spacing w:after="0"/>
        <w:ind w:left="1728" w:right="432"/>
        <w:jc w:val="both"/>
        <w:rPr>
          <w:rFonts w:ascii="Arial" w:hAnsi="Arial" w:cs="Arial"/>
          <w:i/>
          <w:sz w:val="22"/>
          <w:szCs w:val="22"/>
        </w:rPr>
      </w:pPr>
      <w:r w:rsidRPr="00200B96">
        <w:rPr>
          <w:rFonts w:ascii="Arial" w:hAnsi="Arial" w:cs="Arial"/>
          <w:i/>
          <w:sz w:val="22"/>
          <w:szCs w:val="22"/>
        </w:rPr>
        <w:t xml:space="preserve">Assets acquired in full or partial settlement of loans are </w:t>
      </w:r>
      <w:r w:rsidRPr="00200B96">
        <w:rPr>
          <w:rFonts w:ascii="Arial" w:hAnsi="Arial" w:cs="Arial"/>
          <w:b/>
          <w:i/>
          <w:sz w:val="22"/>
          <w:szCs w:val="22"/>
        </w:rPr>
        <w:t>recorded at book value or bid price, whichever is lower</w:t>
      </w:r>
      <w:r w:rsidRPr="00200B96">
        <w:rPr>
          <w:rFonts w:ascii="Arial" w:hAnsi="Arial" w:cs="Arial"/>
          <w:i/>
          <w:sz w:val="22"/>
          <w:szCs w:val="22"/>
        </w:rPr>
        <w:t xml:space="preserve">.  Holding costs subsequent to the foreclosure, acquisition or consolidation of the properties are charged to operations if the book value is already equal or higher than the market value.  </w:t>
      </w:r>
    </w:p>
    <w:p w14:paraId="6456EF7A"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762E0DA8" w14:textId="77777777" w:rsidR="004E07CA" w:rsidRPr="00200B96" w:rsidRDefault="004E07CA" w:rsidP="00200B96">
      <w:pPr>
        <w:pStyle w:val="BodyTextIndent"/>
        <w:widowControl w:val="0"/>
        <w:spacing w:after="0"/>
        <w:ind w:left="1728" w:right="432"/>
        <w:jc w:val="both"/>
        <w:rPr>
          <w:rFonts w:ascii="Arial" w:hAnsi="Arial" w:cs="Arial"/>
          <w:i/>
          <w:sz w:val="22"/>
          <w:szCs w:val="22"/>
        </w:rPr>
      </w:pPr>
      <w:r w:rsidRPr="00200B96">
        <w:rPr>
          <w:rFonts w:ascii="Arial" w:hAnsi="Arial" w:cs="Arial"/>
          <w:i/>
          <w:sz w:val="22"/>
          <w:szCs w:val="22"/>
        </w:rPr>
        <w:t>Xxx</w:t>
      </w:r>
    </w:p>
    <w:p w14:paraId="5FCEED46" w14:textId="77777777" w:rsidR="004E07CA" w:rsidRPr="00200B96" w:rsidRDefault="004E07CA" w:rsidP="00200B96">
      <w:pPr>
        <w:pStyle w:val="BodyTextIndent"/>
        <w:widowControl w:val="0"/>
        <w:spacing w:after="0"/>
        <w:ind w:left="1728" w:right="432"/>
        <w:jc w:val="both"/>
        <w:rPr>
          <w:rFonts w:ascii="Arial" w:hAnsi="Arial" w:cs="Arial"/>
          <w:i/>
          <w:sz w:val="22"/>
          <w:szCs w:val="22"/>
        </w:rPr>
      </w:pPr>
    </w:p>
    <w:p w14:paraId="20719164" w14:textId="77777777" w:rsidR="004E07CA" w:rsidRPr="00200B96" w:rsidRDefault="004E07CA" w:rsidP="00200B96">
      <w:pPr>
        <w:spacing w:after="0" w:line="240" w:lineRule="auto"/>
        <w:ind w:left="1728" w:right="432"/>
        <w:jc w:val="both"/>
        <w:rPr>
          <w:rFonts w:ascii="Arial" w:hAnsi="Arial" w:cs="Arial"/>
          <w:i/>
        </w:rPr>
      </w:pPr>
      <w:r w:rsidRPr="00200B96">
        <w:rPr>
          <w:rFonts w:ascii="Arial" w:hAnsi="Arial" w:cs="Arial"/>
          <w:i/>
        </w:rPr>
        <w:lastRenderedPageBreak/>
        <w:t xml:space="preserve">An allowance for probable losses is set up for any anticipated significant decline in value of the property based on the appraisal reports and current negotiations and programs to dispose of these properties to interested parties. </w:t>
      </w:r>
      <w:r w:rsidRPr="00200B96">
        <w:rPr>
          <w:rFonts w:ascii="Arial" w:hAnsi="Arial" w:cs="Arial"/>
        </w:rPr>
        <w:t>(Emphasis supplied)</w:t>
      </w:r>
    </w:p>
    <w:p w14:paraId="3FE35F94" w14:textId="77777777" w:rsidR="004E07CA" w:rsidRPr="00200B96" w:rsidRDefault="004E07CA" w:rsidP="00200B96">
      <w:pPr>
        <w:spacing w:after="0" w:line="240" w:lineRule="auto"/>
        <w:jc w:val="both"/>
        <w:rPr>
          <w:rFonts w:ascii="Arial" w:hAnsi="Arial" w:cs="Arial"/>
        </w:rPr>
      </w:pPr>
      <w:r w:rsidRPr="00200B96">
        <w:rPr>
          <w:rFonts w:ascii="Arial" w:hAnsi="Arial" w:cs="Arial"/>
        </w:rPr>
        <w:t xml:space="preserve"> </w:t>
      </w:r>
    </w:p>
    <w:p w14:paraId="10D677BA" w14:textId="77777777" w:rsidR="004E07CA" w:rsidRPr="00200B96" w:rsidRDefault="004E07CA" w:rsidP="00BB0337">
      <w:pPr>
        <w:pStyle w:val="NormalWeb"/>
        <w:numPr>
          <w:ilvl w:val="1"/>
          <w:numId w:val="3"/>
        </w:numPr>
        <w:spacing w:before="0" w:beforeAutospacing="0" w:after="0" w:afterAutospacing="0"/>
        <w:ind w:left="1267" w:hanging="691"/>
        <w:jc w:val="both"/>
        <w:rPr>
          <w:rFonts w:ascii="Arial" w:eastAsia="SimSun" w:hAnsi="Arial" w:cs="Arial"/>
          <w:sz w:val="22"/>
          <w:szCs w:val="22"/>
        </w:rPr>
      </w:pPr>
      <w:r w:rsidRPr="00200B96">
        <w:rPr>
          <w:rFonts w:ascii="Arial" w:hAnsi="Arial" w:cs="Arial"/>
          <w:sz w:val="22"/>
          <w:szCs w:val="22"/>
        </w:rPr>
        <w:t xml:space="preserve">Consequently, the continued measurement, classification and presentation, of the account balances using the cost model despite the issuance of MO No. 90 which directs the abolition of the AFPRSBS and the sale of all of its real estate assets, the reported account balances as at December 31, 2022 could not be relied upon affecting the fair presentation of the Investment in real estate – </w:t>
      </w:r>
      <w:proofErr w:type="spellStart"/>
      <w:r w:rsidRPr="00200B96">
        <w:rPr>
          <w:rFonts w:ascii="Arial" w:hAnsi="Arial" w:cs="Arial"/>
          <w:sz w:val="22"/>
          <w:szCs w:val="22"/>
        </w:rPr>
        <w:t>landbanking</w:t>
      </w:r>
      <w:proofErr w:type="spellEnd"/>
      <w:r w:rsidRPr="00200B96">
        <w:rPr>
          <w:rFonts w:ascii="Arial" w:hAnsi="Arial" w:cs="Arial"/>
          <w:sz w:val="22"/>
          <w:szCs w:val="22"/>
        </w:rPr>
        <w:t xml:space="preserve"> and industrial park and Acquired assets accounts in the FS.</w:t>
      </w:r>
    </w:p>
    <w:p w14:paraId="0EBBCE93" w14:textId="77777777" w:rsidR="004E07CA" w:rsidRPr="00200B96" w:rsidRDefault="004E07CA" w:rsidP="00200B96">
      <w:pPr>
        <w:pStyle w:val="ListParagraph"/>
        <w:tabs>
          <w:tab w:val="left" w:pos="720"/>
        </w:tabs>
        <w:ind w:left="0"/>
        <w:contextualSpacing/>
        <w:jc w:val="both"/>
        <w:rPr>
          <w:rFonts w:ascii="Arial" w:hAnsi="Arial" w:cs="Arial"/>
          <w:b/>
          <w:sz w:val="22"/>
          <w:szCs w:val="22"/>
        </w:rPr>
      </w:pPr>
    </w:p>
    <w:p w14:paraId="55F09320" w14:textId="77777777"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b/>
          <w:sz w:val="22"/>
          <w:szCs w:val="22"/>
        </w:rPr>
      </w:pPr>
      <w:r w:rsidRPr="00200B96">
        <w:rPr>
          <w:rFonts w:ascii="Arial" w:hAnsi="Arial" w:cs="Arial"/>
          <w:b/>
          <w:sz w:val="22"/>
          <w:szCs w:val="22"/>
        </w:rPr>
        <w:t>We recommended that Management:</w:t>
      </w:r>
    </w:p>
    <w:p w14:paraId="09491589" w14:textId="77777777" w:rsidR="004E07CA" w:rsidRPr="00200B96" w:rsidRDefault="004E07CA" w:rsidP="00200B96">
      <w:pPr>
        <w:pStyle w:val="NormalWeb"/>
        <w:spacing w:before="0" w:beforeAutospacing="0" w:after="0" w:afterAutospacing="0"/>
        <w:ind w:left="792"/>
        <w:jc w:val="both"/>
        <w:rPr>
          <w:rFonts w:ascii="Arial" w:hAnsi="Arial" w:cs="Arial"/>
          <w:b/>
          <w:sz w:val="22"/>
          <w:szCs w:val="22"/>
        </w:rPr>
      </w:pPr>
    </w:p>
    <w:p w14:paraId="53CBD341" w14:textId="77777777" w:rsidR="004E07CA" w:rsidRPr="00200B96" w:rsidRDefault="004E07CA" w:rsidP="00200B96">
      <w:pPr>
        <w:numPr>
          <w:ilvl w:val="0"/>
          <w:numId w:val="15"/>
        </w:numPr>
        <w:spacing w:after="0" w:line="240" w:lineRule="auto"/>
        <w:ind w:left="1656"/>
        <w:jc w:val="both"/>
        <w:rPr>
          <w:rFonts w:ascii="Arial" w:hAnsi="Arial" w:cs="Arial"/>
          <w:b/>
        </w:rPr>
      </w:pPr>
      <w:r w:rsidRPr="00200B96">
        <w:rPr>
          <w:rFonts w:ascii="Arial" w:hAnsi="Arial" w:cs="Arial"/>
          <w:b/>
        </w:rPr>
        <w:t xml:space="preserve">Reclassify the Investment in real estate – </w:t>
      </w:r>
      <w:proofErr w:type="spellStart"/>
      <w:r w:rsidRPr="00200B96">
        <w:rPr>
          <w:rFonts w:ascii="Arial" w:hAnsi="Arial" w:cs="Arial"/>
          <w:b/>
        </w:rPr>
        <w:t>landbanking</w:t>
      </w:r>
      <w:proofErr w:type="spellEnd"/>
      <w:r w:rsidRPr="00200B96">
        <w:rPr>
          <w:rFonts w:ascii="Arial" w:hAnsi="Arial" w:cs="Arial"/>
          <w:b/>
        </w:rPr>
        <w:t xml:space="preserve"> and industrial park and Acquired assets accounts as Held for sale under current assets and revalue the same at lower of its carrying amount and fair value less cost to sell in accordance with Paragraph 15 of PFRS 5; and</w:t>
      </w:r>
    </w:p>
    <w:p w14:paraId="4D743E14" w14:textId="77777777" w:rsidR="004E07CA" w:rsidRPr="00200B96" w:rsidRDefault="004E07CA" w:rsidP="00200B96">
      <w:pPr>
        <w:spacing w:after="0" w:line="240" w:lineRule="auto"/>
        <w:ind w:left="1728"/>
        <w:rPr>
          <w:rFonts w:ascii="Arial" w:hAnsi="Arial" w:cs="Arial"/>
          <w:b/>
        </w:rPr>
      </w:pPr>
    </w:p>
    <w:p w14:paraId="7F7E5A75" w14:textId="77777777" w:rsidR="004E07CA" w:rsidRPr="00200B96" w:rsidRDefault="004E07CA" w:rsidP="00200B96">
      <w:pPr>
        <w:numPr>
          <w:ilvl w:val="0"/>
          <w:numId w:val="15"/>
        </w:numPr>
        <w:spacing w:after="0" w:line="240" w:lineRule="auto"/>
        <w:ind w:left="1656"/>
        <w:jc w:val="both"/>
        <w:rPr>
          <w:rFonts w:ascii="Arial" w:hAnsi="Arial" w:cs="Arial"/>
          <w:b/>
          <w:lang w:val="en-GB" w:eastAsia="en-GB"/>
        </w:rPr>
      </w:pPr>
      <w:r w:rsidRPr="00200B96">
        <w:rPr>
          <w:rFonts w:ascii="Arial" w:hAnsi="Arial" w:cs="Arial"/>
          <w:b/>
          <w:lang w:val="en-GB" w:eastAsia="en-GB"/>
        </w:rPr>
        <w:t>Make appropriate disclosures in the Notes to FS in accordance with PFRS 5 specifically describing the following:</w:t>
      </w:r>
    </w:p>
    <w:p w14:paraId="2D612880" w14:textId="77777777" w:rsidR="004E07CA" w:rsidRPr="00200B96" w:rsidRDefault="004E07CA" w:rsidP="00200B96">
      <w:pPr>
        <w:pStyle w:val="ListParagraph"/>
        <w:rPr>
          <w:rFonts w:ascii="Arial" w:hAnsi="Arial" w:cs="Arial"/>
          <w:sz w:val="22"/>
          <w:szCs w:val="22"/>
        </w:rPr>
      </w:pPr>
    </w:p>
    <w:p w14:paraId="035B82DB" w14:textId="77777777" w:rsidR="004E07CA" w:rsidRPr="00200B96" w:rsidRDefault="004E07CA" w:rsidP="00200B96">
      <w:pPr>
        <w:pStyle w:val="ListParagraph"/>
        <w:numPr>
          <w:ilvl w:val="2"/>
          <w:numId w:val="15"/>
        </w:numPr>
        <w:ind w:left="2160" w:hanging="360"/>
        <w:jc w:val="both"/>
        <w:rPr>
          <w:rFonts w:ascii="Arial" w:hAnsi="Arial" w:cs="Arial"/>
          <w:b/>
          <w:bCs/>
          <w:sz w:val="22"/>
          <w:szCs w:val="22"/>
          <w:lang w:val="en-GB" w:eastAsia="en-GB"/>
        </w:rPr>
      </w:pPr>
      <w:r w:rsidRPr="00200B96">
        <w:rPr>
          <w:rFonts w:ascii="Arial" w:hAnsi="Arial" w:cs="Arial"/>
          <w:b/>
          <w:bCs/>
          <w:sz w:val="22"/>
          <w:szCs w:val="22"/>
        </w:rPr>
        <w:t>A description of the non-current asset; and</w:t>
      </w:r>
    </w:p>
    <w:p w14:paraId="68B7C28E" w14:textId="77777777" w:rsidR="004E07CA" w:rsidRPr="00200B96" w:rsidRDefault="004E07CA" w:rsidP="00200B96">
      <w:pPr>
        <w:pStyle w:val="ListParagraph"/>
        <w:ind w:left="2070"/>
        <w:jc w:val="both"/>
        <w:rPr>
          <w:rFonts w:ascii="Arial" w:hAnsi="Arial" w:cs="Arial"/>
          <w:b/>
          <w:bCs/>
          <w:sz w:val="22"/>
          <w:szCs w:val="22"/>
          <w:lang w:val="en-GB" w:eastAsia="en-GB"/>
        </w:rPr>
      </w:pPr>
    </w:p>
    <w:p w14:paraId="6CAFA7DC" w14:textId="77777777" w:rsidR="004E07CA" w:rsidRPr="00200B96" w:rsidRDefault="004E07CA" w:rsidP="00200B96">
      <w:pPr>
        <w:pStyle w:val="ListParagraph"/>
        <w:numPr>
          <w:ilvl w:val="2"/>
          <w:numId w:val="15"/>
        </w:numPr>
        <w:ind w:left="2160" w:hanging="360"/>
        <w:jc w:val="both"/>
        <w:rPr>
          <w:rFonts w:ascii="Arial" w:hAnsi="Arial" w:cs="Arial"/>
          <w:b/>
          <w:bCs/>
          <w:sz w:val="22"/>
          <w:szCs w:val="22"/>
          <w:lang w:val="en-GB" w:eastAsia="en-GB"/>
        </w:rPr>
      </w:pPr>
      <w:r w:rsidRPr="00200B96">
        <w:rPr>
          <w:rFonts w:ascii="Arial" w:hAnsi="Arial" w:cs="Arial"/>
          <w:b/>
          <w:bCs/>
          <w:sz w:val="22"/>
          <w:szCs w:val="22"/>
        </w:rPr>
        <w:t>A description of the facts and circumstances of the sale, or leading to the expected disposal, and the expected manner and timing of that disposal.</w:t>
      </w:r>
    </w:p>
    <w:p w14:paraId="29C7A0CE" w14:textId="77777777" w:rsidR="004E07CA" w:rsidRPr="00200B96" w:rsidRDefault="004E07CA" w:rsidP="00200B96">
      <w:pPr>
        <w:spacing w:after="0" w:line="240" w:lineRule="auto"/>
        <w:contextualSpacing/>
        <w:jc w:val="both"/>
        <w:rPr>
          <w:rFonts w:ascii="Arial" w:hAnsi="Arial" w:cs="Arial"/>
          <w:b/>
          <w:lang w:val="en-PH"/>
        </w:rPr>
      </w:pPr>
    </w:p>
    <w:p w14:paraId="6A70B84E" w14:textId="42AAC116"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The Management commented that MO No. 90 was issued primarily due to the depletion of its R</w:t>
      </w:r>
      <w:r w:rsidR="004F0733" w:rsidRPr="00200B96">
        <w:rPr>
          <w:rFonts w:ascii="Arial" w:hAnsi="Arial" w:cs="Arial"/>
          <w:sz w:val="22"/>
          <w:szCs w:val="22"/>
          <w:lang w:val="en-PH"/>
        </w:rPr>
        <w:t xml:space="preserve">etained </w:t>
      </w:r>
      <w:r w:rsidRPr="00200B96">
        <w:rPr>
          <w:rFonts w:ascii="Arial" w:hAnsi="Arial" w:cs="Arial"/>
          <w:sz w:val="22"/>
          <w:szCs w:val="22"/>
          <w:lang w:val="en-PH"/>
        </w:rPr>
        <w:t>E</w:t>
      </w:r>
      <w:r w:rsidR="004F0733" w:rsidRPr="00200B96">
        <w:rPr>
          <w:rFonts w:ascii="Arial" w:hAnsi="Arial" w:cs="Arial"/>
          <w:sz w:val="22"/>
          <w:szCs w:val="22"/>
          <w:lang w:val="en-PH"/>
        </w:rPr>
        <w:t>arnings</w:t>
      </w:r>
      <w:r w:rsidRPr="00200B96">
        <w:rPr>
          <w:rFonts w:ascii="Arial" w:hAnsi="Arial" w:cs="Arial"/>
          <w:sz w:val="22"/>
          <w:szCs w:val="22"/>
          <w:lang w:val="en-PH"/>
        </w:rPr>
        <w:t>.  Likewise, as provided in the same order, the GCG recommended the abolition of AFPRSBS, and upon approval of the President of the Philippines, GCG will implement such abolition unless another agency is otherwise designated.</w:t>
      </w:r>
    </w:p>
    <w:p w14:paraId="015B6E64" w14:textId="77777777" w:rsidR="004E07CA" w:rsidRPr="00200B96" w:rsidRDefault="004E07CA" w:rsidP="00200B96">
      <w:pPr>
        <w:spacing w:after="0" w:line="240" w:lineRule="auto"/>
        <w:contextualSpacing/>
        <w:jc w:val="both"/>
        <w:rPr>
          <w:rFonts w:ascii="Arial" w:hAnsi="Arial" w:cs="Arial"/>
          <w:lang w:val="en-PH"/>
        </w:rPr>
      </w:pPr>
    </w:p>
    <w:p w14:paraId="2BA6B4F1" w14:textId="493D6879"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 xml:space="preserve">In relation thereto, the Management commented that the AFPRSBS has generated enough funds to fully refund the contributions of the members and by the end of CY 2022, it is estimated that the </w:t>
      </w:r>
      <w:r w:rsidR="000C5F71">
        <w:rPr>
          <w:rFonts w:ascii="Arial" w:hAnsi="Arial" w:cs="Arial"/>
          <w:sz w:val="22"/>
          <w:szCs w:val="22"/>
          <w:lang w:val="en-PH"/>
        </w:rPr>
        <w:t>AFPRSBS</w:t>
      </w:r>
      <w:r w:rsidRPr="00200B96">
        <w:rPr>
          <w:rFonts w:ascii="Arial" w:hAnsi="Arial" w:cs="Arial"/>
          <w:sz w:val="22"/>
          <w:szCs w:val="22"/>
          <w:lang w:val="en-PH"/>
        </w:rPr>
        <w:t xml:space="preserve"> has P1.115 billion excess funds after allocating funds for the settlement of all its remaining liabilities and its R</w:t>
      </w:r>
      <w:r w:rsidR="004F0733" w:rsidRPr="00200B96">
        <w:rPr>
          <w:rFonts w:ascii="Arial" w:hAnsi="Arial" w:cs="Arial"/>
          <w:sz w:val="22"/>
          <w:szCs w:val="22"/>
          <w:lang w:val="en-PH"/>
        </w:rPr>
        <w:t xml:space="preserve">etained </w:t>
      </w:r>
      <w:r w:rsidRPr="00200B96">
        <w:rPr>
          <w:rFonts w:ascii="Arial" w:hAnsi="Arial" w:cs="Arial"/>
          <w:sz w:val="22"/>
          <w:szCs w:val="22"/>
          <w:lang w:val="en-PH"/>
        </w:rPr>
        <w:t>E</w:t>
      </w:r>
      <w:r w:rsidR="004F0733" w:rsidRPr="00200B96">
        <w:rPr>
          <w:rFonts w:ascii="Arial" w:hAnsi="Arial" w:cs="Arial"/>
          <w:sz w:val="22"/>
          <w:szCs w:val="22"/>
          <w:lang w:val="en-PH"/>
        </w:rPr>
        <w:t>arnings</w:t>
      </w:r>
      <w:r w:rsidRPr="00200B96">
        <w:rPr>
          <w:rFonts w:ascii="Arial" w:hAnsi="Arial" w:cs="Arial"/>
          <w:sz w:val="22"/>
          <w:szCs w:val="22"/>
          <w:lang w:val="en-PH"/>
        </w:rPr>
        <w:t xml:space="preserve"> has a balance of P9.638 billion.  Furthermore, the major disposals made in CY 2018 reversed the depletion of the R</w:t>
      </w:r>
      <w:r w:rsidR="004F0733" w:rsidRPr="00200B96">
        <w:rPr>
          <w:rFonts w:ascii="Arial" w:hAnsi="Arial" w:cs="Arial"/>
          <w:sz w:val="22"/>
          <w:szCs w:val="22"/>
          <w:lang w:val="en-PH"/>
        </w:rPr>
        <w:t xml:space="preserve">etained </w:t>
      </w:r>
      <w:r w:rsidRPr="00200B96">
        <w:rPr>
          <w:rFonts w:ascii="Arial" w:hAnsi="Arial" w:cs="Arial"/>
          <w:sz w:val="22"/>
          <w:szCs w:val="22"/>
          <w:lang w:val="en-PH"/>
        </w:rPr>
        <w:t>E</w:t>
      </w:r>
      <w:r w:rsidR="004F0733" w:rsidRPr="00200B96">
        <w:rPr>
          <w:rFonts w:ascii="Arial" w:hAnsi="Arial" w:cs="Arial"/>
          <w:sz w:val="22"/>
          <w:szCs w:val="22"/>
          <w:lang w:val="en-PH"/>
        </w:rPr>
        <w:t>arnings</w:t>
      </w:r>
      <w:r w:rsidRPr="00200B96">
        <w:rPr>
          <w:rFonts w:ascii="Arial" w:hAnsi="Arial" w:cs="Arial"/>
          <w:sz w:val="22"/>
          <w:szCs w:val="22"/>
          <w:lang w:val="en-PH"/>
        </w:rPr>
        <w:t>.</w:t>
      </w:r>
    </w:p>
    <w:p w14:paraId="35784763" w14:textId="77777777" w:rsidR="004E07CA" w:rsidRPr="00200B96" w:rsidRDefault="004E07CA" w:rsidP="00200B96">
      <w:pPr>
        <w:spacing w:after="0" w:line="240" w:lineRule="auto"/>
        <w:contextualSpacing/>
        <w:jc w:val="both"/>
        <w:rPr>
          <w:rFonts w:ascii="Arial" w:hAnsi="Arial" w:cs="Arial"/>
          <w:lang w:val="en-PH"/>
        </w:rPr>
      </w:pPr>
    </w:p>
    <w:p w14:paraId="62576B08" w14:textId="7FF4C086"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 xml:space="preserve">With the availability of funds for the refund of the MCs and payment of its outstanding liabilities, the </w:t>
      </w:r>
      <w:r w:rsidR="000C5F71">
        <w:rPr>
          <w:rFonts w:ascii="Arial" w:hAnsi="Arial" w:cs="Arial"/>
          <w:sz w:val="22"/>
          <w:szCs w:val="22"/>
          <w:lang w:val="en-PH"/>
        </w:rPr>
        <w:t>AFPRSBS</w:t>
      </w:r>
      <w:r w:rsidRPr="00200B96">
        <w:rPr>
          <w:rFonts w:ascii="Arial" w:hAnsi="Arial" w:cs="Arial"/>
          <w:sz w:val="22"/>
          <w:szCs w:val="22"/>
          <w:lang w:val="en-PH"/>
        </w:rPr>
        <w:t xml:space="preserve"> is not considering disposing all of its remaining real estate inventories.  Currently, the thrust of the </w:t>
      </w:r>
      <w:r w:rsidR="000C5F71">
        <w:rPr>
          <w:rFonts w:ascii="Arial" w:hAnsi="Arial" w:cs="Arial"/>
          <w:sz w:val="22"/>
          <w:szCs w:val="22"/>
          <w:lang w:val="en-PH"/>
        </w:rPr>
        <w:t>AFPRSBS</w:t>
      </w:r>
      <w:r w:rsidRPr="00200B96">
        <w:rPr>
          <w:rFonts w:ascii="Arial" w:hAnsi="Arial" w:cs="Arial"/>
          <w:sz w:val="22"/>
          <w:szCs w:val="22"/>
          <w:lang w:val="en-PH"/>
        </w:rPr>
        <w:t xml:space="preserve"> is to transfer all its remaining assets to an entity that will be identified by the DND. </w:t>
      </w:r>
    </w:p>
    <w:p w14:paraId="4EB1EDC5" w14:textId="77777777" w:rsidR="004E07CA" w:rsidRPr="00200B96" w:rsidRDefault="004E07CA" w:rsidP="00200B96">
      <w:pPr>
        <w:spacing w:after="0" w:line="240" w:lineRule="auto"/>
        <w:contextualSpacing/>
        <w:jc w:val="both"/>
        <w:rPr>
          <w:rFonts w:ascii="Arial" w:hAnsi="Arial" w:cs="Arial"/>
          <w:lang w:val="en-PH"/>
        </w:rPr>
      </w:pPr>
    </w:p>
    <w:p w14:paraId="1AFB6C92" w14:textId="1333043B" w:rsidR="004E07CA"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lastRenderedPageBreak/>
        <w:t xml:space="preserve">Thus, the </w:t>
      </w:r>
      <w:r w:rsidR="000C5F71">
        <w:rPr>
          <w:rFonts w:ascii="Arial" w:hAnsi="Arial" w:cs="Arial"/>
          <w:sz w:val="22"/>
          <w:szCs w:val="22"/>
          <w:lang w:val="en-PH"/>
        </w:rPr>
        <w:t>AFPRSBS</w:t>
      </w:r>
      <w:r w:rsidRPr="00200B96">
        <w:rPr>
          <w:rFonts w:ascii="Arial" w:hAnsi="Arial" w:cs="Arial"/>
          <w:sz w:val="22"/>
          <w:szCs w:val="22"/>
          <w:lang w:val="en-PH"/>
        </w:rPr>
        <w:t xml:space="preserve"> will maintain the non-current classification of its Investment in real estate – </w:t>
      </w:r>
      <w:proofErr w:type="spellStart"/>
      <w:r w:rsidRPr="00200B96">
        <w:rPr>
          <w:rFonts w:ascii="Arial" w:hAnsi="Arial" w:cs="Arial"/>
          <w:sz w:val="22"/>
          <w:szCs w:val="22"/>
          <w:lang w:val="en-PH"/>
        </w:rPr>
        <w:t>landbanking</w:t>
      </w:r>
      <w:proofErr w:type="spellEnd"/>
      <w:r w:rsidRPr="00200B96">
        <w:rPr>
          <w:rFonts w:ascii="Arial" w:hAnsi="Arial" w:cs="Arial"/>
          <w:sz w:val="22"/>
          <w:szCs w:val="22"/>
          <w:lang w:val="en-PH"/>
        </w:rPr>
        <w:t xml:space="preserve"> and industrial park, and Acquired assets.  </w:t>
      </w:r>
    </w:p>
    <w:p w14:paraId="2735F6BE" w14:textId="77777777" w:rsidR="00892A58" w:rsidRPr="00200B96" w:rsidRDefault="00892A58" w:rsidP="00892A58">
      <w:pPr>
        <w:pStyle w:val="NormalWeb"/>
        <w:spacing w:before="0" w:beforeAutospacing="0" w:after="0" w:afterAutospacing="0"/>
        <w:jc w:val="both"/>
        <w:rPr>
          <w:rFonts w:ascii="Arial" w:hAnsi="Arial" w:cs="Arial"/>
          <w:sz w:val="22"/>
          <w:szCs w:val="22"/>
          <w:lang w:val="en-PH"/>
        </w:rPr>
      </w:pPr>
    </w:p>
    <w:p w14:paraId="7B4D83CD" w14:textId="77777777"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As a rejoinder, the Audit Team</w:t>
      </w:r>
      <w:r w:rsidRPr="00200B96">
        <w:rPr>
          <w:rFonts w:ascii="Arial" w:hAnsi="Arial" w:cs="Arial"/>
          <w:sz w:val="22"/>
          <w:szCs w:val="22"/>
        </w:rPr>
        <w:t xml:space="preserve"> would like to emphasize the requirement under Paragraph 6 of PFRS 5 which provides that an entity shall classify a non-current asset as held for sale if its carrying amount will be recovered principally through a sale transaction rather than through continuing use.  For this to be the case, the asset must be available for immediate sale in its present condition subject only to terms that are usual and customary for sales of such assets and its sale must be highly probable.  For the sale to be highly probable, the appropriate level of management must be committed to a plan to sell the asset, and an active program to locate a buyer and complete the plan must have been</w:t>
      </w:r>
      <w:r w:rsidRPr="00200B96">
        <w:rPr>
          <w:rFonts w:ascii="Arial" w:hAnsi="Arial" w:cs="Arial"/>
          <w:sz w:val="22"/>
          <w:szCs w:val="22"/>
          <w:lang w:val="en-PH"/>
        </w:rPr>
        <w:t xml:space="preserve"> initiated.</w:t>
      </w:r>
    </w:p>
    <w:p w14:paraId="67C65598" w14:textId="77777777" w:rsidR="004E07CA" w:rsidRPr="00200B96" w:rsidRDefault="004E07CA" w:rsidP="00200B96">
      <w:pPr>
        <w:pStyle w:val="NormalWeb"/>
        <w:spacing w:before="0" w:beforeAutospacing="0" w:after="0" w:afterAutospacing="0"/>
        <w:ind w:left="1260"/>
        <w:jc w:val="both"/>
        <w:rPr>
          <w:rFonts w:ascii="Arial" w:hAnsi="Arial" w:cs="Arial"/>
          <w:sz w:val="22"/>
          <w:szCs w:val="22"/>
        </w:rPr>
      </w:pPr>
    </w:p>
    <w:p w14:paraId="3ECE8774" w14:textId="4547A0BC"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 xml:space="preserve">MO No. 90 expressly and unequivocally directs not only the abolition of the </w:t>
      </w:r>
      <w:r w:rsidR="000C5F71">
        <w:rPr>
          <w:rFonts w:ascii="Arial" w:hAnsi="Arial" w:cs="Arial"/>
          <w:sz w:val="22"/>
          <w:szCs w:val="22"/>
          <w:lang w:val="en-PH"/>
        </w:rPr>
        <w:t>AFPRSBS</w:t>
      </w:r>
      <w:r w:rsidRPr="00200B96">
        <w:rPr>
          <w:rFonts w:ascii="Arial" w:hAnsi="Arial" w:cs="Arial"/>
          <w:sz w:val="22"/>
          <w:szCs w:val="22"/>
          <w:lang w:val="en-PH"/>
        </w:rPr>
        <w:t xml:space="preserve"> but also its winding down and liquidation.  As expressly provided in the </w:t>
      </w:r>
      <w:r w:rsidRPr="00200B96">
        <w:rPr>
          <w:rFonts w:ascii="Arial" w:hAnsi="Arial" w:cs="Arial"/>
          <w:sz w:val="22"/>
          <w:szCs w:val="22"/>
        </w:rPr>
        <w:t>said</w:t>
      </w:r>
      <w:r w:rsidRPr="00200B96">
        <w:rPr>
          <w:rFonts w:ascii="Arial" w:hAnsi="Arial" w:cs="Arial"/>
          <w:sz w:val="22"/>
          <w:szCs w:val="22"/>
          <w:lang w:val="en-PH"/>
        </w:rPr>
        <w:t xml:space="preserve"> order, the AFPRSBS BOL subject to oversight by the GCG is directed to enter into contracts for the sale of all of its real estate assets, such as, but not limited to, subdivision lots, house and lots, memorial lots, raw lands and all acquired assets in accordance with the internal policy of the </w:t>
      </w:r>
      <w:r w:rsidR="000C5F71">
        <w:rPr>
          <w:rFonts w:ascii="Arial" w:hAnsi="Arial" w:cs="Arial"/>
          <w:sz w:val="22"/>
          <w:szCs w:val="22"/>
          <w:lang w:val="en-PH"/>
        </w:rPr>
        <w:t>AFPRSBS</w:t>
      </w:r>
      <w:r w:rsidRPr="00200B96">
        <w:rPr>
          <w:rFonts w:ascii="Arial" w:hAnsi="Arial" w:cs="Arial"/>
          <w:sz w:val="22"/>
          <w:szCs w:val="22"/>
          <w:lang w:val="en-PH"/>
        </w:rPr>
        <w:t xml:space="preserve">. In view thereof, the carrying amounts of these assets will be recovered principally through a sale transaction rather than through continuing use. Likewise, under its prevailing approved LP, one of the strategies being pursued is to dispose all assets whether real or equity investment at their highest recoverable value. Until such LP is revised and a new plan is approved by the GCG, the thrust of the AFPRSBS is to liquidate all its assets. As such, classification of these assets from non-current to current assets is warranted. </w:t>
      </w:r>
    </w:p>
    <w:p w14:paraId="142F41D0" w14:textId="77777777" w:rsidR="004E07CA" w:rsidRPr="00200B96" w:rsidRDefault="004E07CA" w:rsidP="00200B96">
      <w:pPr>
        <w:pStyle w:val="NormalWeb"/>
        <w:spacing w:before="0" w:beforeAutospacing="0" w:after="0" w:afterAutospacing="0"/>
        <w:ind w:left="1260"/>
        <w:jc w:val="both"/>
        <w:rPr>
          <w:rFonts w:ascii="Arial" w:hAnsi="Arial" w:cs="Arial"/>
          <w:sz w:val="22"/>
          <w:szCs w:val="22"/>
          <w:lang w:val="en-PH"/>
        </w:rPr>
      </w:pPr>
    </w:p>
    <w:p w14:paraId="73FC85C7" w14:textId="67EE180C"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 xml:space="preserve">Moreover, while the </w:t>
      </w:r>
      <w:r w:rsidR="000C5F71">
        <w:rPr>
          <w:rFonts w:ascii="Arial" w:hAnsi="Arial" w:cs="Arial"/>
          <w:sz w:val="22"/>
          <w:szCs w:val="22"/>
          <w:lang w:val="en-PH"/>
        </w:rPr>
        <w:t>AFPRSBS</w:t>
      </w:r>
      <w:r w:rsidRPr="00200B96">
        <w:rPr>
          <w:rFonts w:ascii="Arial" w:hAnsi="Arial" w:cs="Arial"/>
          <w:sz w:val="22"/>
          <w:szCs w:val="22"/>
          <w:lang w:val="en-PH"/>
        </w:rPr>
        <w:t xml:space="preserve"> estimated to have an excess funds amounting to P1.115 billion after allocating funds for the settlement of all its remaining liabilities, such circumstance is not among the conditions mentioned in PFRS 5 that would warrant exemption from reclassifying its non-current assets held for sale such as Investment in real estate – </w:t>
      </w:r>
      <w:proofErr w:type="spellStart"/>
      <w:r w:rsidRPr="00200B96">
        <w:rPr>
          <w:rFonts w:ascii="Arial" w:hAnsi="Arial" w:cs="Arial"/>
          <w:sz w:val="22"/>
          <w:szCs w:val="22"/>
          <w:lang w:val="en-PH"/>
        </w:rPr>
        <w:t>landbanking</w:t>
      </w:r>
      <w:proofErr w:type="spellEnd"/>
      <w:r w:rsidRPr="00200B96">
        <w:rPr>
          <w:rFonts w:ascii="Arial" w:hAnsi="Arial" w:cs="Arial"/>
          <w:sz w:val="22"/>
          <w:szCs w:val="22"/>
          <w:lang w:val="en-PH"/>
        </w:rPr>
        <w:t xml:space="preserve"> and industrial park, and Acquired assets to current assets. </w:t>
      </w:r>
    </w:p>
    <w:p w14:paraId="39A50C7E" w14:textId="77777777" w:rsidR="004E07CA" w:rsidRPr="00200B96" w:rsidRDefault="004E07CA" w:rsidP="00200B96">
      <w:pPr>
        <w:pStyle w:val="NormalWeb"/>
        <w:spacing w:before="0" w:beforeAutospacing="0" w:after="0" w:afterAutospacing="0"/>
        <w:ind w:left="1260"/>
        <w:contextualSpacing/>
        <w:jc w:val="both"/>
        <w:rPr>
          <w:rFonts w:ascii="Arial" w:hAnsi="Arial" w:cs="Arial"/>
          <w:sz w:val="22"/>
          <w:szCs w:val="22"/>
          <w:lang w:val="en-PH"/>
        </w:rPr>
      </w:pPr>
    </w:p>
    <w:p w14:paraId="0BDD1884" w14:textId="77777777" w:rsidR="004E07CA" w:rsidRPr="00200B96" w:rsidRDefault="004E07CA" w:rsidP="00513696">
      <w:pPr>
        <w:pStyle w:val="NormalWeb"/>
        <w:numPr>
          <w:ilvl w:val="0"/>
          <w:numId w:val="82"/>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 xml:space="preserve">Foregoing considered, we maintain our recommendation for AFPRSBS to reclassify its </w:t>
      </w:r>
      <w:proofErr w:type="gramStart"/>
      <w:r w:rsidRPr="00200B96">
        <w:rPr>
          <w:rFonts w:ascii="Arial" w:hAnsi="Arial" w:cs="Arial"/>
          <w:sz w:val="22"/>
          <w:szCs w:val="22"/>
          <w:lang w:val="en-PH"/>
        </w:rPr>
        <w:t>Investment</w:t>
      </w:r>
      <w:proofErr w:type="gramEnd"/>
      <w:r w:rsidRPr="00200B96">
        <w:rPr>
          <w:rFonts w:ascii="Arial" w:hAnsi="Arial" w:cs="Arial"/>
          <w:sz w:val="22"/>
          <w:szCs w:val="22"/>
          <w:lang w:val="en-PH"/>
        </w:rPr>
        <w:t xml:space="preserve"> in real estate – </w:t>
      </w:r>
      <w:proofErr w:type="spellStart"/>
      <w:r w:rsidRPr="00200B96">
        <w:rPr>
          <w:rFonts w:ascii="Arial" w:hAnsi="Arial" w:cs="Arial"/>
          <w:sz w:val="22"/>
          <w:szCs w:val="22"/>
          <w:lang w:val="en-PH"/>
        </w:rPr>
        <w:t>landbanking</w:t>
      </w:r>
      <w:proofErr w:type="spellEnd"/>
      <w:r w:rsidRPr="00200B96">
        <w:rPr>
          <w:rFonts w:ascii="Arial" w:hAnsi="Arial" w:cs="Arial"/>
          <w:sz w:val="22"/>
          <w:szCs w:val="22"/>
          <w:lang w:val="en-PH"/>
        </w:rPr>
        <w:t xml:space="preserve"> and industrial park and Acquired assets as Held for sale under current assets and revalue the same at lower of its carrying amount and fair value less cost to sell in accordance with Paragraph 15 of PFRS 5.</w:t>
      </w:r>
    </w:p>
    <w:p w14:paraId="1F85DC45" w14:textId="3C023228" w:rsidR="00FC07DD" w:rsidRPr="00200B96" w:rsidRDefault="00FC07DD" w:rsidP="00200B96">
      <w:pPr>
        <w:pStyle w:val="NormalWeb"/>
        <w:spacing w:before="0" w:beforeAutospacing="0" w:after="0" w:afterAutospacing="0"/>
        <w:ind w:left="360"/>
        <w:jc w:val="both"/>
        <w:rPr>
          <w:rFonts w:ascii="Arial" w:hAnsi="Arial" w:cs="Arial"/>
          <w:sz w:val="22"/>
          <w:szCs w:val="22"/>
        </w:rPr>
      </w:pPr>
    </w:p>
    <w:p w14:paraId="3B4AF6D5" w14:textId="77777777" w:rsidR="004E07CA" w:rsidRPr="00200B96" w:rsidRDefault="004E07CA" w:rsidP="00200B96">
      <w:pPr>
        <w:pStyle w:val="NormalWeb"/>
        <w:spacing w:before="0" w:beforeAutospacing="0" w:after="0" w:afterAutospacing="0"/>
        <w:ind w:left="360"/>
        <w:jc w:val="both"/>
        <w:rPr>
          <w:rFonts w:ascii="Arial" w:hAnsi="Arial" w:cs="Arial"/>
          <w:sz w:val="22"/>
          <w:szCs w:val="22"/>
        </w:rPr>
      </w:pPr>
    </w:p>
    <w:bookmarkEnd w:id="0"/>
    <w:p w14:paraId="5E418A2F" w14:textId="6B99AAE8" w:rsidR="007D7EEA" w:rsidRPr="00892A58"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892A58">
        <w:rPr>
          <w:rFonts w:ascii="Arial" w:hAnsi="Arial" w:cs="Arial"/>
          <w:b/>
          <w:sz w:val="22"/>
          <w:szCs w:val="22"/>
        </w:rPr>
        <w:t>The reliability and fair presentation of the</w:t>
      </w:r>
      <w:r w:rsidR="009802B3" w:rsidRPr="00892A58">
        <w:rPr>
          <w:rFonts w:ascii="Arial" w:hAnsi="Arial" w:cs="Arial"/>
          <w:b/>
          <w:sz w:val="22"/>
          <w:szCs w:val="22"/>
        </w:rPr>
        <w:t xml:space="preserve"> balances of</w:t>
      </w:r>
      <w:r w:rsidRPr="00892A58">
        <w:rPr>
          <w:rFonts w:ascii="Arial" w:hAnsi="Arial" w:cs="Arial"/>
          <w:b/>
          <w:sz w:val="22"/>
          <w:szCs w:val="22"/>
        </w:rPr>
        <w:t xml:space="preserve"> ICR</w:t>
      </w:r>
      <w:r w:rsidR="009802B3" w:rsidRPr="00892A58">
        <w:rPr>
          <w:rFonts w:ascii="Arial" w:hAnsi="Arial" w:cs="Arial"/>
          <w:b/>
          <w:sz w:val="22"/>
          <w:szCs w:val="22"/>
        </w:rPr>
        <w:t xml:space="preserve"> </w:t>
      </w:r>
      <w:r w:rsidR="00A7291F" w:rsidRPr="00892A58">
        <w:rPr>
          <w:rFonts w:ascii="Arial" w:hAnsi="Arial" w:cs="Arial"/>
          <w:b/>
          <w:sz w:val="22"/>
          <w:szCs w:val="22"/>
        </w:rPr>
        <w:t xml:space="preserve">– Current </w:t>
      </w:r>
      <w:r w:rsidRPr="00892A58">
        <w:rPr>
          <w:rFonts w:ascii="Arial" w:hAnsi="Arial" w:cs="Arial"/>
          <w:b/>
          <w:sz w:val="22"/>
          <w:szCs w:val="22"/>
        </w:rPr>
        <w:t xml:space="preserve">and ICR-past due accounts in the FS totaling P325.778 million as at December 31, 2022 could not be relied upon due to: a) variance between the GL and SL balances of the ICR; </w:t>
      </w:r>
      <w:r w:rsidR="003A1C72" w:rsidRPr="00892A58">
        <w:rPr>
          <w:rFonts w:ascii="Arial" w:hAnsi="Arial" w:cs="Arial"/>
          <w:b/>
          <w:sz w:val="22"/>
          <w:szCs w:val="22"/>
        </w:rPr>
        <w:t xml:space="preserve">and </w:t>
      </w:r>
      <w:r w:rsidRPr="00892A58">
        <w:rPr>
          <w:rFonts w:ascii="Arial" w:hAnsi="Arial" w:cs="Arial"/>
          <w:b/>
          <w:sz w:val="22"/>
          <w:szCs w:val="22"/>
        </w:rPr>
        <w:t>b) improper presentation and measurement of the account, contrary to Paragraphs 15 and 66 of PAS 1.</w:t>
      </w:r>
    </w:p>
    <w:p w14:paraId="135F1108" w14:textId="77777777" w:rsidR="007D7EEA" w:rsidRPr="00200B96" w:rsidRDefault="007D7EEA" w:rsidP="00200B96">
      <w:pPr>
        <w:spacing w:after="0" w:line="240" w:lineRule="auto"/>
        <w:jc w:val="both"/>
        <w:rPr>
          <w:rFonts w:ascii="Arial" w:hAnsi="Arial" w:cs="Arial"/>
        </w:rPr>
      </w:pPr>
    </w:p>
    <w:p w14:paraId="411D1F39" w14:textId="013E71A8"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cs="Arial"/>
          <w:sz w:val="22"/>
          <w:szCs w:val="22"/>
        </w:rPr>
      </w:pPr>
      <w:r w:rsidRPr="00200B96">
        <w:rPr>
          <w:rFonts w:ascii="Arial" w:hAnsi="Arial" w:cs="Arial"/>
          <w:sz w:val="22"/>
          <w:szCs w:val="22"/>
          <w:lang w:eastAsia="en-PH"/>
        </w:rPr>
        <w:lastRenderedPageBreak/>
        <w:t xml:space="preserve">Aside from Paragraph 15 of PAS 1 requiring </w:t>
      </w:r>
      <w:r w:rsidR="00513696">
        <w:rPr>
          <w:rFonts w:ascii="Arial" w:hAnsi="Arial" w:cs="Arial"/>
          <w:sz w:val="22"/>
          <w:szCs w:val="22"/>
          <w:lang w:eastAsia="en-PH"/>
        </w:rPr>
        <w:t xml:space="preserve">the </w:t>
      </w:r>
      <w:r w:rsidRPr="00200B96">
        <w:rPr>
          <w:rFonts w:ascii="Arial" w:hAnsi="Arial" w:cs="Arial"/>
          <w:sz w:val="22"/>
          <w:szCs w:val="22"/>
          <w:lang w:eastAsia="en-PH"/>
        </w:rPr>
        <w:t xml:space="preserve">fair presentation of FS, </w:t>
      </w:r>
      <w:r w:rsidRPr="00200B96">
        <w:rPr>
          <w:rFonts w:ascii="Arial" w:eastAsia="MS Mincho" w:hAnsi="Arial" w:cs="Arial"/>
          <w:sz w:val="22"/>
          <w:szCs w:val="22"/>
        </w:rPr>
        <w:t xml:space="preserve">Paragraph 66 of </w:t>
      </w:r>
      <w:r w:rsidR="00513696">
        <w:rPr>
          <w:rFonts w:ascii="Arial" w:eastAsia="MS Mincho" w:hAnsi="Arial" w:cs="Arial"/>
          <w:sz w:val="22"/>
          <w:szCs w:val="22"/>
        </w:rPr>
        <w:t>the same standard</w:t>
      </w:r>
      <w:r w:rsidRPr="00200B96">
        <w:rPr>
          <w:rFonts w:ascii="Arial" w:eastAsia="MS Mincho" w:hAnsi="Arial" w:cs="Arial"/>
          <w:sz w:val="22"/>
          <w:szCs w:val="22"/>
        </w:rPr>
        <w:t xml:space="preserve"> provides:</w:t>
      </w:r>
    </w:p>
    <w:p w14:paraId="4C3A3783" w14:textId="77777777" w:rsidR="00CB53F8" w:rsidRDefault="00CB53F8" w:rsidP="00200B96">
      <w:pPr>
        <w:pStyle w:val="NoSpacing"/>
        <w:ind w:left="1728" w:right="432"/>
        <w:jc w:val="both"/>
        <w:rPr>
          <w:rFonts w:ascii="Arial" w:hAnsi="Arial" w:cs="Arial"/>
          <w:i/>
        </w:rPr>
      </w:pPr>
    </w:p>
    <w:p w14:paraId="5C8B798B" w14:textId="0BC2D38B" w:rsidR="007D7EEA" w:rsidRPr="00200B96" w:rsidRDefault="00DD2A4D" w:rsidP="00200B96">
      <w:pPr>
        <w:pStyle w:val="NoSpacing"/>
        <w:ind w:left="1728" w:right="432"/>
        <w:jc w:val="both"/>
        <w:rPr>
          <w:rFonts w:ascii="Arial" w:hAnsi="Arial" w:cs="Arial"/>
          <w:i/>
        </w:rPr>
      </w:pPr>
      <w:r w:rsidRPr="00200B96">
        <w:rPr>
          <w:rFonts w:ascii="Arial" w:hAnsi="Arial" w:cs="Arial"/>
          <w:i/>
        </w:rPr>
        <w:t>66. An entity shall classify an asset as current when:</w:t>
      </w:r>
    </w:p>
    <w:p w14:paraId="6DC2AC8C" w14:textId="77777777" w:rsidR="007D7EEA" w:rsidRPr="00200B96" w:rsidRDefault="007D7EEA" w:rsidP="00200B96">
      <w:pPr>
        <w:pStyle w:val="NoSpacing"/>
        <w:ind w:left="1728" w:right="432"/>
        <w:jc w:val="both"/>
        <w:rPr>
          <w:rFonts w:ascii="Arial" w:hAnsi="Arial" w:cs="Arial"/>
          <w:i/>
        </w:rPr>
      </w:pPr>
    </w:p>
    <w:p w14:paraId="60627C01" w14:textId="77777777" w:rsidR="007D7EEA" w:rsidRPr="00200B96" w:rsidRDefault="00DD2A4D" w:rsidP="00200B96">
      <w:pPr>
        <w:pStyle w:val="NoSpacing"/>
        <w:ind w:left="1728" w:right="432"/>
        <w:jc w:val="both"/>
        <w:rPr>
          <w:rFonts w:ascii="Arial" w:hAnsi="Arial" w:cs="Arial"/>
          <w:i/>
        </w:rPr>
      </w:pPr>
      <w:r w:rsidRPr="00200B96">
        <w:rPr>
          <w:rFonts w:ascii="Arial" w:hAnsi="Arial" w:cs="Arial"/>
          <w:i/>
        </w:rPr>
        <w:t xml:space="preserve">(a) it expects to realize the asset, or intends to sell or consume it, in its normal operating cycle; </w:t>
      </w:r>
    </w:p>
    <w:p w14:paraId="3D3C2A06" w14:textId="77777777" w:rsidR="007D7EEA" w:rsidRPr="00200B96" w:rsidRDefault="00DD2A4D" w:rsidP="00200B96">
      <w:pPr>
        <w:pStyle w:val="NoSpacing"/>
        <w:ind w:left="1728" w:right="432"/>
        <w:jc w:val="both"/>
        <w:rPr>
          <w:rFonts w:ascii="Arial" w:hAnsi="Arial" w:cs="Arial"/>
          <w:i/>
        </w:rPr>
      </w:pPr>
      <w:r w:rsidRPr="00200B96">
        <w:rPr>
          <w:rFonts w:ascii="Arial" w:hAnsi="Arial" w:cs="Arial"/>
          <w:i/>
        </w:rPr>
        <w:t>(b) it holds the asset primarily for the purpose of trading;</w:t>
      </w:r>
    </w:p>
    <w:p w14:paraId="48250517" w14:textId="77777777" w:rsidR="007D7EEA" w:rsidRPr="00200B96" w:rsidRDefault="00DD2A4D" w:rsidP="00200B96">
      <w:pPr>
        <w:pStyle w:val="NoSpacing"/>
        <w:ind w:left="1728" w:right="432"/>
        <w:jc w:val="both"/>
        <w:rPr>
          <w:rFonts w:ascii="Arial" w:hAnsi="Arial" w:cs="Arial"/>
          <w:i/>
        </w:rPr>
      </w:pPr>
      <w:r w:rsidRPr="00200B96">
        <w:rPr>
          <w:rFonts w:ascii="Arial" w:hAnsi="Arial" w:cs="Arial"/>
          <w:i/>
        </w:rPr>
        <w:t xml:space="preserve">(c) </w:t>
      </w:r>
      <w:r w:rsidRPr="00200B96">
        <w:rPr>
          <w:rFonts w:ascii="Arial" w:hAnsi="Arial" w:cs="Arial"/>
          <w:b/>
          <w:i/>
        </w:rPr>
        <w:t>it expects to realize the asset within twelve months after the reporting period</w:t>
      </w:r>
      <w:r w:rsidRPr="00200B96">
        <w:rPr>
          <w:rFonts w:ascii="Arial" w:hAnsi="Arial" w:cs="Arial"/>
          <w:i/>
        </w:rPr>
        <w:t>; or</w:t>
      </w:r>
    </w:p>
    <w:p w14:paraId="4F41262F" w14:textId="77777777" w:rsidR="007D7EEA" w:rsidRPr="00200B96" w:rsidRDefault="00DD2A4D" w:rsidP="00200B96">
      <w:pPr>
        <w:pStyle w:val="NoSpacing"/>
        <w:ind w:left="1728" w:right="432"/>
        <w:jc w:val="both"/>
        <w:rPr>
          <w:rFonts w:ascii="Arial" w:hAnsi="Arial" w:cs="Arial"/>
        </w:rPr>
      </w:pPr>
      <w:r w:rsidRPr="00200B96">
        <w:rPr>
          <w:rFonts w:ascii="Arial" w:hAnsi="Arial" w:cs="Arial"/>
          <w:i/>
        </w:rPr>
        <w:t xml:space="preserve">(d) the asset is cash or a cash equivalent (as defined in PAS 7) unless the asset is restricted from being exchanged or used to settle a liability for at least twelve months after the reporting period. </w:t>
      </w:r>
      <w:r w:rsidRPr="00200B96">
        <w:rPr>
          <w:rFonts w:ascii="Arial" w:hAnsi="Arial" w:cs="Arial"/>
        </w:rPr>
        <w:t>(Emphasis supplied)</w:t>
      </w:r>
    </w:p>
    <w:p w14:paraId="6B6A551D" w14:textId="6825F845" w:rsidR="007D7EEA" w:rsidRPr="00200B96" w:rsidRDefault="00DD2A4D" w:rsidP="00200B96">
      <w:pPr>
        <w:pStyle w:val="NoSpacing"/>
        <w:jc w:val="both"/>
        <w:rPr>
          <w:rFonts w:ascii="Arial" w:hAnsi="Arial" w:cs="Arial"/>
          <w:i/>
        </w:rPr>
      </w:pPr>
      <w:r w:rsidRPr="00200B96">
        <w:rPr>
          <w:rFonts w:ascii="Arial" w:hAnsi="Arial" w:cs="Arial"/>
        </w:rPr>
        <w:tab/>
      </w:r>
    </w:p>
    <w:p w14:paraId="6950395C"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To expedite the sale of its properties, the AFPRSBS sold some of its properties on installment basis to give buyers the option to allocate payments over a longer period, normally ranging from one to 15 years.  Upon full payment of the required down payment, an ICR is established for the buyer and monthly amortization payments are subsequently charged thereon.</w:t>
      </w:r>
    </w:p>
    <w:p w14:paraId="45B57A21" w14:textId="77777777" w:rsidR="007D7EEA" w:rsidRPr="00200B96" w:rsidRDefault="007D7EEA" w:rsidP="00200B96">
      <w:pPr>
        <w:spacing w:after="0" w:line="240" w:lineRule="auto"/>
        <w:ind w:right="4707"/>
        <w:jc w:val="both"/>
        <w:rPr>
          <w:rFonts w:ascii="Arial" w:eastAsia="SimSun" w:hAnsi="Arial" w:cs="Arial"/>
          <w:i/>
          <w:lang w:eastAsia="zh-CN"/>
        </w:rPr>
      </w:pPr>
    </w:p>
    <w:p w14:paraId="5E1B198E" w14:textId="77777777" w:rsidR="007D7EEA" w:rsidRPr="00200B96" w:rsidRDefault="00DD2A4D" w:rsidP="00200B96">
      <w:pPr>
        <w:spacing w:after="0" w:line="240" w:lineRule="auto"/>
        <w:ind w:left="576"/>
        <w:jc w:val="both"/>
        <w:rPr>
          <w:rFonts w:ascii="Arial" w:eastAsia="SimSun" w:hAnsi="Arial" w:cs="Arial"/>
          <w:i/>
          <w:lang w:eastAsia="zh-CN"/>
        </w:rPr>
      </w:pPr>
      <w:bookmarkStart w:id="1" w:name="_Hlk134706301"/>
      <w:r w:rsidRPr="00200B96">
        <w:rPr>
          <w:rFonts w:ascii="Arial" w:eastAsia="SimSun" w:hAnsi="Arial" w:cs="Arial"/>
          <w:i/>
          <w:lang w:eastAsia="zh-CN"/>
        </w:rPr>
        <w:t>Variance between the GL and SL balances of the ICR</w:t>
      </w:r>
    </w:p>
    <w:bookmarkEnd w:id="1"/>
    <w:p w14:paraId="50B0470F" w14:textId="77777777" w:rsidR="007D7EEA" w:rsidRPr="00200B96" w:rsidRDefault="007D7EEA" w:rsidP="00200B96">
      <w:pPr>
        <w:spacing w:after="0" w:line="240" w:lineRule="auto"/>
        <w:jc w:val="both"/>
        <w:rPr>
          <w:rFonts w:ascii="Arial" w:hAnsi="Arial" w:cs="Arial"/>
        </w:rPr>
      </w:pPr>
    </w:p>
    <w:p w14:paraId="15A2E890" w14:textId="20697F2D"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As at December 31, 2022, the ICR balance of the AFPRSBS amounted to P263.726 million and P62.053 million for ICR-current and ICR-past due, respectively.  To ascertain the composition of these receivables the Audit Team requested for the SL of the ICR.  However, our audit showed a net variances of P23.341 million and P0.970 million between the GL and SL balances of the ICR-current and ICR-past due, respectively.  Details are presented in Table </w:t>
      </w:r>
      <w:r w:rsidR="00E4192B" w:rsidRPr="00200B96">
        <w:rPr>
          <w:rFonts w:ascii="Arial" w:hAnsi="Arial" w:cs="Arial"/>
          <w:sz w:val="22"/>
          <w:szCs w:val="22"/>
        </w:rPr>
        <w:t>7</w:t>
      </w:r>
      <w:r w:rsidRPr="00200B96">
        <w:rPr>
          <w:rFonts w:ascii="Arial" w:hAnsi="Arial" w:cs="Arial"/>
          <w:sz w:val="22"/>
          <w:szCs w:val="22"/>
        </w:rPr>
        <w:t>.1.</w:t>
      </w:r>
    </w:p>
    <w:p w14:paraId="25C0952F" w14:textId="77777777" w:rsidR="007D7EEA" w:rsidRPr="00200B96" w:rsidRDefault="007D7EEA" w:rsidP="00200B96">
      <w:pPr>
        <w:spacing w:after="0" w:line="240" w:lineRule="auto"/>
        <w:jc w:val="center"/>
        <w:rPr>
          <w:rFonts w:ascii="Arial" w:hAnsi="Arial" w:cs="Arial"/>
        </w:rPr>
      </w:pPr>
    </w:p>
    <w:p w14:paraId="682800BE" w14:textId="190B807E" w:rsidR="007D7EEA" w:rsidRPr="00200B96" w:rsidRDefault="00DD2A4D" w:rsidP="00200B96">
      <w:pPr>
        <w:spacing w:after="0" w:line="240" w:lineRule="auto"/>
        <w:ind w:left="1170"/>
        <w:jc w:val="center"/>
        <w:rPr>
          <w:rFonts w:ascii="Arial" w:hAnsi="Arial" w:cs="Arial"/>
          <w:b/>
        </w:rPr>
      </w:pPr>
      <w:r w:rsidRPr="00200B96">
        <w:rPr>
          <w:rFonts w:ascii="Arial" w:hAnsi="Arial" w:cs="Arial"/>
          <w:b/>
        </w:rPr>
        <w:t xml:space="preserve">Table </w:t>
      </w:r>
      <w:r w:rsidR="00E4192B" w:rsidRPr="00200B96">
        <w:rPr>
          <w:rFonts w:ascii="Arial" w:hAnsi="Arial" w:cs="Arial"/>
          <w:b/>
        </w:rPr>
        <w:t>7</w:t>
      </w:r>
      <w:r w:rsidRPr="00200B96">
        <w:rPr>
          <w:rFonts w:ascii="Arial" w:hAnsi="Arial" w:cs="Arial"/>
          <w:b/>
        </w:rPr>
        <w:t>.1 – Variance between the GL and SL balances of the ICR</w:t>
      </w:r>
    </w:p>
    <w:p w14:paraId="61B15C9A" w14:textId="77777777" w:rsidR="007D7EEA" w:rsidRPr="00200B96" w:rsidRDefault="00DD2A4D" w:rsidP="00200B96">
      <w:pPr>
        <w:spacing w:after="0" w:line="240" w:lineRule="auto"/>
        <w:ind w:left="1170"/>
        <w:jc w:val="center"/>
        <w:rPr>
          <w:rFonts w:ascii="Arial" w:eastAsia="SimSun" w:hAnsi="Arial" w:cs="Arial"/>
          <w:b/>
          <w:bCs/>
          <w:lang w:eastAsia="zh-CN"/>
        </w:rPr>
      </w:pPr>
      <w:r w:rsidRPr="00200B96">
        <w:rPr>
          <w:rFonts w:ascii="Arial" w:eastAsia="SimSun" w:hAnsi="Arial" w:cs="Arial"/>
          <w:b/>
          <w:bCs/>
          <w:lang w:eastAsia="zh-CN"/>
        </w:rPr>
        <w:t>As at December 31, 2022</w:t>
      </w:r>
    </w:p>
    <w:p w14:paraId="6C3A6924" w14:textId="77777777" w:rsidR="007D7EEA" w:rsidRPr="00200B96" w:rsidRDefault="007D7EEA" w:rsidP="00200B96">
      <w:pPr>
        <w:spacing w:after="0" w:line="240" w:lineRule="auto"/>
        <w:jc w:val="both"/>
        <w:rPr>
          <w:rFonts w:ascii="Arial" w:hAnsi="Arial" w:cs="Arial"/>
        </w:rPr>
      </w:pPr>
    </w:p>
    <w:tbl>
      <w:tblPr>
        <w:tblW w:w="7409" w:type="dxa"/>
        <w:tblInd w:w="1260" w:type="dxa"/>
        <w:tblLook w:val="04A0" w:firstRow="1" w:lastRow="0" w:firstColumn="1" w:lastColumn="0" w:noHBand="0" w:noVBand="1"/>
      </w:tblPr>
      <w:tblGrid>
        <w:gridCol w:w="1167"/>
        <w:gridCol w:w="2167"/>
        <w:gridCol w:w="1945"/>
        <w:gridCol w:w="2130"/>
      </w:tblGrid>
      <w:tr w:rsidR="007D7EEA" w14:paraId="761E941B" w14:textId="77777777">
        <w:trPr>
          <w:trHeight w:val="144"/>
          <w:tblHeader/>
        </w:trPr>
        <w:tc>
          <w:tcPr>
            <w:tcW w:w="1167" w:type="dxa"/>
            <w:tcBorders>
              <w:top w:val="single" w:sz="8" w:space="0" w:color="auto"/>
              <w:left w:val="nil"/>
              <w:bottom w:val="single" w:sz="8" w:space="0" w:color="auto"/>
              <w:right w:val="nil"/>
            </w:tcBorders>
            <w:shd w:val="clear" w:color="auto" w:fill="auto"/>
            <w:noWrap/>
            <w:vAlign w:val="center"/>
          </w:tcPr>
          <w:p w14:paraId="17E08B2F" w14:textId="77777777" w:rsidR="007D7EEA" w:rsidRPr="009E5EF9" w:rsidRDefault="00DD2A4D">
            <w:pPr>
              <w:spacing w:after="0" w:line="240" w:lineRule="auto"/>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ICR</w:t>
            </w:r>
          </w:p>
        </w:tc>
        <w:tc>
          <w:tcPr>
            <w:tcW w:w="2167" w:type="dxa"/>
            <w:tcBorders>
              <w:top w:val="single" w:sz="8" w:space="0" w:color="auto"/>
              <w:left w:val="nil"/>
              <w:bottom w:val="single" w:sz="8" w:space="0" w:color="auto"/>
              <w:right w:val="nil"/>
            </w:tcBorders>
            <w:shd w:val="clear" w:color="auto" w:fill="auto"/>
            <w:noWrap/>
            <w:vAlign w:val="center"/>
          </w:tcPr>
          <w:p w14:paraId="1C483C5B" w14:textId="77777777" w:rsidR="007D7EEA" w:rsidRPr="009E5EF9" w:rsidRDefault="00DD2A4D">
            <w:pPr>
              <w:spacing w:after="0" w:line="240" w:lineRule="auto"/>
              <w:jc w:val="center"/>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Current</w:t>
            </w:r>
          </w:p>
        </w:tc>
        <w:tc>
          <w:tcPr>
            <w:tcW w:w="1945" w:type="dxa"/>
            <w:tcBorders>
              <w:top w:val="single" w:sz="8" w:space="0" w:color="auto"/>
              <w:left w:val="nil"/>
              <w:bottom w:val="single" w:sz="8" w:space="0" w:color="auto"/>
              <w:right w:val="nil"/>
            </w:tcBorders>
            <w:shd w:val="clear" w:color="auto" w:fill="auto"/>
            <w:noWrap/>
            <w:vAlign w:val="center"/>
          </w:tcPr>
          <w:p w14:paraId="1A401DF7" w14:textId="77777777" w:rsidR="007D7EEA" w:rsidRPr="009E5EF9" w:rsidRDefault="00DD2A4D">
            <w:pPr>
              <w:spacing w:after="0" w:line="240" w:lineRule="auto"/>
              <w:jc w:val="center"/>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Past due</w:t>
            </w:r>
          </w:p>
        </w:tc>
        <w:tc>
          <w:tcPr>
            <w:tcW w:w="2130" w:type="dxa"/>
            <w:tcBorders>
              <w:top w:val="single" w:sz="8" w:space="0" w:color="auto"/>
              <w:left w:val="nil"/>
              <w:bottom w:val="single" w:sz="8" w:space="0" w:color="auto"/>
              <w:right w:val="nil"/>
            </w:tcBorders>
            <w:shd w:val="clear" w:color="auto" w:fill="auto"/>
            <w:noWrap/>
            <w:vAlign w:val="center"/>
          </w:tcPr>
          <w:p w14:paraId="28CA5B55" w14:textId="77777777" w:rsidR="007D7EEA" w:rsidRPr="009E5EF9" w:rsidRDefault="00DD2A4D">
            <w:pPr>
              <w:spacing w:after="0" w:line="240" w:lineRule="auto"/>
              <w:jc w:val="center"/>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Total</w:t>
            </w:r>
          </w:p>
        </w:tc>
      </w:tr>
      <w:tr w:rsidR="007D7EEA" w14:paraId="21EB658A" w14:textId="77777777">
        <w:trPr>
          <w:trHeight w:val="152"/>
        </w:trPr>
        <w:tc>
          <w:tcPr>
            <w:tcW w:w="1167" w:type="dxa"/>
            <w:tcBorders>
              <w:top w:val="nil"/>
              <w:left w:val="nil"/>
              <w:bottom w:val="nil"/>
              <w:right w:val="nil"/>
            </w:tcBorders>
            <w:shd w:val="clear" w:color="auto" w:fill="auto"/>
            <w:noWrap/>
            <w:vAlign w:val="center"/>
          </w:tcPr>
          <w:p w14:paraId="0E24D3E9" w14:textId="77777777" w:rsidR="007D7EEA" w:rsidRPr="009E5EF9" w:rsidRDefault="00DD2A4D">
            <w:pPr>
              <w:spacing w:after="0" w:line="240" w:lineRule="auto"/>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GL</w:t>
            </w:r>
          </w:p>
        </w:tc>
        <w:tc>
          <w:tcPr>
            <w:tcW w:w="2167" w:type="dxa"/>
            <w:tcBorders>
              <w:top w:val="nil"/>
              <w:left w:val="nil"/>
              <w:bottom w:val="nil"/>
              <w:right w:val="nil"/>
            </w:tcBorders>
            <w:shd w:val="clear" w:color="auto" w:fill="auto"/>
            <w:noWrap/>
            <w:vAlign w:val="center"/>
          </w:tcPr>
          <w:p w14:paraId="35E24E1D" w14:textId="77777777" w:rsidR="007D7EEA" w:rsidRPr="009E5EF9" w:rsidRDefault="00DD2A4D">
            <w:pPr>
              <w:spacing w:after="0" w:line="240" w:lineRule="auto"/>
              <w:jc w:val="right"/>
              <w:rPr>
                <w:rFonts w:ascii="Arial" w:eastAsia="Times New Roman" w:hAnsi="Arial" w:cs="Arial"/>
                <w:color w:val="000000"/>
                <w:lang w:val="en-PH" w:eastAsia="en-PH"/>
              </w:rPr>
            </w:pPr>
            <w:r w:rsidRPr="009E5EF9">
              <w:rPr>
                <w:rFonts w:ascii="Arial" w:eastAsia="Times New Roman" w:hAnsi="Arial" w:cs="Arial"/>
                <w:color w:val="000000"/>
                <w:lang w:eastAsia="en-PH"/>
              </w:rPr>
              <w:t xml:space="preserve">  P 263,725,853 </w:t>
            </w:r>
          </w:p>
        </w:tc>
        <w:tc>
          <w:tcPr>
            <w:tcW w:w="1945" w:type="dxa"/>
            <w:tcBorders>
              <w:top w:val="nil"/>
              <w:left w:val="nil"/>
              <w:bottom w:val="nil"/>
              <w:right w:val="nil"/>
            </w:tcBorders>
            <w:shd w:val="clear" w:color="auto" w:fill="auto"/>
            <w:noWrap/>
            <w:vAlign w:val="center"/>
          </w:tcPr>
          <w:p w14:paraId="45DB786A" w14:textId="1A7A3B88" w:rsidR="007D7EEA" w:rsidRPr="009E5EF9" w:rsidRDefault="00DD2A4D" w:rsidP="00345ACF">
            <w:pPr>
              <w:spacing w:after="0" w:line="240" w:lineRule="auto"/>
              <w:jc w:val="right"/>
              <w:rPr>
                <w:rFonts w:ascii="Arial" w:eastAsia="Times New Roman" w:hAnsi="Arial" w:cs="Arial"/>
                <w:color w:val="000000"/>
                <w:lang w:val="en-PH" w:eastAsia="en-PH"/>
              </w:rPr>
            </w:pPr>
            <w:r w:rsidRPr="009E5EF9">
              <w:rPr>
                <w:rFonts w:ascii="Arial" w:eastAsia="Times New Roman" w:hAnsi="Arial" w:cs="Arial"/>
                <w:color w:val="000000"/>
                <w:lang w:eastAsia="en-PH"/>
              </w:rPr>
              <w:t xml:space="preserve">  P 62,052,59</w:t>
            </w:r>
            <w:r w:rsidR="00345ACF" w:rsidRPr="009E5EF9">
              <w:rPr>
                <w:rFonts w:ascii="Arial" w:eastAsia="Times New Roman" w:hAnsi="Arial" w:cs="Arial"/>
                <w:color w:val="000000"/>
                <w:lang w:eastAsia="en-PH"/>
              </w:rPr>
              <w:t>6</w:t>
            </w:r>
          </w:p>
        </w:tc>
        <w:tc>
          <w:tcPr>
            <w:tcW w:w="2130" w:type="dxa"/>
            <w:tcBorders>
              <w:top w:val="nil"/>
              <w:left w:val="nil"/>
              <w:bottom w:val="nil"/>
              <w:right w:val="nil"/>
            </w:tcBorders>
            <w:shd w:val="clear" w:color="auto" w:fill="auto"/>
            <w:noWrap/>
            <w:vAlign w:val="center"/>
          </w:tcPr>
          <w:p w14:paraId="0FA75819" w14:textId="73445053" w:rsidR="007D7EEA" w:rsidRPr="009E5EF9" w:rsidRDefault="00DD2A4D" w:rsidP="00345ACF">
            <w:pPr>
              <w:spacing w:after="0" w:line="240" w:lineRule="auto"/>
              <w:jc w:val="right"/>
              <w:rPr>
                <w:rFonts w:ascii="Arial" w:eastAsia="Times New Roman" w:hAnsi="Arial" w:cs="Arial"/>
                <w:color w:val="000000"/>
                <w:lang w:val="en-PH" w:eastAsia="en-PH"/>
              </w:rPr>
            </w:pPr>
            <w:r w:rsidRPr="009E5EF9">
              <w:rPr>
                <w:rFonts w:ascii="Arial" w:eastAsia="Times New Roman" w:hAnsi="Arial" w:cs="Arial"/>
                <w:color w:val="000000"/>
                <w:lang w:eastAsia="en-PH"/>
              </w:rPr>
              <w:t xml:space="preserve">  P 325,778,4</w:t>
            </w:r>
            <w:r w:rsidR="00345ACF" w:rsidRPr="009E5EF9">
              <w:rPr>
                <w:rFonts w:ascii="Arial" w:eastAsia="Times New Roman" w:hAnsi="Arial" w:cs="Arial"/>
                <w:color w:val="000000"/>
                <w:lang w:eastAsia="en-PH"/>
              </w:rPr>
              <w:t>49</w:t>
            </w:r>
            <w:r w:rsidRPr="009E5EF9">
              <w:rPr>
                <w:rFonts w:ascii="Arial" w:eastAsia="Times New Roman" w:hAnsi="Arial" w:cs="Arial"/>
                <w:color w:val="000000"/>
                <w:lang w:eastAsia="en-PH"/>
              </w:rPr>
              <w:t xml:space="preserve"> </w:t>
            </w:r>
          </w:p>
        </w:tc>
      </w:tr>
      <w:tr w:rsidR="007D7EEA" w14:paraId="6FFD1CA8" w14:textId="77777777">
        <w:trPr>
          <w:trHeight w:val="204"/>
        </w:trPr>
        <w:tc>
          <w:tcPr>
            <w:tcW w:w="1167" w:type="dxa"/>
            <w:tcBorders>
              <w:top w:val="nil"/>
              <w:left w:val="nil"/>
              <w:bottom w:val="single" w:sz="8" w:space="0" w:color="auto"/>
              <w:right w:val="nil"/>
            </w:tcBorders>
            <w:shd w:val="clear" w:color="auto" w:fill="auto"/>
            <w:noWrap/>
            <w:vAlign w:val="center"/>
          </w:tcPr>
          <w:p w14:paraId="5EA32A49" w14:textId="77777777" w:rsidR="007D7EEA" w:rsidRPr="009E5EF9" w:rsidRDefault="00DD2A4D">
            <w:pPr>
              <w:spacing w:after="0" w:line="240" w:lineRule="auto"/>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SL</w:t>
            </w:r>
          </w:p>
        </w:tc>
        <w:tc>
          <w:tcPr>
            <w:tcW w:w="2167" w:type="dxa"/>
            <w:tcBorders>
              <w:top w:val="nil"/>
              <w:left w:val="nil"/>
              <w:bottom w:val="single" w:sz="8" w:space="0" w:color="auto"/>
              <w:right w:val="nil"/>
            </w:tcBorders>
            <w:shd w:val="clear" w:color="auto" w:fill="auto"/>
            <w:noWrap/>
            <w:vAlign w:val="center"/>
          </w:tcPr>
          <w:p w14:paraId="349A137A" w14:textId="77777777" w:rsidR="007D7EEA" w:rsidRPr="009E5EF9" w:rsidRDefault="00DD2A4D">
            <w:pPr>
              <w:spacing w:after="0" w:line="240" w:lineRule="auto"/>
              <w:jc w:val="right"/>
              <w:rPr>
                <w:rFonts w:ascii="Arial" w:eastAsia="Times New Roman" w:hAnsi="Arial" w:cs="Arial"/>
                <w:color w:val="000000"/>
                <w:lang w:val="en-PH" w:eastAsia="en-PH"/>
              </w:rPr>
            </w:pPr>
            <w:r w:rsidRPr="009E5EF9">
              <w:rPr>
                <w:rFonts w:ascii="Arial" w:eastAsia="Times New Roman" w:hAnsi="Arial" w:cs="Arial"/>
                <w:color w:val="000000"/>
                <w:lang w:eastAsia="en-PH"/>
              </w:rPr>
              <w:t>240,385,038</w:t>
            </w:r>
          </w:p>
        </w:tc>
        <w:tc>
          <w:tcPr>
            <w:tcW w:w="1945" w:type="dxa"/>
            <w:tcBorders>
              <w:top w:val="nil"/>
              <w:left w:val="nil"/>
              <w:bottom w:val="single" w:sz="8" w:space="0" w:color="auto"/>
              <w:right w:val="nil"/>
            </w:tcBorders>
            <w:shd w:val="clear" w:color="auto" w:fill="auto"/>
            <w:noWrap/>
            <w:vAlign w:val="center"/>
          </w:tcPr>
          <w:p w14:paraId="15EA0AD0" w14:textId="77777777" w:rsidR="007D7EEA" w:rsidRPr="009E5EF9" w:rsidRDefault="00DD2A4D">
            <w:pPr>
              <w:spacing w:after="0" w:line="240" w:lineRule="auto"/>
              <w:jc w:val="right"/>
              <w:rPr>
                <w:rFonts w:ascii="Arial" w:eastAsia="Times New Roman" w:hAnsi="Arial" w:cs="Arial"/>
                <w:color w:val="000000"/>
                <w:lang w:val="en-PH" w:eastAsia="en-PH"/>
              </w:rPr>
            </w:pPr>
            <w:r w:rsidRPr="009E5EF9">
              <w:rPr>
                <w:rFonts w:ascii="Arial" w:eastAsia="Times New Roman" w:hAnsi="Arial" w:cs="Arial"/>
                <w:color w:val="000000"/>
                <w:lang w:eastAsia="en-PH"/>
              </w:rPr>
              <w:t>63,022,278</w:t>
            </w:r>
          </w:p>
        </w:tc>
        <w:tc>
          <w:tcPr>
            <w:tcW w:w="2130" w:type="dxa"/>
            <w:tcBorders>
              <w:top w:val="nil"/>
              <w:left w:val="nil"/>
              <w:bottom w:val="single" w:sz="8" w:space="0" w:color="auto"/>
              <w:right w:val="nil"/>
            </w:tcBorders>
            <w:shd w:val="clear" w:color="auto" w:fill="auto"/>
            <w:noWrap/>
            <w:vAlign w:val="center"/>
          </w:tcPr>
          <w:p w14:paraId="4EAD78B8" w14:textId="77777777" w:rsidR="007D7EEA" w:rsidRPr="009E5EF9" w:rsidRDefault="00DD2A4D">
            <w:pPr>
              <w:spacing w:after="0" w:line="240" w:lineRule="auto"/>
              <w:jc w:val="right"/>
              <w:rPr>
                <w:rFonts w:ascii="Arial" w:eastAsia="Times New Roman" w:hAnsi="Arial" w:cs="Arial"/>
                <w:color w:val="000000"/>
                <w:lang w:val="en-PH" w:eastAsia="en-PH"/>
              </w:rPr>
            </w:pPr>
            <w:r w:rsidRPr="009E5EF9">
              <w:rPr>
                <w:rFonts w:ascii="Arial" w:eastAsia="Times New Roman" w:hAnsi="Arial" w:cs="Arial"/>
                <w:color w:val="000000"/>
                <w:lang w:eastAsia="en-PH"/>
              </w:rPr>
              <w:t xml:space="preserve">  303,407,316 </w:t>
            </w:r>
          </w:p>
        </w:tc>
      </w:tr>
      <w:tr w:rsidR="007D7EEA" w14:paraId="7E68117B" w14:textId="77777777">
        <w:trPr>
          <w:trHeight w:val="329"/>
        </w:trPr>
        <w:tc>
          <w:tcPr>
            <w:tcW w:w="1167" w:type="dxa"/>
            <w:tcBorders>
              <w:top w:val="nil"/>
              <w:left w:val="nil"/>
              <w:bottom w:val="double" w:sz="6" w:space="0" w:color="auto"/>
              <w:right w:val="nil"/>
            </w:tcBorders>
            <w:shd w:val="clear" w:color="auto" w:fill="auto"/>
            <w:noWrap/>
            <w:vAlign w:val="center"/>
          </w:tcPr>
          <w:p w14:paraId="5C4155DC" w14:textId="77777777" w:rsidR="007D7EEA" w:rsidRPr="009E5EF9" w:rsidRDefault="00DD2A4D">
            <w:pPr>
              <w:spacing w:after="0" w:line="240" w:lineRule="auto"/>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Variance</w:t>
            </w:r>
          </w:p>
        </w:tc>
        <w:tc>
          <w:tcPr>
            <w:tcW w:w="2167" w:type="dxa"/>
            <w:tcBorders>
              <w:top w:val="nil"/>
              <w:left w:val="nil"/>
              <w:bottom w:val="double" w:sz="6" w:space="0" w:color="auto"/>
              <w:right w:val="nil"/>
            </w:tcBorders>
            <w:shd w:val="clear" w:color="auto" w:fill="auto"/>
            <w:noWrap/>
            <w:vAlign w:val="center"/>
          </w:tcPr>
          <w:p w14:paraId="5187CA70" w14:textId="77777777" w:rsidR="007D7EEA" w:rsidRPr="009E5EF9" w:rsidRDefault="00DD2A4D">
            <w:pPr>
              <w:spacing w:after="0" w:line="240" w:lineRule="auto"/>
              <w:jc w:val="right"/>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 xml:space="preserve">    P   23,340,815 </w:t>
            </w:r>
          </w:p>
        </w:tc>
        <w:tc>
          <w:tcPr>
            <w:tcW w:w="1945" w:type="dxa"/>
            <w:tcBorders>
              <w:top w:val="nil"/>
              <w:left w:val="nil"/>
              <w:bottom w:val="double" w:sz="6" w:space="0" w:color="auto"/>
              <w:right w:val="nil"/>
            </w:tcBorders>
            <w:shd w:val="clear" w:color="auto" w:fill="auto"/>
            <w:noWrap/>
            <w:vAlign w:val="center"/>
          </w:tcPr>
          <w:p w14:paraId="616E0BA5" w14:textId="334C00A6" w:rsidR="007D7EEA" w:rsidRPr="009E5EF9" w:rsidRDefault="00DD2A4D" w:rsidP="00345ACF">
            <w:pPr>
              <w:spacing w:after="0" w:line="240" w:lineRule="auto"/>
              <w:jc w:val="right"/>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 xml:space="preserve">  P      969,68</w:t>
            </w:r>
            <w:r w:rsidR="00345ACF" w:rsidRPr="009E5EF9">
              <w:rPr>
                <w:rFonts w:ascii="Arial" w:eastAsia="Times New Roman" w:hAnsi="Arial" w:cs="Arial"/>
                <w:b/>
                <w:bCs/>
                <w:color w:val="000000"/>
                <w:lang w:eastAsia="en-PH"/>
              </w:rPr>
              <w:t>2</w:t>
            </w:r>
            <w:r w:rsidRPr="009E5EF9">
              <w:rPr>
                <w:rFonts w:ascii="Arial" w:eastAsia="Times New Roman" w:hAnsi="Arial" w:cs="Arial"/>
                <w:b/>
                <w:bCs/>
                <w:color w:val="000000"/>
                <w:lang w:eastAsia="en-PH"/>
              </w:rPr>
              <w:t xml:space="preserve"> </w:t>
            </w:r>
          </w:p>
        </w:tc>
        <w:tc>
          <w:tcPr>
            <w:tcW w:w="2130" w:type="dxa"/>
            <w:tcBorders>
              <w:top w:val="nil"/>
              <w:left w:val="nil"/>
              <w:bottom w:val="double" w:sz="6" w:space="0" w:color="auto"/>
              <w:right w:val="nil"/>
            </w:tcBorders>
            <w:shd w:val="clear" w:color="auto" w:fill="auto"/>
            <w:noWrap/>
            <w:vAlign w:val="center"/>
          </w:tcPr>
          <w:p w14:paraId="55C1946E" w14:textId="107FCF40" w:rsidR="007D7EEA" w:rsidRPr="009E5EF9" w:rsidRDefault="00DD2A4D">
            <w:pPr>
              <w:spacing w:after="0" w:line="240" w:lineRule="auto"/>
              <w:jc w:val="right"/>
              <w:rPr>
                <w:rFonts w:ascii="Arial" w:eastAsia="Times New Roman" w:hAnsi="Arial" w:cs="Arial"/>
                <w:b/>
                <w:bCs/>
                <w:color w:val="000000"/>
                <w:lang w:val="en-PH" w:eastAsia="en-PH"/>
              </w:rPr>
            </w:pPr>
            <w:r w:rsidRPr="009E5EF9">
              <w:rPr>
                <w:rFonts w:ascii="Arial" w:eastAsia="Times New Roman" w:hAnsi="Arial" w:cs="Arial"/>
                <w:b/>
                <w:bCs/>
                <w:color w:val="000000"/>
                <w:lang w:eastAsia="en-PH"/>
              </w:rPr>
              <w:t xml:space="preserve"> </w:t>
            </w:r>
            <w:r w:rsidR="00345ACF" w:rsidRPr="009E5EF9">
              <w:rPr>
                <w:rFonts w:ascii="Arial" w:eastAsia="Times New Roman" w:hAnsi="Arial" w:cs="Arial"/>
                <w:b/>
                <w:bCs/>
                <w:color w:val="000000"/>
                <w:lang w:eastAsia="en-PH"/>
              </w:rPr>
              <w:t xml:space="preserve">   P   22,371,133</w:t>
            </w:r>
            <w:r w:rsidRPr="009E5EF9">
              <w:rPr>
                <w:rFonts w:ascii="Arial" w:eastAsia="Times New Roman" w:hAnsi="Arial" w:cs="Arial"/>
                <w:b/>
                <w:bCs/>
                <w:color w:val="000000"/>
                <w:lang w:eastAsia="en-PH"/>
              </w:rPr>
              <w:t xml:space="preserve"> </w:t>
            </w:r>
          </w:p>
        </w:tc>
      </w:tr>
    </w:tbl>
    <w:p w14:paraId="79738D7F" w14:textId="77777777" w:rsidR="007D7EEA" w:rsidRPr="00200B96" w:rsidRDefault="007D7EEA">
      <w:pPr>
        <w:spacing w:after="0" w:line="240" w:lineRule="auto"/>
        <w:jc w:val="both"/>
        <w:rPr>
          <w:rFonts w:ascii="Arial" w:hAnsi="Arial" w:cs="Arial"/>
        </w:rPr>
      </w:pPr>
    </w:p>
    <w:p w14:paraId="61083E0A" w14:textId="7B45927F"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Inquiry with Management disclosed that there is an ongoing reconciliation to trace the noted variance.  However, one of the identified causes of the said variance pertains to the automatic entries created before in the IFMS 2.</w:t>
      </w:r>
    </w:p>
    <w:p w14:paraId="1440FE0C" w14:textId="77777777" w:rsidR="007D7EEA" w:rsidRPr="00200B96" w:rsidRDefault="007D7EEA">
      <w:pPr>
        <w:pStyle w:val="NormalWeb"/>
        <w:spacing w:before="0" w:beforeAutospacing="0" w:after="0" w:afterAutospacing="0"/>
        <w:ind w:left="792"/>
        <w:jc w:val="both"/>
        <w:rPr>
          <w:rFonts w:ascii="Arial" w:hAnsi="Arial" w:cs="Arial"/>
          <w:sz w:val="22"/>
          <w:szCs w:val="22"/>
        </w:rPr>
      </w:pPr>
    </w:p>
    <w:p w14:paraId="1C5EC1DE"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In addition, the Audit Team also noted other possible causes of the identified variance as follows:</w:t>
      </w:r>
    </w:p>
    <w:p w14:paraId="7A401B44" w14:textId="77777777" w:rsidR="007D7EEA" w:rsidRPr="00200B96" w:rsidRDefault="007D7EEA">
      <w:pPr>
        <w:pStyle w:val="NormalWeb"/>
        <w:spacing w:before="0" w:beforeAutospacing="0" w:after="0" w:afterAutospacing="0"/>
        <w:ind w:left="792"/>
        <w:jc w:val="both"/>
        <w:rPr>
          <w:rFonts w:ascii="Arial" w:hAnsi="Arial" w:cs="Arial"/>
          <w:sz w:val="22"/>
          <w:szCs w:val="22"/>
        </w:rPr>
      </w:pPr>
    </w:p>
    <w:p w14:paraId="0862F3B2" w14:textId="77777777" w:rsidR="007D7EEA" w:rsidRPr="00200B96" w:rsidRDefault="00DD2A4D">
      <w:pPr>
        <w:pStyle w:val="ListParagraph"/>
        <w:numPr>
          <w:ilvl w:val="0"/>
          <w:numId w:val="16"/>
        </w:numPr>
        <w:ind w:left="1627"/>
        <w:jc w:val="both"/>
        <w:rPr>
          <w:rFonts w:ascii="Arial" w:hAnsi="Arial" w:cs="Arial"/>
          <w:sz w:val="22"/>
          <w:szCs w:val="22"/>
        </w:rPr>
      </w:pPr>
      <w:r w:rsidRPr="00200B96">
        <w:rPr>
          <w:rFonts w:ascii="Arial" w:hAnsi="Arial" w:cs="Arial"/>
          <w:sz w:val="22"/>
          <w:szCs w:val="22"/>
          <w:lang w:val="en-PH"/>
        </w:rPr>
        <w:t>Negative balance of P18.794 million for the account of Mount Zion in the SL;</w:t>
      </w:r>
    </w:p>
    <w:p w14:paraId="572BAE08" w14:textId="77777777" w:rsidR="007D7EEA" w:rsidRPr="00200B96" w:rsidRDefault="00DD2A4D">
      <w:pPr>
        <w:pStyle w:val="ListParagraph"/>
        <w:numPr>
          <w:ilvl w:val="0"/>
          <w:numId w:val="16"/>
        </w:numPr>
        <w:ind w:left="1620"/>
        <w:jc w:val="both"/>
        <w:rPr>
          <w:rFonts w:ascii="Arial" w:hAnsi="Arial" w:cs="Arial"/>
          <w:sz w:val="22"/>
          <w:szCs w:val="22"/>
        </w:rPr>
      </w:pPr>
      <w:r w:rsidRPr="00200B96">
        <w:rPr>
          <w:rFonts w:ascii="Arial" w:hAnsi="Arial" w:cs="Arial"/>
          <w:sz w:val="22"/>
          <w:szCs w:val="22"/>
          <w:lang w:val="en-PH"/>
        </w:rPr>
        <w:t>Unidentified beginning balance from CY 2009 for the account of Riviera Residential Estate in the SL;</w:t>
      </w:r>
    </w:p>
    <w:p w14:paraId="41C055DA" w14:textId="77777777" w:rsidR="007D7EEA" w:rsidRPr="00200B96" w:rsidRDefault="00DD2A4D">
      <w:pPr>
        <w:pStyle w:val="ListParagraph"/>
        <w:numPr>
          <w:ilvl w:val="0"/>
          <w:numId w:val="16"/>
        </w:numPr>
        <w:ind w:left="1620"/>
        <w:jc w:val="both"/>
        <w:rPr>
          <w:rFonts w:ascii="Arial" w:hAnsi="Arial" w:cs="Arial"/>
          <w:sz w:val="22"/>
          <w:szCs w:val="22"/>
        </w:rPr>
      </w:pPr>
      <w:r w:rsidRPr="00200B96">
        <w:rPr>
          <w:rFonts w:ascii="Arial" w:hAnsi="Arial" w:cs="Arial"/>
          <w:sz w:val="22"/>
          <w:szCs w:val="22"/>
          <w:lang w:val="en-PH"/>
        </w:rPr>
        <w:lastRenderedPageBreak/>
        <w:t>Unsupported various adjustments in the account of Riviera Residential Estate and Eastridge in the SL; and</w:t>
      </w:r>
    </w:p>
    <w:p w14:paraId="0AAA6A16" w14:textId="77777777" w:rsidR="007D7EEA" w:rsidRPr="00200B96" w:rsidRDefault="00DD2A4D">
      <w:pPr>
        <w:pStyle w:val="ListParagraph"/>
        <w:numPr>
          <w:ilvl w:val="0"/>
          <w:numId w:val="16"/>
        </w:numPr>
        <w:ind w:left="1620"/>
        <w:jc w:val="both"/>
        <w:rPr>
          <w:rFonts w:ascii="Arial" w:hAnsi="Arial" w:cs="Arial"/>
          <w:sz w:val="22"/>
          <w:szCs w:val="22"/>
        </w:rPr>
      </w:pPr>
      <w:r w:rsidRPr="00200B96">
        <w:rPr>
          <w:rFonts w:ascii="Arial" w:hAnsi="Arial" w:cs="Arial"/>
          <w:sz w:val="22"/>
          <w:szCs w:val="22"/>
        </w:rPr>
        <w:t>Absence of supporting aging Subsidiary Buyer’s Ledger for the SL of Village East III accounts.</w:t>
      </w:r>
    </w:p>
    <w:p w14:paraId="46B471F5" w14:textId="77777777" w:rsidR="007D7EEA" w:rsidRPr="00200B96" w:rsidRDefault="007D7EEA">
      <w:pPr>
        <w:spacing w:after="0" w:line="240" w:lineRule="auto"/>
        <w:ind w:right="4707"/>
        <w:jc w:val="both"/>
        <w:rPr>
          <w:rFonts w:ascii="Arial" w:eastAsia="SimSun" w:hAnsi="Arial" w:cs="Arial"/>
          <w:i/>
          <w:lang w:eastAsia="zh-CN"/>
        </w:rPr>
      </w:pPr>
    </w:p>
    <w:p w14:paraId="5E044524" w14:textId="77777777" w:rsidR="007D7EEA" w:rsidRPr="00200B96" w:rsidRDefault="00DD2A4D">
      <w:pPr>
        <w:spacing w:after="0" w:line="240" w:lineRule="auto"/>
        <w:ind w:left="576"/>
        <w:jc w:val="both"/>
        <w:rPr>
          <w:rFonts w:ascii="Arial" w:eastAsia="SimSun" w:hAnsi="Arial" w:cs="Arial"/>
          <w:i/>
          <w:lang w:eastAsia="zh-CN"/>
        </w:rPr>
      </w:pPr>
      <w:r w:rsidRPr="00200B96">
        <w:rPr>
          <w:rFonts w:ascii="Arial" w:eastAsia="SimSun" w:hAnsi="Arial" w:cs="Arial"/>
          <w:i/>
          <w:lang w:eastAsia="zh-CN"/>
        </w:rPr>
        <w:t xml:space="preserve">Improper presentation and measurement contrary to the pertinent provision of PAS </w:t>
      </w:r>
    </w:p>
    <w:p w14:paraId="64DD4B7F" w14:textId="77777777" w:rsidR="007D7EEA" w:rsidRPr="00200B96" w:rsidRDefault="007D7EEA">
      <w:pPr>
        <w:spacing w:after="0" w:line="240" w:lineRule="auto"/>
        <w:jc w:val="both"/>
        <w:rPr>
          <w:rFonts w:ascii="Arial" w:eastAsia="SimSun" w:hAnsi="Arial" w:cs="Arial"/>
          <w:lang w:eastAsia="zh-CN"/>
        </w:rPr>
      </w:pPr>
    </w:p>
    <w:p w14:paraId="18A623AD" w14:textId="37121902" w:rsidR="007D7EEA"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The ICR balance of the AFPRSBS is presented in the FS under non-current asset reflecting a balance of P237.134 million as at December 31, 2022, which is net of allowance of P88.644 million.  Thus, there was no current portion of the ICR that is separately presented in the Statement of Financial Position as at year-end, contrary to the Paragraph 66 of PAS 1. </w:t>
      </w:r>
    </w:p>
    <w:p w14:paraId="4C5639C4" w14:textId="77777777" w:rsidR="00892A58" w:rsidRDefault="00892A58" w:rsidP="00892A58">
      <w:pPr>
        <w:pStyle w:val="NormalWeb"/>
        <w:spacing w:before="0" w:beforeAutospacing="0" w:after="0" w:afterAutospacing="0"/>
        <w:ind w:left="1267"/>
        <w:jc w:val="both"/>
        <w:rPr>
          <w:rFonts w:ascii="Arial" w:eastAsia="SimSun" w:hAnsi="Arial" w:cs="Arial"/>
          <w:sz w:val="22"/>
          <w:szCs w:val="22"/>
          <w:lang w:eastAsia="zh-CN"/>
        </w:rPr>
      </w:pPr>
    </w:p>
    <w:p w14:paraId="5509E73A"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Likewise, the past due accounts are reported under the non-current portion of the AFPRSBS’s assets despite the same had already been due and demandable, contrary to Paragraph 66 of PAS 1 which requires that an asset shall be classified as current when the asset is expected to be realized within twelve months after the reporting period.  </w:t>
      </w:r>
    </w:p>
    <w:p w14:paraId="77F877C8" w14:textId="77777777" w:rsidR="007D7EEA" w:rsidRPr="00200B96" w:rsidRDefault="007D7EEA">
      <w:pPr>
        <w:overflowPunct w:val="0"/>
        <w:autoSpaceDE w:val="0"/>
        <w:autoSpaceDN w:val="0"/>
        <w:adjustRightInd w:val="0"/>
        <w:spacing w:after="0" w:line="240" w:lineRule="auto"/>
        <w:ind w:right="2" w:firstLine="709"/>
        <w:jc w:val="both"/>
        <w:textAlignment w:val="baseline"/>
        <w:rPr>
          <w:rFonts w:ascii="Arial" w:eastAsia="SimSun" w:hAnsi="Arial" w:cs="Arial"/>
          <w:lang w:eastAsia="zh-CN"/>
        </w:rPr>
      </w:pPr>
    </w:p>
    <w:p w14:paraId="12181A16"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eastAsia="SimSun" w:hAnsi="Arial" w:cs="Arial"/>
          <w:sz w:val="22"/>
          <w:szCs w:val="22"/>
          <w:lang w:eastAsia="zh-CN"/>
        </w:rPr>
        <w:t>In view of the foregoing, the</w:t>
      </w:r>
      <w:r w:rsidRPr="00200B96">
        <w:rPr>
          <w:rFonts w:ascii="Arial" w:hAnsi="Arial" w:cs="Arial"/>
          <w:sz w:val="22"/>
          <w:szCs w:val="22"/>
        </w:rPr>
        <w:t xml:space="preserve"> unreconciled variance between the GL and SL; the failure to provide an adequate allowance pursuant to the requirement on entities to use the ECL method; and the non-presentation of the current portion of the ICR cast doubt on the reliability and fair presentation of the ICR balance presented in the FS as at December 31, 2022.</w:t>
      </w:r>
    </w:p>
    <w:p w14:paraId="41AD7D28" w14:textId="77777777" w:rsidR="007D7EEA" w:rsidRPr="00200B96" w:rsidRDefault="007D7EEA">
      <w:pPr>
        <w:overflowPunct w:val="0"/>
        <w:autoSpaceDE w:val="0"/>
        <w:autoSpaceDN w:val="0"/>
        <w:adjustRightInd w:val="0"/>
        <w:spacing w:after="0" w:line="240" w:lineRule="auto"/>
        <w:ind w:right="2" w:firstLine="709"/>
        <w:jc w:val="both"/>
        <w:textAlignment w:val="baseline"/>
        <w:rPr>
          <w:rFonts w:ascii="Arial" w:eastAsia="SimSun" w:hAnsi="Arial" w:cs="Arial"/>
          <w:lang w:eastAsia="zh-CN"/>
        </w:rPr>
      </w:pPr>
    </w:p>
    <w:p w14:paraId="37A74617" w14:textId="77777777" w:rsidR="007D7EEA" w:rsidRPr="00200B96" w:rsidRDefault="00DD2A4D" w:rsidP="00FE13A1">
      <w:pPr>
        <w:pStyle w:val="NormalWeb"/>
        <w:numPr>
          <w:ilvl w:val="0"/>
          <w:numId w:val="84"/>
        </w:numPr>
        <w:spacing w:before="0" w:beforeAutospacing="0" w:after="0" w:afterAutospacing="0"/>
        <w:ind w:left="1267" w:hanging="691"/>
        <w:jc w:val="both"/>
        <w:rPr>
          <w:rFonts w:ascii="Arial" w:eastAsia="SimSun" w:hAnsi="Arial" w:cs="Arial"/>
          <w:b/>
          <w:sz w:val="22"/>
          <w:szCs w:val="22"/>
          <w:lang w:eastAsia="zh-CN"/>
        </w:rPr>
      </w:pPr>
      <w:r w:rsidRPr="00200B96">
        <w:rPr>
          <w:rFonts w:ascii="Arial" w:eastAsia="SimSun" w:hAnsi="Arial" w:cs="Arial"/>
          <w:b/>
          <w:sz w:val="22"/>
          <w:szCs w:val="22"/>
          <w:lang w:eastAsia="zh-CN"/>
        </w:rPr>
        <w:t>We recommended that Management:</w:t>
      </w:r>
    </w:p>
    <w:p w14:paraId="2738C30A" w14:textId="77777777" w:rsidR="007D7EEA" w:rsidRPr="00200B96" w:rsidRDefault="007D7EEA">
      <w:pPr>
        <w:spacing w:after="0" w:line="240" w:lineRule="auto"/>
        <w:ind w:left="720" w:firstLine="720"/>
        <w:jc w:val="both"/>
        <w:rPr>
          <w:rFonts w:ascii="Arial" w:eastAsia="SimSun" w:hAnsi="Arial" w:cs="Arial"/>
          <w:b/>
          <w:lang w:eastAsia="zh-CN"/>
        </w:rPr>
      </w:pPr>
    </w:p>
    <w:p w14:paraId="479F1293" w14:textId="020E7C34" w:rsidR="007D7EEA" w:rsidRPr="00200B96" w:rsidRDefault="00DD2A4D">
      <w:pPr>
        <w:pStyle w:val="ListParagraph"/>
        <w:numPr>
          <w:ilvl w:val="0"/>
          <w:numId w:val="18"/>
        </w:numPr>
        <w:ind w:left="1656"/>
        <w:jc w:val="both"/>
        <w:rPr>
          <w:rFonts w:ascii="Arial" w:eastAsia="SimSun" w:hAnsi="Arial" w:cs="Arial"/>
          <w:b/>
          <w:sz w:val="22"/>
          <w:szCs w:val="22"/>
          <w:lang w:eastAsia="zh-CN"/>
        </w:rPr>
      </w:pPr>
      <w:r w:rsidRPr="00200B96">
        <w:rPr>
          <w:rFonts w:ascii="Arial" w:eastAsia="SimSun" w:hAnsi="Arial" w:cs="Arial"/>
          <w:b/>
          <w:sz w:val="22"/>
          <w:szCs w:val="22"/>
          <w:lang w:eastAsia="zh-CN"/>
        </w:rPr>
        <w:t>Expedite the reconciliation of P22.371 million net variance between the GL and SL of the ICR account;</w:t>
      </w:r>
      <w:r w:rsidR="007D2083">
        <w:rPr>
          <w:rFonts w:ascii="Arial" w:eastAsia="SimSun" w:hAnsi="Arial" w:cs="Arial"/>
          <w:b/>
          <w:sz w:val="22"/>
          <w:szCs w:val="22"/>
          <w:lang w:eastAsia="zh-CN"/>
        </w:rPr>
        <w:t xml:space="preserve"> and</w:t>
      </w:r>
    </w:p>
    <w:p w14:paraId="3C98773B" w14:textId="77777777" w:rsidR="007D7EEA" w:rsidRPr="00200B96" w:rsidRDefault="007D7EEA">
      <w:pPr>
        <w:pStyle w:val="ListParagraph"/>
        <w:ind w:left="1170"/>
        <w:jc w:val="both"/>
        <w:rPr>
          <w:rFonts w:ascii="Arial" w:eastAsia="SimSun" w:hAnsi="Arial" w:cs="Arial"/>
          <w:b/>
          <w:sz w:val="22"/>
          <w:szCs w:val="22"/>
          <w:lang w:eastAsia="zh-CN"/>
        </w:rPr>
      </w:pPr>
    </w:p>
    <w:p w14:paraId="47469682" w14:textId="77777777" w:rsidR="007D7EEA" w:rsidRPr="00200B96" w:rsidRDefault="00DD2A4D">
      <w:pPr>
        <w:pStyle w:val="ListParagraph"/>
        <w:numPr>
          <w:ilvl w:val="0"/>
          <w:numId w:val="18"/>
        </w:numPr>
        <w:ind w:left="1656"/>
        <w:jc w:val="both"/>
        <w:rPr>
          <w:rFonts w:ascii="Arial" w:eastAsia="SimSun" w:hAnsi="Arial" w:cs="Arial"/>
          <w:b/>
          <w:sz w:val="22"/>
          <w:szCs w:val="22"/>
          <w:lang w:eastAsia="zh-CN"/>
        </w:rPr>
      </w:pPr>
      <w:r w:rsidRPr="00200B96">
        <w:rPr>
          <w:rFonts w:ascii="Arial" w:hAnsi="Arial" w:cs="Arial"/>
          <w:b/>
          <w:sz w:val="22"/>
          <w:szCs w:val="22"/>
        </w:rPr>
        <w:t>Comply with the current/non-current presentation of ICRs in the FS pursuant to Paragraph 66 of PAS 1.</w:t>
      </w:r>
    </w:p>
    <w:p w14:paraId="7A08D9E1" w14:textId="77777777" w:rsidR="007D7EEA" w:rsidRPr="00200B96" w:rsidRDefault="007D7EEA">
      <w:pPr>
        <w:pStyle w:val="NormalWeb"/>
        <w:spacing w:before="0" w:beforeAutospacing="0" w:after="0" w:afterAutospacing="0"/>
        <w:ind w:left="360"/>
        <w:jc w:val="both"/>
        <w:rPr>
          <w:rFonts w:ascii="Arial" w:hAnsi="Arial" w:cs="Arial"/>
          <w:b/>
          <w:sz w:val="22"/>
          <w:szCs w:val="22"/>
        </w:rPr>
      </w:pPr>
    </w:p>
    <w:p w14:paraId="409B9914" w14:textId="22F2FE74" w:rsidR="007D7EEA" w:rsidRPr="00200B96" w:rsidRDefault="00C43204" w:rsidP="00FE13A1">
      <w:pPr>
        <w:pStyle w:val="NormalWeb"/>
        <w:numPr>
          <w:ilvl w:val="0"/>
          <w:numId w:val="84"/>
        </w:numPr>
        <w:spacing w:before="0" w:beforeAutospacing="0" w:after="0" w:afterAutospacing="0"/>
        <w:ind w:left="1267" w:hanging="691"/>
        <w:jc w:val="both"/>
        <w:rPr>
          <w:rFonts w:ascii="Arial" w:eastAsia="SimSun" w:hAnsi="Arial" w:cs="Arial"/>
          <w:i/>
          <w:sz w:val="22"/>
          <w:szCs w:val="22"/>
          <w:lang w:eastAsia="zh-CN"/>
        </w:rPr>
      </w:pPr>
      <w:r w:rsidRPr="00200B96">
        <w:rPr>
          <w:rFonts w:ascii="Arial" w:eastAsia="SimSun" w:hAnsi="Arial" w:cs="Arial"/>
          <w:sz w:val="22"/>
          <w:szCs w:val="22"/>
          <w:lang w:eastAsia="zh-CN"/>
        </w:rPr>
        <w:t>For the variance between the GL and SL balances of the ICR, t</w:t>
      </w:r>
      <w:r w:rsidR="00DD2A4D" w:rsidRPr="00200B96">
        <w:rPr>
          <w:rFonts w:ascii="Arial" w:eastAsia="SimSun" w:hAnsi="Arial" w:cs="Arial"/>
          <w:sz w:val="22"/>
          <w:szCs w:val="22"/>
          <w:lang w:eastAsia="zh-CN"/>
        </w:rPr>
        <w:t>he</w:t>
      </w:r>
      <w:r w:rsidR="00DD2A4D" w:rsidRPr="00200B96">
        <w:rPr>
          <w:rFonts w:ascii="Arial" w:hAnsi="Arial" w:cs="Arial"/>
          <w:sz w:val="22"/>
          <w:szCs w:val="22"/>
        </w:rPr>
        <w:t xml:space="preserve"> Management commented that the concerned departments of the </w:t>
      </w:r>
      <w:r w:rsidR="000C5F71">
        <w:rPr>
          <w:rFonts w:ascii="Arial" w:hAnsi="Arial" w:cs="Arial"/>
          <w:sz w:val="22"/>
          <w:szCs w:val="22"/>
        </w:rPr>
        <w:t>AFPRSBS</w:t>
      </w:r>
      <w:r w:rsidR="00DD2A4D" w:rsidRPr="00200B96">
        <w:rPr>
          <w:rFonts w:ascii="Arial" w:hAnsi="Arial" w:cs="Arial"/>
          <w:sz w:val="22"/>
          <w:szCs w:val="22"/>
        </w:rPr>
        <w:t xml:space="preserve"> are continuously reconciling the variance between the GL and the SL balances of the ICR account. This is also in preparation for the transfer of the remaining assets of the AFPRSBS to the Agency designated to handle thereof. </w:t>
      </w:r>
      <w:r w:rsidRPr="00200B96">
        <w:rPr>
          <w:rFonts w:ascii="Arial" w:eastAsia="SimSun" w:hAnsi="Arial" w:cs="Arial"/>
          <w:i/>
          <w:sz w:val="22"/>
          <w:szCs w:val="22"/>
          <w:lang w:eastAsia="zh-CN"/>
        </w:rPr>
        <w:t xml:space="preserve"> </w:t>
      </w:r>
    </w:p>
    <w:p w14:paraId="2C4C7659"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58BBF06E" w14:textId="77777777" w:rsidR="007D7EEA" w:rsidRPr="00200B96" w:rsidRDefault="00DD2A4D" w:rsidP="00FE13A1">
      <w:pPr>
        <w:pStyle w:val="NormalWeb"/>
        <w:numPr>
          <w:ilvl w:val="0"/>
          <w:numId w:val="84"/>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However, as to the presentation of the ICR</w:t>
      </w:r>
      <w:r w:rsidR="00765608" w:rsidRPr="00200B96">
        <w:rPr>
          <w:rFonts w:ascii="Arial" w:hAnsi="Arial" w:cs="Arial"/>
          <w:sz w:val="22"/>
          <w:szCs w:val="22"/>
        </w:rPr>
        <w:t>-current</w:t>
      </w:r>
      <w:r w:rsidRPr="00200B96">
        <w:rPr>
          <w:rFonts w:ascii="Arial" w:hAnsi="Arial" w:cs="Arial"/>
          <w:sz w:val="22"/>
          <w:szCs w:val="22"/>
        </w:rPr>
        <w:t xml:space="preserve"> and ICR-past due accounts as either current or non-current, the Management commented that due to the limitations encountered such as absence of new computerized accounting system, manual updating of the individual buyer’s ledger (IBL), and reduced number of personnel assigned in handling and updating various IBL, the classification of ICR and ICR-past due accounts as current and non-current is not feasible. </w:t>
      </w:r>
    </w:p>
    <w:p w14:paraId="3D039A55"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4E4477B5" w14:textId="77777777" w:rsidR="007D7EEA" w:rsidRPr="00200B96" w:rsidRDefault="00DD2A4D" w:rsidP="00FE13A1">
      <w:pPr>
        <w:pStyle w:val="NormalWeb"/>
        <w:numPr>
          <w:ilvl w:val="0"/>
          <w:numId w:val="84"/>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As a rejoinder, the Audit Team acknowledges the efforts of the Management to continuously reconcile the noted variance despite the limited manpower. However, the courses of action to be taken by the Management to comply </w:t>
      </w:r>
      <w:r w:rsidRPr="00200B96">
        <w:rPr>
          <w:rFonts w:ascii="Arial" w:hAnsi="Arial" w:cs="Arial"/>
          <w:sz w:val="22"/>
          <w:szCs w:val="22"/>
        </w:rPr>
        <w:lastRenderedPageBreak/>
        <w:t>with the recommendations presented will be closely monitored and evaluated accordingly.  On the other hand, as to the presentation of the ICR and ICR-past due accounts, we maintain our recommendation to present the current and non-current portion of the said accounts pursuant to PAS 1.</w:t>
      </w:r>
    </w:p>
    <w:p w14:paraId="33B149E0" w14:textId="77777777" w:rsidR="007D7EEA" w:rsidRPr="00200B96" w:rsidRDefault="007D7EEA">
      <w:pPr>
        <w:pStyle w:val="NormalWeb"/>
        <w:spacing w:before="0" w:beforeAutospacing="0" w:after="0" w:afterAutospacing="0"/>
        <w:ind w:left="1260"/>
        <w:jc w:val="both"/>
        <w:rPr>
          <w:rFonts w:ascii="Arial" w:hAnsi="Arial" w:cs="Arial"/>
          <w:b/>
          <w:sz w:val="22"/>
          <w:szCs w:val="22"/>
        </w:rPr>
      </w:pPr>
    </w:p>
    <w:p w14:paraId="336BD82A" w14:textId="77777777" w:rsidR="007D7EEA" w:rsidRPr="00200B96" w:rsidRDefault="007D7EEA">
      <w:pPr>
        <w:pStyle w:val="NormalWeb"/>
        <w:spacing w:before="0" w:beforeAutospacing="0" w:after="0" w:afterAutospacing="0"/>
        <w:ind w:left="1260"/>
        <w:jc w:val="both"/>
        <w:rPr>
          <w:rFonts w:ascii="Arial" w:hAnsi="Arial" w:cs="Arial"/>
          <w:b/>
          <w:sz w:val="22"/>
          <w:szCs w:val="22"/>
          <w:lang w:val="en-PH"/>
        </w:rPr>
      </w:pPr>
    </w:p>
    <w:p w14:paraId="4B50892A" w14:textId="77777777" w:rsidR="007D7EEA" w:rsidRPr="00200B96"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lang w:val="en-PH"/>
        </w:rPr>
      </w:pPr>
      <w:r w:rsidRPr="00200B96">
        <w:rPr>
          <w:rFonts w:ascii="Arial" w:hAnsi="Arial" w:cs="Arial"/>
          <w:b/>
          <w:sz w:val="22"/>
          <w:szCs w:val="22"/>
          <w:lang w:val="en-PH"/>
        </w:rPr>
        <w:t xml:space="preserve">Deferred credits and Unapplied receipts amounting </w:t>
      </w:r>
      <w:r w:rsidR="006940CF" w:rsidRPr="00200B96">
        <w:rPr>
          <w:rFonts w:ascii="Arial" w:hAnsi="Arial" w:cs="Arial"/>
          <w:b/>
          <w:sz w:val="22"/>
          <w:szCs w:val="22"/>
          <w:lang w:val="en-PH"/>
        </w:rPr>
        <w:t xml:space="preserve">to </w:t>
      </w:r>
      <w:r w:rsidRPr="00200B96">
        <w:rPr>
          <w:rFonts w:ascii="Arial" w:hAnsi="Arial" w:cs="Arial"/>
          <w:b/>
          <w:sz w:val="22"/>
          <w:szCs w:val="22"/>
          <w:lang w:val="en-PH"/>
        </w:rPr>
        <w:t xml:space="preserve">P202.044 million and P1.718 million, respectively, under the Deposit and other liabilities account as at December 31, 2022, </w:t>
      </w:r>
      <w:r w:rsidRPr="00200B96">
        <w:rPr>
          <w:rFonts w:ascii="Arial" w:hAnsi="Arial" w:cs="Arial"/>
          <w:b/>
          <w:sz w:val="22"/>
          <w:szCs w:val="22"/>
        </w:rPr>
        <w:t>could not be relied upon due to long outstanding balances with no supporting aging schedules, contrary to Paragraph 15 of PAS 1.</w:t>
      </w:r>
    </w:p>
    <w:p w14:paraId="6BAAFC27" w14:textId="77777777" w:rsidR="007D7EEA" w:rsidRPr="00200B96" w:rsidRDefault="007D7EEA">
      <w:pPr>
        <w:pStyle w:val="NormalWeb"/>
        <w:spacing w:before="0" w:beforeAutospacing="0" w:after="0" w:afterAutospacing="0"/>
        <w:ind w:left="360"/>
        <w:jc w:val="both"/>
        <w:rPr>
          <w:rFonts w:ascii="Arial" w:hAnsi="Arial" w:cs="Arial"/>
          <w:b/>
          <w:sz w:val="22"/>
          <w:szCs w:val="22"/>
          <w:lang w:val="en-PH"/>
        </w:rPr>
      </w:pPr>
    </w:p>
    <w:p w14:paraId="19985397" w14:textId="316C9926" w:rsidR="007D7EEA"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This is a reiteration with modifications of PY</w:t>
      </w:r>
      <w:r w:rsidR="006F5114" w:rsidRPr="00200B96">
        <w:rPr>
          <w:rFonts w:ascii="Arial" w:hAnsi="Arial" w:cs="Arial"/>
          <w:sz w:val="22"/>
          <w:szCs w:val="22"/>
        </w:rPr>
        <w:t>’</w:t>
      </w:r>
      <w:r w:rsidRPr="00200B96">
        <w:rPr>
          <w:rFonts w:ascii="Arial" w:hAnsi="Arial" w:cs="Arial"/>
          <w:sz w:val="22"/>
          <w:szCs w:val="22"/>
        </w:rPr>
        <w:t xml:space="preserve">s AO as embodied in the CY 2019 AAR. </w:t>
      </w:r>
    </w:p>
    <w:p w14:paraId="7BC682BF" w14:textId="77777777" w:rsidR="00CB53F8" w:rsidRPr="00200B96" w:rsidRDefault="00CB53F8" w:rsidP="00CB53F8">
      <w:pPr>
        <w:pStyle w:val="NormalWeb"/>
        <w:spacing w:before="0" w:beforeAutospacing="0" w:after="0" w:afterAutospacing="0"/>
        <w:ind w:left="1267"/>
        <w:jc w:val="both"/>
        <w:rPr>
          <w:rFonts w:ascii="Arial" w:hAnsi="Arial" w:cs="Arial"/>
          <w:sz w:val="22"/>
          <w:szCs w:val="22"/>
        </w:rPr>
      </w:pPr>
    </w:p>
    <w:p w14:paraId="30DCB6D4"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Deferred credits account represents billed or collected revenues that are not recognized as income pending completion of the earning process.  On the other hand, the Unapplied receipts account represents collections done over the counter but not yet posted in the GL and SL. The Management disclosed that continuous reconciliation is being made in order to account the unidentified transactions which were credited to the bank account. However, they are having difficulty in the reconciliation since most of the entries were created in the previous accounting system and they are still currently tracking the PYs transactions.</w:t>
      </w:r>
    </w:p>
    <w:p w14:paraId="1E5EA5EE"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301056CE"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rPr>
        <w:t xml:space="preserve">Examination of the SLs of the Deferred credits and Unapplied receipts accounts amounting to P202.044 million and P1.718 million, respectively, as at December 31, 2022 disclosed that the Management maintains two separate SLs for Deferred credits.  One related to the sale of Real estate inventories and another for the Investment in shares of stock.  The AO in CY 2019 referred only to the </w:t>
      </w:r>
      <w:r w:rsidRPr="00200B96">
        <w:rPr>
          <w:rFonts w:ascii="Arial" w:hAnsi="Arial" w:cs="Arial"/>
          <w:sz w:val="22"/>
          <w:szCs w:val="22"/>
          <w:lang w:val="en-PH"/>
        </w:rPr>
        <w:t>deferred credits related to the sale of Real estate inventories.  However, verification of the deferred credits related to the Investment in shares of stock showed that there were no transactions recorded since CY 2019 and no supporting aging schedule as well.</w:t>
      </w:r>
    </w:p>
    <w:p w14:paraId="7DDEF147" w14:textId="77777777" w:rsidR="007D7EEA" w:rsidRPr="00200B96" w:rsidRDefault="007D7EEA">
      <w:pPr>
        <w:spacing w:after="0" w:line="240" w:lineRule="auto"/>
        <w:contextualSpacing/>
        <w:jc w:val="both"/>
        <w:rPr>
          <w:rFonts w:ascii="Arial" w:hAnsi="Arial" w:cs="Arial"/>
          <w:lang w:val="en-PH"/>
        </w:rPr>
      </w:pPr>
    </w:p>
    <w:p w14:paraId="6CDB25D4"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lang w:val="en-PH"/>
        </w:rPr>
      </w:pPr>
      <w:r w:rsidRPr="00200B96">
        <w:rPr>
          <w:rFonts w:ascii="Arial" w:hAnsi="Arial" w:cs="Arial"/>
          <w:sz w:val="22"/>
          <w:szCs w:val="22"/>
          <w:lang w:val="en-PH"/>
        </w:rPr>
        <w:t xml:space="preserve">It is worth mentioning that since the issuance of the AO in CY 2019, the Management was able to reconcile and reduce the balance of the Deferred credits </w:t>
      </w:r>
      <w:r w:rsidR="000B3397" w:rsidRPr="00200B96">
        <w:rPr>
          <w:rFonts w:ascii="Arial" w:hAnsi="Arial" w:cs="Arial"/>
          <w:sz w:val="22"/>
          <w:szCs w:val="22"/>
          <w:lang w:val="en-PH"/>
        </w:rPr>
        <w:t xml:space="preserve">account </w:t>
      </w:r>
      <w:r w:rsidRPr="00200B96">
        <w:rPr>
          <w:rFonts w:ascii="Arial" w:hAnsi="Arial" w:cs="Arial"/>
          <w:sz w:val="22"/>
          <w:szCs w:val="22"/>
          <w:lang w:val="en-PH"/>
        </w:rPr>
        <w:t xml:space="preserve">for </w:t>
      </w:r>
      <w:r w:rsidR="000B3397" w:rsidRPr="00200B96">
        <w:rPr>
          <w:rFonts w:ascii="Arial" w:hAnsi="Arial" w:cs="Arial"/>
          <w:sz w:val="22"/>
          <w:szCs w:val="22"/>
          <w:lang w:val="en-PH"/>
        </w:rPr>
        <w:t xml:space="preserve">the </w:t>
      </w:r>
      <w:r w:rsidRPr="00200B96">
        <w:rPr>
          <w:rFonts w:ascii="Arial" w:hAnsi="Arial" w:cs="Arial"/>
          <w:sz w:val="22"/>
          <w:szCs w:val="22"/>
          <w:lang w:val="en-PH"/>
        </w:rPr>
        <w:t xml:space="preserve">sale of Real estate inventories from P9.210 million to P5.536 million or by 39.89 per cent and recognized adjustment for unapplied receipts in the amount of P34,631.  However, they were not yet able to provide for the aging schedule or composition of the accounts. </w:t>
      </w:r>
    </w:p>
    <w:p w14:paraId="2E472BBB" w14:textId="77777777" w:rsidR="007D7EEA" w:rsidRPr="00200B96" w:rsidRDefault="007D7EEA">
      <w:pPr>
        <w:tabs>
          <w:tab w:val="left" w:pos="990"/>
        </w:tabs>
        <w:spacing w:after="0" w:line="240" w:lineRule="auto"/>
        <w:contextualSpacing/>
        <w:jc w:val="both"/>
        <w:rPr>
          <w:rFonts w:ascii="Arial" w:hAnsi="Arial" w:cs="Arial"/>
        </w:rPr>
      </w:pPr>
    </w:p>
    <w:p w14:paraId="7B656631"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Consequently, the reported balances of the Deposit and other liabilities account as at December 31, 2022 could not be relied upon due to the presence of long outstanding deposits and other liabilities with no supporting aging schedules.</w:t>
      </w:r>
    </w:p>
    <w:p w14:paraId="7C0E6E04" w14:textId="77777777" w:rsidR="007D7EEA" w:rsidRPr="00200B96" w:rsidRDefault="007D7EEA">
      <w:pPr>
        <w:tabs>
          <w:tab w:val="left" w:pos="990"/>
        </w:tabs>
        <w:spacing w:after="0" w:line="240" w:lineRule="auto"/>
        <w:contextualSpacing/>
        <w:jc w:val="both"/>
        <w:rPr>
          <w:rFonts w:ascii="Arial" w:hAnsi="Arial" w:cs="Arial"/>
        </w:rPr>
      </w:pPr>
    </w:p>
    <w:p w14:paraId="509F9859" w14:textId="2E3C0778" w:rsidR="007D7EEA" w:rsidRPr="00200B96" w:rsidRDefault="00DD2A4D" w:rsidP="00A53D1E">
      <w:pPr>
        <w:pStyle w:val="NormalWeb"/>
        <w:numPr>
          <w:ilvl w:val="0"/>
          <w:numId w:val="86"/>
        </w:numPr>
        <w:spacing w:before="0" w:beforeAutospacing="0" w:after="0" w:afterAutospacing="0"/>
        <w:ind w:left="1267" w:hanging="691"/>
        <w:jc w:val="both"/>
        <w:rPr>
          <w:rFonts w:ascii="Arial" w:hAnsi="Arial" w:cs="Arial"/>
          <w:b/>
          <w:sz w:val="22"/>
          <w:szCs w:val="22"/>
        </w:rPr>
      </w:pPr>
      <w:r w:rsidRPr="00200B96">
        <w:rPr>
          <w:rFonts w:ascii="Arial" w:hAnsi="Arial" w:cs="Arial"/>
          <w:b/>
          <w:sz w:val="22"/>
          <w:szCs w:val="22"/>
        </w:rPr>
        <w:t>We reiterated with modifications our PY</w:t>
      </w:r>
      <w:r w:rsidR="00E74758" w:rsidRPr="00200B96">
        <w:rPr>
          <w:rFonts w:ascii="Arial" w:hAnsi="Arial" w:cs="Arial"/>
          <w:b/>
          <w:sz w:val="22"/>
          <w:szCs w:val="22"/>
        </w:rPr>
        <w:t>’</w:t>
      </w:r>
      <w:r w:rsidRPr="00200B96">
        <w:rPr>
          <w:rFonts w:ascii="Arial" w:hAnsi="Arial" w:cs="Arial"/>
          <w:b/>
          <w:sz w:val="22"/>
          <w:szCs w:val="22"/>
        </w:rPr>
        <w:t xml:space="preserve">s </w:t>
      </w:r>
      <w:r w:rsidR="00E74758" w:rsidRPr="00200B96">
        <w:rPr>
          <w:rFonts w:ascii="Arial" w:hAnsi="Arial" w:cs="Arial"/>
          <w:b/>
          <w:sz w:val="22"/>
          <w:szCs w:val="22"/>
        </w:rPr>
        <w:t xml:space="preserve">audit </w:t>
      </w:r>
      <w:r w:rsidRPr="00200B96">
        <w:rPr>
          <w:rFonts w:ascii="Arial" w:hAnsi="Arial" w:cs="Arial"/>
          <w:b/>
          <w:sz w:val="22"/>
          <w:szCs w:val="22"/>
        </w:rPr>
        <w:t>recommendations that Management:</w:t>
      </w:r>
    </w:p>
    <w:p w14:paraId="15A462C7" w14:textId="77777777" w:rsidR="007D7EEA" w:rsidRPr="00200B96" w:rsidRDefault="007D7EEA">
      <w:pPr>
        <w:pStyle w:val="ListParagraph"/>
        <w:tabs>
          <w:tab w:val="left" w:pos="990"/>
        </w:tabs>
        <w:ind w:left="900"/>
        <w:contextualSpacing/>
        <w:jc w:val="both"/>
        <w:rPr>
          <w:rFonts w:ascii="Arial" w:hAnsi="Arial" w:cs="Arial"/>
          <w:b/>
          <w:sz w:val="22"/>
          <w:szCs w:val="22"/>
        </w:rPr>
      </w:pPr>
    </w:p>
    <w:p w14:paraId="5E6E3AF7" w14:textId="77777777" w:rsidR="007D7EEA" w:rsidRPr="00200B96" w:rsidRDefault="00DD2A4D">
      <w:pPr>
        <w:pStyle w:val="NoSpacing"/>
        <w:numPr>
          <w:ilvl w:val="0"/>
          <w:numId w:val="20"/>
        </w:numPr>
        <w:ind w:left="1656"/>
        <w:jc w:val="both"/>
        <w:rPr>
          <w:rFonts w:ascii="Arial" w:hAnsi="Arial" w:cs="Arial"/>
          <w:b/>
        </w:rPr>
      </w:pPr>
      <w:r w:rsidRPr="00200B96">
        <w:rPr>
          <w:rFonts w:ascii="Arial" w:hAnsi="Arial" w:cs="Arial"/>
          <w:b/>
        </w:rPr>
        <w:lastRenderedPageBreak/>
        <w:t xml:space="preserve">Prepare an aging schedule to support the remaining balances of the Deposit and other liabilities account; and </w:t>
      </w:r>
    </w:p>
    <w:p w14:paraId="45D90B4B" w14:textId="77777777" w:rsidR="007D7EEA" w:rsidRPr="00200B96" w:rsidRDefault="007D7EEA">
      <w:pPr>
        <w:pStyle w:val="NoSpacing"/>
        <w:ind w:left="1260"/>
        <w:jc w:val="both"/>
        <w:rPr>
          <w:rFonts w:ascii="Arial" w:hAnsi="Arial" w:cs="Arial"/>
          <w:b/>
        </w:rPr>
      </w:pPr>
    </w:p>
    <w:p w14:paraId="329315DD" w14:textId="77777777" w:rsidR="007D7EEA" w:rsidRPr="00200B96" w:rsidRDefault="00DD2A4D">
      <w:pPr>
        <w:pStyle w:val="NoSpacing"/>
        <w:numPr>
          <w:ilvl w:val="0"/>
          <w:numId w:val="20"/>
        </w:numPr>
        <w:ind w:left="1656"/>
        <w:jc w:val="both"/>
        <w:rPr>
          <w:rFonts w:ascii="Arial" w:hAnsi="Arial" w:cs="Arial"/>
          <w:b/>
        </w:rPr>
      </w:pPr>
      <w:r w:rsidRPr="00200B96">
        <w:rPr>
          <w:rFonts w:ascii="Arial" w:hAnsi="Arial" w:cs="Arial"/>
          <w:b/>
        </w:rPr>
        <w:t xml:space="preserve">Make the necessary adjusting entries, if appropriate. </w:t>
      </w:r>
    </w:p>
    <w:p w14:paraId="4FBA7C0D" w14:textId="77777777" w:rsidR="007D7EEA" w:rsidRPr="00200B96" w:rsidRDefault="007D7EEA">
      <w:pPr>
        <w:pStyle w:val="NormalWeb"/>
        <w:spacing w:before="0" w:beforeAutospacing="0" w:after="0" w:afterAutospacing="0"/>
        <w:ind w:left="360"/>
        <w:jc w:val="both"/>
        <w:rPr>
          <w:rFonts w:ascii="Arial" w:hAnsi="Arial" w:cs="Arial"/>
          <w:b/>
          <w:sz w:val="22"/>
          <w:szCs w:val="22"/>
        </w:rPr>
      </w:pPr>
    </w:p>
    <w:p w14:paraId="4035E47A" w14:textId="77777777" w:rsidR="007D7EEA" w:rsidRPr="00200B96" w:rsidRDefault="00DD2A4D" w:rsidP="00A53D1E">
      <w:pPr>
        <w:pStyle w:val="NormalWeb"/>
        <w:numPr>
          <w:ilvl w:val="0"/>
          <w:numId w:val="86"/>
        </w:numPr>
        <w:spacing w:before="0" w:beforeAutospacing="0" w:after="0" w:afterAutospacing="0"/>
        <w:ind w:left="1267" w:hanging="691"/>
        <w:jc w:val="both"/>
        <w:rPr>
          <w:rFonts w:ascii="Arial" w:hAnsi="Arial" w:cs="Arial"/>
          <w:b/>
          <w:sz w:val="22"/>
          <w:szCs w:val="22"/>
        </w:rPr>
      </w:pPr>
      <w:r w:rsidRPr="00200B96">
        <w:rPr>
          <w:rFonts w:ascii="Arial" w:hAnsi="Arial" w:cs="Arial"/>
          <w:b/>
          <w:sz w:val="22"/>
          <w:szCs w:val="22"/>
        </w:rPr>
        <w:t>We further recommended that Management submit to the Audit Team the supporting schedules of the composition of the Deferred Credits and Unapplied Receipts.</w:t>
      </w:r>
    </w:p>
    <w:p w14:paraId="6E8AE96B" w14:textId="77777777" w:rsidR="007D7EEA" w:rsidRPr="00200B96" w:rsidRDefault="007D7EEA">
      <w:pPr>
        <w:pStyle w:val="NormalWeb"/>
        <w:spacing w:before="0" w:beforeAutospacing="0" w:after="0" w:afterAutospacing="0"/>
        <w:ind w:left="360"/>
        <w:jc w:val="both"/>
        <w:rPr>
          <w:rFonts w:ascii="Arial" w:hAnsi="Arial" w:cs="Arial"/>
          <w:b/>
          <w:sz w:val="22"/>
          <w:szCs w:val="22"/>
        </w:rPr>
      </w:pPr>
    </w:p>
    <w:p w14:paraId="6229AA8D" w14:textId="149B8E14" w:rsidR="007D7EEA" w:rsidRPr="00A8626C" w:rsidRDefault="00DD2A4D" w:rsidP="00A53D1E">
      <w:pPr>
        <w:pStyle w:val="NormalWeb"/>
        <w:numPr>
          <w:ilvl w:val="0"/>
          <w:numId w:val="86"/>
        </w:numPr>
        <w:spacing w:before="0" w:beforeAutospacing="0" w:after="0" w:afterAutospacing="0"/>
        <w:ind w:left="1267" w:hanging="691"/>
        <w:jc w:val="both"/>
        <w:rPr>
          <w:rFonts w:ascii="Arial" w:hAnsi="Arial" w:cs="Arial"/>
          <w:sz w:val="22"/>
          <w:szCs w:val="22"/>
        </w:rPr>
      </w:pPr>
      <w:r w:rsidRPr="00A53D1E">
        <w:rPr>
          <w:rFonts w:ascii="Arial" w:hAnsi="Arial" w:cs="Arial"/>
          <w:sz w:val="22"/>
          <w:szCs w:val="22"/>
        </w:rPr>
        <w:t>The</w:t>
      </w:r>
      <w:r w:rsidRPr="00200B96">
        <w:rPr>
          <w:rFonts w:ascii="Arial" w:hAnsi="Arial" w:cs="Arial"/>
          <w:sz w:val="22"/>
          <w:szCs w:val="22"/>
        </w:rPr>
        <w:t xml:space="preserve"> Management commented that the Deferred </w:t>
      </w:r>
      <w:r w:rsidRPr="00A8626C">
        <w:rPr>
          <w:rFonts w:ascii="Arial" w:hAnsi="Arial" w:cs="Arial"/>
          <w:sz w:val="22"/>
          <w:szCs w:val="22"/>
        </w:rPr>
        <w:t>credits account pertaining to the Investment in sh</w:t>
      </w:r>
      <w:r w:rsidR="005E2F43">
        <w:rPr>
          <w:rFonts w:ascii="Arial" w:hAnsi="Arial" w:cs="Arial"/>
          <w:sz w:val="22"/>
          <w:szCs w:val="22"/>
        </w:rPr>
        <w:t>ares of stock amounting to P196,</w:t>
      </w:r>
      <w:r w:rsidRPr="00A8626C">
        <w:rPr>
          <w:rFonts w:ascii="Arial" w:hAnsi="Arial" w:cs="Arial"/>
          <w:sz w:val="22"/>
          <w:szCs w:val="22"/>
        </w:rPr>
        <w:t>508</w:t>
      </w:r>
      <w:r w:rsidR="005E2F43">
        <w:rPr>
          <w:rFonts w:ascii="Arial" w:hAnsi="Arial" w:cs="Arial"/>
          <w:sz w:val="22"/>
          <w:szCs w:val="22"/>
        </w:rPr>
        <w:t>,126</w:t>
      </w:r>
      <w:r w:rsidR="00C62997" w:rsidRPr="00A8626C">
        <w:rPr>
          <w:rFonts w:ascii="Arial" w:hAnsi="Arial" w:cs="Arial"/>
          <w:sz w:val="22"/>
          <w:szCs w:val="22"/>
        </w:rPr>
        <w:t xml:space="preserve"> </w:t>
      </w:r>
      <w:r w:rsidRPr="00A8626C">
        <w:rPr>
          <w:rFonts w:ascii="Arial" w:hAnsi="Arial" w:cs="Arial"/>
          <w:sz w:val="22"/>
          <w:szCs w:val="22"/>
        </w:rPr>
        <w:t xml:space="preserve">refer to the AFPRSBS’ 40 per cent share in the unrealized gain on the 1995 transfer of Village East III properties to </w:t>
      </w:r>
      <w:proofErr w:type="spellStart"/>
      <w:r w:rsidRPr="00A8626C">
        <w:rPr>
          <w:rFonts w:ascii="Arial" w:hAnsi="Arial" w:cs="Arial"/>
          <w:sz w:val="22"/>
          <w:szCs w:val="22"/>
        </w:rPr>
        <w:t>Marilaque</w:t>
      </w:r>
      <w:proofErr w:type="spellEnd"/>
      <w:r w:rsidRPr="00A8626C">
        <w:rPr>
          <w:rFonts w:ascii="Arial" w:hAnsi="Arial" w:cs="Arial"/>
          <w:sz w:val="22"/>
          <w:szCs w:val="22"/>
        </w:rPr>
        <w:t xml:space="preserve"> Land, Inc. (MLI), a subsidiary of AFPRSBS, in exchange for the latter’s shares of stock.  On April 30, 1999, the amount was provided with 100 per cent allowance for probable loss and was reclassified as deferred credit/revenues on September 30, 2003 per recommendation of the private auditors, hence, the account has been outstanding for more than 19 years already.  The account will be reversed in AFPRSBS’ books upon the disposal of the MLI shares.</w:t>
      </w:r>
    </w:p>
    <w:p w14:paraId="7380C6A6" w14:textId="77777777" w:rsidR="007D7EEA" w:rsidRPr="00A8626C" w:rsidRDefault="007D7EEA">
      <w:pPr>
        <w:pStyle w:val="NormalWeb"/>
        <w:spacing w:before="0" w:beforeAutospacing="0" w:after="0" w:afterAutospacing="0"/>
        <w:ind w:left="792"/>
        <w:jc w:val="both"/>
        <w:rPr>
          <w:rFonts w:ascii="Arial" w:hAnsi="Arial" w:cs="Arial"/>
          <w:sz w:val="22"/>
          <w:szCs w:val="22"/>
        </w:rPr>
      </w:pPr>
    </w:p>
    <w:p w14:paraId="2E51CFEF" w14:textId="4785E982" w:rsidR="007D7EEA" w:rsidRPr="00A8626C" w:rsidRDefault="00DD2A4D" w:rsidP="00A53D1E">
      <w:pPr>
        <w:pStyle w:val="NormalWeb"/>
        <w:numPr>
          <w:ilvl w:val="0"/>
          <w:numId w:val="86"/>
        </w:numPr>
        <w:spacing w:before="0" w:beforeAutospacing="0" w:after="0" w:afterAutospacing="0"/>
        <w:ind w:left="1267" w:hanging="691"/>
        <w:jc w:val="both"/>
        <w:rPr>
          <w:rFonts w:ascii="Arial" w:hAnsi="Arial" w:cs="Arial"/>
          <w:sz w:val="22"/>
          <w:szCs w:val="22"/>
        </w:rPr>
      </w:pPr>
      <w:r w:rsidRPr="00A8626C">
        <w:rPr>
          <w:rFonts w:ascii="Arial" w:hAnsi="Arial" w:cs="Arial"/>
          <w:sz w:val="22"/>
          <w:szCs w:val="22"/>
        </w:rPr>
        <w:t>As to the deposits and ot</w:t>
      </w:r>
      <w:r w:rsidR="00C62997" w:rsidRPr="00A8626C">
        <w:rPr>
          <w:rFonts w:ascii="Arial" w:hAnsi="Arial" w:cs="Arial"/>
          <w:sz w:val="22"/>
          <w:szCs w:val="22"/>
        </w:rPr>
        <w:t>her liabilities amounting to P6.</w:t>
      </w:r>
      <w:r w:rsidRPr="00A8626C">
        <w:rPr>
          <w:rFonts w:ascii="Arial" w:hAnsi="Arial" w:cs="Arial"/>
          <w:sz w:val="22"/>
          <w:szCs w:val="22"/>
        </w:rPr>
        <w:t>68</w:t>
      </w:r>
      <w:r w:rsidR="00C62997" w:rsidRPr="00A8626C">
        <w:rPr>
          <w:rFonts w:ascii="Arial" w:hAnsi="Arial" w:cs="Arial"/>
          <w:sz w:val="22"/>
          <w:szCs w:val="22"/>
        </w:rPr>
        <w:t>2 million</w:t>
      </w:r>
      <w:r w:rsidRPr="00A8626C">
        <w:rPr>
          <w:rFonts w:ascii="Arial" w:hAnsi="Arial" w:cs="Arial"/>
          <w:sz w:val="22"/>
          <w:szCs w:val="22"/>
        </w:rPr>
        <w:t>, the Management commented that this pertains to transactions related to six real estate projects.  In July and December 2022, the AFPRSBS was able to rec</w:t>
      </w:r>
      <w:r w:rsidR="00A8626C" w:rsidRPr="00A8626C">
        <w:rPr>
          <w:rFonts w:ascii="Arial" w:hAnsi="Arial" w:cs="Arial"/>
          <w:sz w:val="22"/>
          <w:szCs w:val="22"/>
        </w:rPr>
        <w:t>oncile and adjust a total of P3.</w:t>
      </w:r>
      <w:r w:rsidRPr="00A8626C">
        <w:rPr>
          <w:rFonts w:ascii="Arial" w:hAnsi="Arial" w:cs="Arial"/>
          <w:sz w:val="22"/>
          <w:szCs w:val="22"/>
        </w:rPr>
        <w:t>67</w:t>
      </w:r>
      <w:r w:rsidR="00A8626C" w:rsidRPr="00A8626C">
        <w:rPr>
          <w:rFonts w:ascii="Arial" w:hAnsi="Arial" w:cs="Arial"/>
          <w:sz w:val="22"/>
          <w:szCs w:val="22"/>
        </w:rPr>
        <w:t>4 million</w:t>
      </w:r>
      <w:r w:rsidRPr="00A8626C">
        <w:rPr>
          <w:rFonts w:ascii="Arial" w:hAnsi="Arial" w:cs="Arial"/>
          <w:sz w:val="22"/>
          <w:szCs w:val="22"/>
        </w:rPr>
        <w:t>. The remaining accounts are subject of an ongoing reconciliation and the aging schedule will be prepared, once the reconciliation is completed. Although some of the transactions included in this category were already identified, there is still a need to further validate the same.</w:t>
      </w:r>
    </w:p>
    <w:p w14:paraId="13A2C098" w14:textId="77777777" w:rsidR="007D7EEA" w:rsidRPr="00A8626C" w:rsidRDefault="007D7EEA">
      <w:pPr>
        <w:pStyle w:val="NormalWeb"/>
        <w:spacing w:before="0" w:beforeAutospacing="0" w:after="0" w:afterAutospacing="0"/>
        <w:ind w:left="792"/>
        <w:jc w:val="both"/>
        <w:rPr>
          <w:rFonts w:ascii="Arial" w:hAnsi="Arial" w:cs="Arial"/>
          <w:sz w:val="22"/>
          <w:szCs w:val="22"/>
        </w:rPr>
      </w:pPr>
    </w:p>
    <w:p w14:paraId="65C3469B" w14:textId="402986D3" w:rsidR="007D7EEA" w:rsidRPr="00200B96" w:rsidRDefault="00426B77" w:rsidP="00A53D1E">
      <w:pPr>
        <w:pStyle w:val="NormalWeb"/>
        <w:numPr>
          <w:ilvl w:val="0"/>
          <w:numId w:val="86"/>
        </w:numPr>
        <w:spacing w:before="0" w:beforeAutospacing="0" w:after="0" w:afterAutospacing="0"/>
        <w:ind w:left="1267" w:hanging="691"/>
        <w:jc w:val="both"/>
        <w:rPr>
          <w:rFonts w:ascii="Arial" w:hAnsi="Arial" w:cs="Arial"/>
          <w:sz w:val="22"/>
          <w:szCs w:val="22"/>
        </w:rPr>
      </w:pPr>
      <w:r w:rsidRPr="00A8626C">
        <w:rPr>
          <w:rFonts w:ascii="Arial" w:hAnsi="Arial" w:cs="Arial"/>
          <w:sz w:val="22"/>
          <w:szCs w:val="22"/>
        </w:rPr>
        <w:t>Further,</w:t>
      </w:r>
      <w:r w:rsidR="00DD2A4D" w:rsidRPr="00A8626C">
        <w:rPr>
          <w:rFonts w:ascii="Arial" w:hAnsi="Arial" w:cs="Arial"/>
          <w:sz w:val="22"/>
          <w:szCs w:val="22"/>
        </w:rPr>
        <w:t xml:space="preserve"> the remaining balance f</w:t>
      </w:r>
      <w:r w:rsidR="00A8626C" w:rsidRPr="00A8626C">
        <w:rPr>
          <w:rFonts w:ascii="Arial" w:hAnsi="Arial" w:cs="Arial"/>
          <w:sz w:val="22"/>
          <w:szCs w:val="22"/>
        </w:rPr>
        <w:t>or reconciliation is down to P1.</w:t>
      </w:r>
      <w:r w:rsidR="00DD2A4D" w:rsidRPr="00A8626C">
        <w:rPr>
          <w:rFonts w:ascii="Arial" w:hAnsi="Arial" w:cs="Arial"/>
          <w:sz w:val="22"/>
          <w:szCs w:val="22"/>
        </w:rPr>
        <w:t>71</w:t>
      </w:r>
      <w:r w:rsidR="00A8626C" w:rsidRPr="00A8626C">
        <w:rPr>
          <w:rFonts w:ascii="Arial" w:hAnsi="Arial" w:cs="Arial"/>
          <w:sz w:val="22"/>
          <w:szCs w:val="22"/>
        </w:rPr>
        <w:t>8 million</w:t>
      </w:r>
      <w:r w:rsidR="00DD2A4D" w:rsidRPr="00200B96">
        <w:rPr>
          <w:rFonts w:ascii="Arial" w:hAnsi="Arial" w:cs="Arial"/>
          <w:sz w:val="22"/>
          <w:szCs w:val="22"/>
        </w:rPr>
        <w:t xml:space="preserve"> and this pertains primarily to the temporary beginning balance of the account that was forwarded during the migration to the IFMS 1 in November 2004.</w:t>
      </w:r>
    </w:p>
    <w:p w14:paraId="0F789BC7" w14:textId="77777777" w:rsidR="007D7EEA" w:rsidRPr="00200B96" w:rsidRDefault="007D7EEA">
      <w:pPr>
        <w:pStyle w:val="NormalWeb"/>
        <w:spacing w:before="0" w:beforeAutospacing="0" w:after="0" w:afterAutospacing="0"/>
        <w:ind w:left="792"/>
        <w:jc w:val="both"/>
        <w:rPr>
          <w:rFonts w:ascii="Arial" w:hAnsi="Arial" w:cs="Arial"/>
          <w:sz w:val="22"/>
          <w:szCs w:val="22"/>
        </w:rPr>
      </w:pPr>
    </w:p>
    <w:p w14:paraId="20FCD140" w14:textId="77777777" w:rsidR="007D7EEA" w:rsidRPr="00200B96" w:rsidRDefault="00DD2A4D" w:rsidP="00A53D1E">
      <w:pPr>
        <w:pStyle w:val="NormalWeb"/>
        <w:numPr>
          <w:ilvl w:val="0"/>
          <w:numId w:val="86"/>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Likewise, the AFPRSBS will endeavor to reconcile the remaining accounts and adjustments will be made, as necessary.</w:t>
      </w:r>
    </w:p>
    <w:p w14:paraId="1DF44152"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3E7A9BB0" w14:textId="77777777" w:rsidR="007D7EEA" w:rsidRPr="00200B96" w:rsidRDefault="00DD2A4D" w:rsidP="00A53D1E">
      <w:pPr>
        <w:pStyle w:val="NormalWeb"/>
        <w:numPr>
          <w:ilvl w:val="0"/>
          <w:numId w:val="86"/>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As a rejoinder, the Audit Team appreciates Management’s effort in the continuous reconciliation of the affected accounts but maintains its recommendation that Management submit the supporting schedules of the remaining composition of the Deferred credits and Unapplied receipts to facilitate the verification as to validity/accuracy of the Deposit and other liabilities account.</w:t>
      </w:r>
    </w:p>
    <w:p w14:paraId="00B391EC" w14:textId="77777777" w:rsidR="007D7EEA" w:rsidRPr="00200B96" w:rsidRDefault="007D7EEA" w:rsidP="006C58AD">
      <w:pPr>
        <w:pStyle w:val="NormalWeb"/>
        <w:spacing w:before="0" w:beforeAutospacing="0" w:after="0" w:afterAutospacing="0"/>
        <w:jc w:val="both"/>
        <w:rPr>
          <w:rFonts w:ascii="Arial" w:hAnsi="Arial" w:cs="Arial"/>
          <w:b/>
          <w:sz w:val="22"/>
          <w:szCs w:val="22"/>
        </w:rPr>
      </w:pPr>
    </w:p>
    <w:p w14:paraId="66DE7169" w14:textId="77777777" w:rsidR="007D7EEA" w:rsidRPr="00200B96" w:rsidRDefault="007D7EEA">
      <w:pPr>
        <w:pStyle w:val="NormalWeb"/>
        <w:spacing w:before="0" w:beforeAutospacing="0" w:after="0" w:afterAutospacing="0"/>
        <w:ind w:left="540"/>
        <w:jc w:val="both"/>
        <w:rPr>
          <w:rFonts w:ascii="Arial" w:hAnsi="Arial" w:cs="Arial"/>
          <w:bCs/>
          <w:sz w:val="22"/>
          <w:szCs w:val="22"/>
        </w:rPr>
      </w:pPr>
    </w:p>
    <w:p w14:paraId="7EB1B137" w14:textId="77777777" w:rsidR="007D7EEA" w:rsidRPr="00200B96" w:rsidRDefault="00DD2A4D" w:rsidP="00BB0337">
      <w:pPr>
        <w:pStyle w:val="NormalWeb"/>
        <w:numPr>
          <w:ilvl w:val="0"/>
          <w:numId w:val="3"/>
        </w:numPr>
        <w:spacing w:before="0" w:beforeAutospacing="0" w:after="0" w:afterAutospacing="0"/>
        <w:ind w:left="576" w:hanging="576"/>
        <w:jc w:val="both"/>
        <w:rPr>
          <w:rFonts w:ascii="Arial" w:hAnsi="Arial" w:cs="Arial"/>
          <w:bCs/>
          <w:sz w:val="22"/>
          <w:szCs w:val="22"/>
        </w:rPr>
      </w:pPr>
      <w:r w:rsidRPr="00200B96">
        <w:rPr>
          <w:rFonts w:ascii="Arial" w:hAnsi="Arial" w:cs="Arial"/>
          <w:b/>
          <w:sz w:val="22"/>
          <w:szCs w:val="22"/>
        </w:rPr>
        <w:t xml:space="preserve">The faithful representation and accuracy of the recorded Property and equipment (PE) with a total net book value of P24.348 million could not be ascertained due to: a) unreconciled difference of P7.864 million between the balances of GL and Report on the Physical Count of Property, Plant and Equipment (RPCPPE); b) unreconciled difference of P6.531 million between the balances of the SLs and schedule of PE; </w:t>
      </w:r>
      <w:r w:rsidRPr="00200B96">
        <w:rPr>
          <w:rFonts w:ascii="Arial" w:hAnsi="Arial" w:cs="Arial"/>
          <w:b/>
          <w:bCs/>
          <w:sz w:val="22"/>
          <w:szCs w:val="22"/>
        </w:rPr>
        <w:t xml:space="preserve">and </w:t>
      </w:r>
      <w:r w:rsidR="00DE43F2" w:rsidRPr="00200B96">
        <w:rPr>
          <w:rFonts w:ascii="Arial" w:hAnsi="Arial" w:cs="Arial"/>
          <w:b/>
          <w:bCs/>
          <w:sz w:val="22"/>
          <w:szCs w:val="22"/>
        </w:rPr>
        <w:t>c</w:t>
      </w:r>
      <w:r w:rsidRPr="00200B96">
        <w:rPr>
          <w:rFonts w:ascii="Arial" w:hAnsi="Arial" w:cs="Arial"/>
          <w:b/>
          <w:bCs/>
          <w:sz w:val="22"/>
          <w:szCs w:val="22"/>
        </w:rPr>
        <w:t xml:space="preserve">) failure to conduct proper </w:t>
      </w:r>
      <w:r w:rsidRPr="00200B96">
        <w:rPr>
          <w:rFonts w:ascii="Arial" w:hAnsi="Arial" w:cs="Arial"/>
          <w:b/>
          <w:bCs/>
          <w:sz w:val="22"/>
          <w:szCs w:val="22"/>
        </w:rPr>
        <w:lastRenderedPageBreak/>
        <w:t xml:space="preserve">disposal of unserviceable properties, </w:t>
      </w:r>
      <w:r w:rsidRPr="00200B96">
        <w:rPr>
          <w:rFonts w:ascii="Arial" w:hAnsi="Arial" w:cs="Arial"/>
          <w:b/>
          <w:sz w:val="22"/>
          <w:szCs w:val="22"/>
        </w:rPr>
        <w:t>contrary to Paragraph 15 of PAS 1</w:t>
      </w:r>
      <w:r w:rsidR="00810A03" w:rsidRPr="00200B96">
        <w:rPr>
          <w:rFonts w:ascii="Arial" w:hAnsi="Arial" w:cs="Arial"/>
          <w:b/>
          <w:sz w:val="22"/>
          <w:szCs w:val="22"/>
        </w:rPr>
        <w:t>,</w:t>
      </w:r>
      <w:r w:rsidRPr="00200B96">
        <w:rPr>
          <w:rFonts w:ascii="Arial" w:hAnsi="Arial" w:cs="Arial"/>
          <w:b/>
          <w:sz w:val="22"/>
          <w:szCs w:val="22"/>
        </w:rPr>
        <w:t xml:space="preserve"> National Budget Circular No. 425, and Section 111 of PD No. 1445.</w:t>
      </w:r>
    </w:p>
    <w:p w14:paraId="01E896A7" w14:textId="77777777" w:rsidR="007D7EEA" w:rsidRPr="00200B96" w:rsidRDefault="007D7EEA">
      <w:pPr>
        <w:spacing w:after="0" w:line="240" w:lineRule="auto"/>
        <w:ind w:firstLine="720"/>
        <w:jc w:val="both"/>
        <w:rPr>
          <w:rFonts w:ascii="Arial" w:eastAsia="MS Mincho" w:hAnsi="Arial"/>
        </w:rPr>
      </w:pPr>
    </w:p>
    <w:p w14:paraId="52E827F5" w14:textId="6B1EC194"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This is a reiteration with modifications of the PY</w:t>
      </w:r>
      <w:r w:rsidR="006F5114" w:rsidRPr="00200B96">
        <w:rPr>
          <w:rFonts w:ascii="Arial" w:eastAsia="MS Mincho" w:hAnsi="Arial"/>
          <w:sz w:val="22"/>
          <w:szCs w:val="22"/>
        </w:rPr>
        <w:t>’</w:t>
      </w:r>
      <w:r w:rsidRPr="00200B96">
        <w:rPr>
          <w:rFonts w:ascii="Arial" w:eastAsia="MS Mincho" w:hAnsi="Arial"/>
          <w:sz w:val="22"/>
          <w:szCs w:val="22"/>
        </w:rPr>
        <w:t>s AO as embodied in the CY 2021 AAR.</w:t>
      </w:r>
    </w:p>
    <w:p w14:paraId="2F51D10D" w14:textId="77777777" w:rsidR="007D7EEA" w:rsidRPr="00952E7F" w:rsidRDefault="007D7EEA">
      <w:pPr>
        <w:pStyle w:val="NormalWeb"/>
        <w:spacing w:before="0" w:beforeAutospacing="0" w:after="0" w:afterAutospacing="0"/>
        <w:ind w:left="792"/>
        <w:jc w:val="both"/>
        <w:rPr>
          <w:rFonts w:ascii="Arial" w:hAnsi="Arial" w:cs="Arial"/>
          <w:bCs/>
          <w:sz w:val="20"/>
          <w:szCs w:val="22"/>
        </w:rPr>
      </w:pPr>
    </w:p>
    <w:p w14:paraId="70CDB18B"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200B96">
        <w:rPr>
          <w:rFonts w:ascii="Arial" w:hAnsi="Arial" w:cs="Arial"/>
          <w:sz w:val="22"/>
          <w:szCs w:val="22"/>
        </w:rPr>
        <w:t>National Budget Circular No. 425 dated January 28, 1992, pursuant to EO No. 285, provides that:</w:t>
      </w:r>
    </w:p>
    <w:p w14:paraId="1E2108D3" w14:textId="77777777" w:rsidR="007D7EEA" w:rsidRPr="00952E7F" w:rsidRDefault="007D7EEA">
      <w:pPr>
        <w:spacing w:after="0" w:line="240" w:lineRule="auto"/>
        <w:ind w:right="26"/>
        <w:jc w:val="both"/>
        <w:rPr>
          <w:rFonts w:ascii="Arial" w:hAnsi="Arial" w:cs="Arial"/>
          <w:bCs/>
          <w:sz w:val="20"/>
        </w:rPr>
      </w:pPr>
    </w:p>
    <w:p w14:paraId="745C4CB5" w14:textId="48E2C53F" w:rsidR="007D7EEA" w:rsidRDefault="00DD2A4D">
      <w:pPr>
        <w:pStyle w:val="ListParagraph"/>
        <w:tabs>
          <w:tab w:val="left" w:pos="450"/>
          <w:tab w:val="left" w:pos="7200"/>
        </w:tabs>
        <w:spacing w:after="20"/>
        <w:ind w:left="1728" w:right="432"/>
        <w:jc w:val="both"/>
        <w:rPr>
          <w:rFonts w:ascii="Arial" w:hAnsi="Arial" w:cs="Arial"/>
          <w:i/>
          <w:sz w:val="22"/>
          <w:szCs w:val="22"/>
        </w:rPr>
      </w:pPr>
      <w:r w:rsidRPr="00200B96">
        <w:rPr>
          <w:rFonts w:ascii="Arial" w:hAnsi="Arial" w:cs="Arial"/>
          <w:i/>
          <w:sz w:val="22"/>
          <w:szCs w:val="22"/>
        </w:rPr>
        <w:t>Disposal proceedings should be immediately initiated to avoid further deterioration of the property and consequent depreciation in its value.</w:t>
      </w:r>
    </w:p>
    <w:p w14:paraId="3EB5E312" w14:textId="77777777" w:rsidR="007947AE" w:rsidRPr="00952E7F" w:rsidRDefault="007947AE">
      <w:pPr>
        <w:pStyle w:val="ListParagraph"/>
        <w:tabs>
          <w:tab w:val="left" w:pos="450"/>
          <w:tab w:val="left" w:pos="7200"/>
        </w:tabs>
        <w:spacing w:after="20"/>
        <w:ind w:left="1728" w:right="432"/>
        <w:jc w:val="both"/>
        <w:rPr>
          <w:rFonts w:ascii="Arial" w:hAnsi="Arial" w:cs="Arial"/>
          <w:i/>
          <w:sz w:val="20"/>
          <w:szCs w:val="22"/>
        </w:rPr>
      </w:pPr>
    </w:p>
    <w:p w14:paraId="20FE22D2"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200B96">
        <w:rPr>
          <w:rFonts w:ascii="Arial" w:eastAsia="MS Mincho" w:hAnsi="Arial"/>
          <w:sz w:val="22"/>
          <w:szCs w:val="22"/>
        </w:rPr>
        <w:t>In</w:t>
      </w:r>
      <w:r w:rsidRPr="00200B96">
        <w:rPr>
          <w:rFonts w:ascii="Arial" w:hAnsi="Arial" w:cs="Arial"/>
          <w:bCs/>
          <w:sz w:val="22"/>
          <w:szCs w:val="22"/>
        </w:rPr>
        <w:t xml:space="preserve"> addition, Section 111 of PD No. 1445 on keeping of accounts, states that:</w:t>
      </w:r>
    </w:p>
    <w:p w14:paraId="508A9845" w14:textId="77777777" w:rsidR="007D7EEA" w:rsidRPr="00952E7F" w:rsidRDefault="007D7EEA">
      <w:pPr>
        <w:spacing w:after="0" w:line="240" w:lineRule="auto"/>
        <w:ind w:right="26"/>
        <w:jc w:val="both"/>
        <w:rPr>
          <w:rFonts w:ascii="Arial" w:hAnsi="Arial" w:cs="Arial"/>
          <w:bCs/>
          <w:sz w:val="20"/>
        </w:rPr>
      </w:pPr>
    </w:p>
    <w:p w14:paraId="700081EE" w14:textId="77777777" w:rsidR="007D7EEA" w:rsidRPr="00200B96" w:rsidRDefault="00DD2A4D">
      <w:pPr>
        <w:pStyle w:val="ListParagraph"/>
        <w:tabs>
          <w:tab w:val="left" w:pos="450"/>
          <w:tab w:val="left" w:pos="7200"/>
        </w:tabs>
        <w:spacing w:after="20"/>
        <w:ind w:left="1701" w:right="432"/>
        <w:jc w:val="both"/>
        <w:rPr>
          <w:rFonts w:ascii="Arial" w:hAnsi="Arial" w:cs="Arial"/>
          <w:i/>
          <w:sz w:val="22"/>
          <w:szCs w:val="22"/>
        </w:rPr>
      </w:pPr>
      <w:r w:rsidRPr="00200B96">
        <w:rPr>
          <w:rFonts w:ascii="Arial" w:hAnsi="Arial" w:cs="Arial"/>
          <w:bCs/>
          <w:i/>
          <w:iCs/>
          <w:sz w:val="22"/>
          <w:szCs w:val="22"/>
        </w:rPr>
        <w:t>(</w:t>
      </w:r>
      <w:r w:rsidRPr="00200B96">
        <w:rPr>
          <w:rFonts w:ascii="Arial" w:hAnsi="Arial" w:cs="Arial"/>
          <w:i/>
          <w:iCs/>
          <w:sz w:val="22"/>
          <w:szCs w:val="22"/>
        </w:rPr>
        <w:t>1) The</w:t>
      </w:r>
      <w:r w:rsidRPr="00200B96">
        <w:rPr>
          <w:rFonts w:ascii="Arial" w:hAnsi="Arial" w:cs="Arial"/>
          <w:i/>
          <w:sz w:val="22"/>
          <w:szCs w:val="22"/>
        </w:rPr>
        <w:t xml:space="preserve"> accounts of an agency shall be kept in such detail as is necessary to meet the needs of the agency and at the same time be adequate to furnish the information needed by fiscal or control agencies of the government.</w:t>
      </w:r>
    </w:p>
    <w:p w14:paraId="5E8572C2" w14:textId="77777777" w:rsidR="007D7EEA" w:rsidRPr="00952E7F" w:rsidRDefault="007D7EEA">
      <w:pPr>
        <w:pStyle w:val="ListParagraph"/>
        <w:tabs>
          <w:tab w:val="left" w:pos="450"/>
          <w:tab w:val="left" w:pos="7200"/>
        </w:tabs>
        <w:spacing w:after="20"/>
        <w:ind w:left="1728" w:right="432"/>
        <w:jc w:val="both"/>
        <w:rPr>
          <w:rFonts w:ascii="Arial" w:hAnsi="Arial" w:cs="Arial"/>
          <w:i/>
          <w:sz w:val="20"/>
          <w:szCs w:val="22"/>
        </w:rPr>
      </w:pPr>
    </w:p>
    <w:p w14:paraId="40905A83" w14:textId="77777777" w:rsidR="007D7EEA" w:rsidRPr="00200B96" w:rsidRDefault="00DD2A4D">
      <w:pPr>
        <w:pStyle w:val="ListParagraph"/>
        <w:tabs>
          <w:tab w:val="left" w:pos="450"/>
          <w:tab w:val="left" w:pos="7200"/>
        </w:tabs>
        <w:spacing w:after="20"/>
        <w:ind w:left="1701" w:right="432"/>
        <w:jc w:val="both"/>
        <w:rPr>
          <w:rFonts w:ascii="Arial" w:hAnsi="Arial" w:cs="Arial"/>
          <w:i/>
          <w:sz w:val="22"/>
          <w:szCs w:val="22"/>
        </w:rPr>
      </w:pPr>
      <w:r w:rsidRPr="00200B96">
        <w:rPr>
          <w:rFonts w:ascii="Arial" w:hAnsi="Arial" w:cs="Arial"/>
          <w:i/>
          <w:sz w:val="22"/>
          <w:szCs w:val="22"/>
        </w:rPr>
        <w:t>(2) The highest standards of honesty, objectivity and consistency shall be observed in the keeping of accounts to safeguard against inaccurate or misleading information.</w:t>
      </w:r>
    </w:p>
    <w:p w14:paraId="7CED2BDA" w14:textId="77777777" w:rsidR="007D7EEA" w:rsidRPr="00952E7F" w:rsidRDefault="007D7EEA">
      <w:pPr>
        <w:spacing w:after="0" w:line="240" w:lineRule="auto"/>
        <w:ind w:right="26"/>
        <w:jc w:val="both"/>
        <w:rPr>
          <w:rFonts w:ascii="Arial" w:hAnsi="Arial" w:cs="Arial"/>
          <w:bCs/>
          <w:sz w:val="20"/>
        </w:rPr>
      </w:pPr>
    </w:p>
    <w:p w14:paraId="31B8495A" w14:textId="4FF75711"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200B96">
        <w:rPr>
          <w:rFonts w:ascii="Arial" w:hAnsi="Arial" w:cs="Arial"/>
          <w:bCs/>
          <w:sz w:val="22"/>
          <w:szCs w:val="22"/>
        </w:rPr>
        <w:t xml:space="preserve">The above cited criteria prescribe the procedures on the presentation, timely disposal and accurate recording of </w:t>
      </w:r>
      <w:r w:rsidR="002D6BB9">
        <w:rPr>
          <w:rFonts w:ascii="Arial" w:hAnsi="Arial" w:cs="Arial"/>
          <w:bCs/>
          <w:sz w:val="22"/>
          <w:szCs w:val="22"/>
        </w:rPr>
        <w:t>property, plant and equipment (</w:t>
      </w:r>
      <w:r w:rsidRPr="00200B96">
        <w:rPr>
          <w:rFonts w:ascii="Arial" w:hAnsi="Arial" w:cs="Arial"/>
          <w:bCs/>
          <w:sz w:val="22"/>
          <w:szCs w:val="22"/>
        </w:rPr>
        <w:t>PPE</w:t>
      </w:r>
      <w:r w:rsidR="002D6BB9">
        <w:rPr>
          <w:rFonts w:ascii="Arial" w:hAnsi="Arial" w:cs="Arial"/>
          <w:bCs/>
          <w:sz w:val="22"/>
          <w:szCs w:val="22"/>
        </w:rPr>
        <w:t>)</w:t>
      </w:r>
      <w:r w:rsidRPr="00200B96">
        <w:rPr>
          <w:rFonts w:ascii="Arial" w:hAnsi="Arial" w:cs="Arial"/>
          <w:bCs/>
          <w:sz w:val="22"/>
          <w:szCs w:val="22"/>
        </w:rPr>
        <w:t xml:space="preserve"> items of government agencies.  The procedures, if taken, should come up with a reliable amount of the PPE account in the </w:t>
      </w:r>
      <w:r w:rsidR="004F0733" w:rsidRPr="00200B96">
        <w:rPr>
          <w:rFonts w:ascii="Arial" w:hAnsi="Arial" w:cs="Arial"/>
          <w:bCs/>
          <w:sz w:val="22"/>
          <w:szCs w:val="22"/>
        </w:rPr>
        <w:t>FS</w:t>
      </w:r>
      <w:r w:rsidRPr="00200B96">
        <w:rPr>
          <w:rFonts w:ascii="Arial" w:hAnsi="Arial" w:cs="Arial"/>
          <w:bCs/>
          <w:sz w:val="22"/>
          <w:szCs w:val="22"/>
        </w:rPr>
        <w:t>.</w:t>
      </w:r>
    </w:p>
    <w:p w14:paraId="05E2BE9E" w14:textId="77777777" w:rsidR="007D7EEA" w:rsidRPr="00952E7F" w:rsidRDefault="007D7EEA">
      <w:pPr>
        <w:pStyle w:val="NormalWeb"/>
        <w:spacing w:before="0" w:beforeAutospacing="0" w:after="0" w:afterAutospacing="0"/>
        <w:ind w:left="1260"/>
        <w:jc w:val="both"/>
        <w:rPr>
          <w:rFonts w:ascii="Arial" w:hAnsi="Arial" w:cs="Arial"/>
          <w:bCs/>
          <w:sz w:val="20"/>
          <w:szCs w:val="22"/>
        </w:rPr>
      </w:pPr>
    </w:p>
    <w:p w14:paraId="66B75A5C" w14:textId="77777777" w:rsidR="007D7EEA" w:rsidRPr="00200B96" w:rsidRDefault="00DD2A4D">
      <w:pPr>
        <w:spacing w:after="0" w:line="240" w:lineRule="auto"/>
        <w:ind w:left="576"/>
        <w:jc w:val="both"/>
        <w:rPr>
          <w:rFonts w:ascii="Arial" w:eastAsia="MS Mincho" w:hAnsi="Arial"/>
        </w:rPr>
      </w:pPr>
      <w:r w:rsidRPr="00200B96">
        <w:rPr>
          <w:rFonts w:ascii="Arial" w:hAnsi="Arial" w:cs="Arial"/>
          <w:bCs/>
          <w:i/>
        </w:rPr>
        <w:t xml:space="preserve">Unreconciled difference of P7.864 million between the GL and RPCPPE </w:t>
      </w:r>
    </w:p>
    <w:p w14:paraId="231266A5" w14:textId="77777777" w:rsidR="007D7EEA" w:rsidRPr="00952E7F" w:rsidRDefault="007D7EEA">
      <w:pPr>
        <w:spacing w:after="0" w:line="240" w:lineRule="auto"/>
        <w:ind w:firstLine="720"/>
        <w:jc w:val="both"/>
        <w:rPr>
          <w:rFonts w:ascii="Arial" w:eastAsia="MS Mincho" w:hAnsi="Arial"/>
          <w:sz w:val="20"/>
        </w:rPr>
      </w:pPr>
    </w:p>
    <w:p w14:paraId="13F89F03"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 xml:space="preserve">The AFPRSBS’ AD maintains the balances of its PE account based on the data or information provided in the SLs that is traceable within the IFMS.  Inquiry with Management revealed that a portion of the amount reported in the GL was extracted from the said SL in IFMS as at December 31, 2012, as the reckoning date of settling the account.  Moreover, the transactions for the succeeding periods were manually recorded or maintained.  As part of the operations of the </w:t>
      </w:r>
      <w:r w:rsidRPr="00200B96">
        <w:rPr>
          <w:rFonts w:ascii="Arial" w:hAnsi="Arial" w:cs="Arial"/>
          <w:sz w:val="22"/>
          <w:szCs w:val="22"/>
        </w:rPr>
        <w:t>AFPRSBS</w:t>
      </w:r>
      <w:r w:rsidRPr="00200B96">
        <w:rPr>
          <w:rFonts w:ascii="Arial" w:eastAsia="MS Mincho" w:hAnsi="Arial"/>
          <w:sz w:val="22"/>
          <w:szCs w:val="22"/>
        </w:rPr>
        <w:t>, the balances of the respective PE accounts are continuously reconciled by the concerned departments.</w:t>
      </w:r>
    </w:p>
    <w:p w14:paraId="43F8EC1D" w14:textId="77777777" w:rsidR="007D7EEA" w:rsidRPr="00952E7F" w:rsidRDefault="007D7EEA">
      <w:pPr>
        <w:spacing w:after="0" w:line="240" w:lineRule="auto"/>
        <w:ind w:firstLine="720"/>
        <w:jc w:val="both"/>
        <w:rPr>
          <w:rFonts w:ascii="Arial" w:eastAsia="MS Mincho" w:hAnsi="Arial"/>
          <w:sz w:val="20"/>
        </w:rPr>
      </w:pPr>
    </w:p>
    <w:p w14:paraId="3F86ECF3" w14:textId="1D2E4BCF"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 xml:space="preserve">Review of the PE account and comparison made between the RPCPPE and the book balances as at December 31, 2022 disclosed a variance of P7.864 million.  The details of the variances are presented in Table </w:t>
      </w:r>
      <w:r w:rsidR="00E4192B" w:rsidRPr="00200B96">
        <w:rPr>
          <w:rFonts w:ascii="Arial" w:eastAsia="MS Mincho" w:hAnsi="Arial"/>
          <w:sz w:val="22"/>
          <w:szCs w:val="22"/>
        </w:rPr>
        <w:t>9</w:t>
      </w:r>
      <w:r w:rsidRPr="00200B96">
        <w:rPr>
          <w:rFonts w:ascii="Arial" w:eastAsia="MS Mincho" w:hAnsi="Arial"/>
          <w:sz w:val="22"/>
          <w:szCs w:val="22"/>
        </w:rPr>
        <w:t xml:space="preserve">.1.  </w:t>
      </w:r>
    </w:p>
    <w:p w14:paraId="363D0D01" w14:textId="77777777" w:rsidR="007D7EEA" w:rsidRPr="00952E7F" w:rsidRDefault="007D7EEA">
      <w:pPr>
        <w:pStyle w:val="ListParagraph"/>
        <w:ind w:left="1276"/>
        <w:jc w:val="both"/>
        <w:rPr>
          <w:rFonts w:ascii="Arial" w:eastAsia="MS Mincho" w:hAnsi="Arial"/>
          <w:sz w:val="20"/>
          <w:szCs w:val="22"/>
        </w:rPr>
      </w:pPr>
    </w:p>
    <w:p w14:paraId="5F28BA53" w14:textId="0F84F4D5" w:rsidR="007D7EEA" w:rsidRPr="00200B96" w:rsidRDefault="00DD2A4D">
      <w:pPr>
        <w:pStyle w:val="ListParagraph"/>
        <w:ind w:left="1170"/>
        <w:jc w:val="center"/>
        <w:rPr>
          <w:rFonts w:ascii="Arial" w:hAnsi="Arial" w:cs="Arial"/>
          <w:b/>
          <w:sz w:val="22"/>
          <w:szCs w:val="22"/>
        </w:rPr>
      </w:pPr>
      <w:r w:rsidRPr="00200B96">
        <w:rPr>
          <w:rFonts w:ascii="Arial" w:hAnsi="Arial" w:cs="Arial"/>
          <w:b/>
          <w:sz w:val="22"/>
          <w:szCs w:val="22"/>
        </w:rPr>
        <w:t xml:space="preserve">Table </w:t>
      </w:r>
      <w:r w:rsidR="00E4192B" w:rsidRPr="00200B96">
        <w:rPr>
          <w:rFonts w:ascii="Arial" w:hAnsi="Arial" w:cs="Arial"/>
          <w:b/>
          <w:sz w:val="22"/>
          <w:szCs w:val="22"/>
        </w:rPr>
        <w:t>9</w:t>
      </w:r>
      <w:r w:rsidRPr="00200B96">
        <w:rPr>
          <w:rFonts w:ascii="Arial" w:hAnsi="Arial" w:cs="Arial"/>
          <w:b/>
          <w:sz w:val="22"/>
          <w:szCs w:val="22"/>
        </w:rPr>
        <w:t>.1 – Total Variance between the RPCPPE and</w:t>
      </w:r>
    </w:p>
    <w:p w14:paraId="3880EFA0" w14:textId="77777777" w:rsidR="007D7EEA" w:rsidRPr="00200B96" w:rsidRDefault="00DD2A4D">
      <w:pPr>
        <w:pStyle w:val="ListParagraph"/>
        <w:ind w:left="1170"/>
        <w:jc w:val="center"/>
        <w:rPr>
          <w:rFonts w:ascii="Arial" w:hAnsi="Arial" w:cs="Arial"/>
          <w:b/>
          <w:sz w:val="22"/>
          <w:szCs w:val="22"/>
        </w:rPr>
      </w:pPr>
      <w:r w:rsidRPr="00200B96">
        <w:rPr>
          <w:rFonts w:ascii="Arial" w:hAnsi="Arial" w:cs="Arial"/>
          <w:b/>
          <w:sz w:val="22"/>
          <w:szCs w:val="22"/>
        </w:rPr>
        <w:t>GL sub-account balances of PE account</w:t>
      </w:r>
    </w:p>
    <w:p w14:paraId="45758F10" w14:textId="77777777" w:rsidR="007D7EEA" w:rsidRPr="00200B96" w:rsidRDefault="00DD2A4D">
      <w:pPr>
        <w:pStyle w:val="ListParagraph"/>
        <w:ind w:left="1170"/>
        <w:jc w:val="center"/>
        <w:rPr>
          <w:rFonts w:ascii="Arial" w:hAnsi="Arial" w:cs="Arial"/>
          <w:b/>
          <w:sz w:val="22"/>
          <w:szCs w:val="22"/>
        </w:rPr>
      </w:pPr>
      <w:r w:rsidRPr="00200B96">
        <w:rPr>
          <w:rFonts w:ascii="Arial" w:hAnsi="Arial" w:cs="Arial"/>
          <w:b/>
          <w:sz w:val="22"/>
          <w:szCs w:val="22"/>
        </w:rPr>
        <w:t>As at December 31, 2022</w:t>
      </w:r>
    </w:p>
    <w:p w14:paraId="49FE2CA8" w14:textId="77777777" w:rsidR="007D7EEA" w:rsidRPr="00952E7F" w:rsidRDefault="007D7EEA">
      <w:pPr>
        <w:pStyle w:val="ListParagraph"/>
        <w:jc w:val="center"/>
        <w:rPr>
          <w:rFonts w:ascii="Arial" w:hAnsi="Arial" w:cs="Arial"/>
          <w:b/>
          <w:sz w:val="20"/>
          <w:szCs w:val="22"/>
        </w:rPr>
      </w:pPr>
    </w:p>
    <w:tbl>
      <w:tblPr>
        <w:tblW w:w="7470" w:type="dxa"/>
        <w:tblInd w:w="1170" w:type="dxa"/>
        <w:tblLayout w:type="fixed"/>
        <w:tblLook w:val="04A0" w:firstRow="1" w:lastRow="0" w:firstColumn="1" w:lastColumn="0" w:noHBand="0" w:noVBand="1"/>
      </w:tblPr>
      <w:tblGrid>
        <w:gridCol w:w="3150"/>
        <w:gridCol w:w="1440"/>
        <w:gridCol w:w="1530"/>
        <w:gridCol w:w="1350"/>
      </w:tblGrid>
      <w:tr w:rsidR="007D7EEA" w14:paraId="3F70952C" w14:textId="77777777">
        <w:trPr>
          <w:trHeight w:val="20"/>
          <w:tblHeader/>
        </w:trPr>
        <w:tc>
          <w:tcPr>
            <w:tcW w:w="3150" w:type="dxa"/>
            <w:tcBorders>
              <w:top w:val="single" w:sz="8" w:space="0" w:color="auto"/>
              <w:left w:val="nil"/>
              <w:bottom w:val="single" w:sz="8" w:space="0" w:color="auto"/>
              <w:right w:val="nil"/>
            </w:tcBorders>
            <w:vAlign w:val="center"/>
          </w:tcPr>
          <w:p w14:paraId="37040CB0" w14:textId="77777777" w:rsidR="007D7EEA" w:rsidRDefault="00DD2A4D">
            <w:pPr>
              <w:spacing w:after="0" w:line="240" w:lineRule="auto"/>
              <w:jc w:val="center"/>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val="en-PH" w:eastAsia="en-PH"/>
              </w:rPr>
              <w:t>Account Title</w:t>
            </w:r>
          </w:p>
        </w:tc>
        <w:tc>
          <w:tcPr>
            <w:tcW w:w="1440" w:type="dxa"/>
            <w:tcBorders>
              <w:top w:val="single" w:sz="8" w:space="0" w:color="auto"/>
              <w:left w:val="nil"/>
              <w:bottom w:val="single" w:sz="8" w:space="0" w:color="auto"/>
              <w:right w:val="nil"/>
            </w:tcBorders>
            <w:shd w:val="clear" w:color="auto" w:fill="auto"/>
            <w:vAlign w:val="center"/>
          </w:tcPr>
          <w:p w14:paraId="316785BE" w14:textId="77777777" w:rsidR="007D7EEA" w:rsidRDefault="00DD2A4D">
            <w:pPr>
              <w:spacing w:after="0" w:line="240" w:lineRule="auto"/>
              <w:jc w:val="center"/>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GL</w:t>
            </w:r>
          </w:p>
        </w:tc>
        <w:tc>
          <w:tcPr>
            <w:tcW w:w="1530" w:type="dxa"/>
            <w:tcBorders>
              <w:top w:val="single" w:sz="8" w:space="0" w:color="auto"/>
              <w:left w:val="nil"/>
              <w:bottom w:val="single" w:sz="8" w:space="0" w:color="auto"/>
              <w:right w:val="nil"/>
            </w:tcBorders>
            <w:shd w:val="clear" w:color="auto" w:fill="auto"/>
            <w:vAlign w:val="center"/>
          </w:tcPr>
          <w:p w14:paraId="6B82A0A3" w14:textId="77777777" w:rsidR="007D7EEA" w:rsidRDefault="00DD2A4D">
            <w:pPr>
              <w:spacing w:after="0" w:line="240" w:lineRule="auto"/>
              <w:jc w:val="center"/>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RPCPPE</w:t>
            </w:r>
          </w:p>
        </w:tc>
        <w:tc>
          <w:tcPr>
            <w:tcW w:w="1350" w:type="dxa"/>
            <w:tcBorders>
              <w:top w:val="single" w:sz="8" w:space="0" w:color="auto"/>
              <w:left w:val="nil"/>
              <w:bottom w:val="single" w:sz="8" w:space="0" w:color="auto"/>
              <w:right w:val="nil"/>
            </w:tcBorders>
            <w:shd w:val="clear" w:color="auto" w:fill="auto"/>
            <w:vAlign w:val="center"/>
          </w:tcPr>
          <w:p w14:paraId="0D598C85" w14:textId="77777777" w:rsidR="007D7EEA" w:rsidRDefault="00DD2A4D">
            <w:pPr>
              <w:spacing w:after="0" w:line="240" w:lineRule="auto"/>
              <w:jc w:val="center"/>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Variance*</w:t>
            </w:r>
          </w:p>
        </w:tc>
      </w:tr>
      <w:tr w:rsidR="007D7EEA" w14:paraId="7C7D08BF" w14:textId="77777777">
        <w:trPr>
          <w:trHeight w:val="20"/>
        </w:trPr>
        <w:tc>
          <w:tcPr>
            <w:tcW w:w="3150" w:type="dxa"/>
            <w:tcBorders>
              <w:top w:val="single" w:sz="8" w:space="0" w:color="auto"/>
              <w:left w:val="nil"/>
              <w:bottom w:val="nil"/>
              <w:right w:val="nil"/>
            </w:tcBorders>
            <w:shd w:val="clear" w:color="auto" w:fill="auto"/>
            <w:vAlign w:val="center"/>
          </w:tcPr>
          <w:p w14:paraId="5D177E11"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Office machineries and equipment</w:t>
            </w:r>
          </w:p>
        </w:tc>
        <w:tc>
          <w:tcPr>
            <w:tcW w:w="1440" w:type="dxa"/>
            <w:tcBorders>
              <w:top w:val="single" w:sz="8" w:space="0" w:color="auto"/>
              <w:left w:val="nil"/>
              <w:bottom w:val="nil"/>
              <w:right w:val="nil"/>
            </w:tcBorders>
            <w:shd w:val="clear" w:color="auto" w:fill="auto"/>
            <w:vAlign w:val="bottom"/>
          </w:tcPr>
          <w:p w14:paraId="694C3E25" w14:textId="77777777" w:rsidR="007D7EEA" w:rsidRDefault="00DD2A4D">
            <w:pPr>
              <w:spacing w:after="0" w:line="240" w:lineRule="auto"/>
              <w:ind w:left="-114"/>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P   89,042,329  </w:t>
            </w:r>
          </w:p>
        </w:tc>
        <w:tc>
          <w:tcPr>
            <w:tcW w:w="1530" w:type="dxa"/>
            <w:tcBorders>
              <w:top w:val="single" w:sz="8" w:space="0" w:color="auto"/>
              <w:left w:val="nil"/>
              <w:bottom w:val="nil"/>
              <w:right w:val="nil"/>
            </w:tcBorders>
            <w:shd w:val="clear" w:color="auto" w:fill="auto"/>
            <w:vAlign w:val="bottom"/>
          </w:tcPr>
          <w:p w14:paraId="2CF907D4"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P  87,765,901 </w:t>
            </w:r>
          </w:p>
        </w:tc>
        <w:tc>
          <w:tcPr>
            <w:tcW w:w="1350" w:type="dxa"/>
            <w:tcBorders>
              <w:top w:val="single" w:sz="8" w:space="0" w:color="auto"/>
              <w:left w:val="nil"/>
              <w:bottom w:val="nil"/>
              <w:right w:val="nil"/>
            </w:tcBorders>
            <w:shd w:val="clear" w:color="auto" w:fill="auto"/>
            <w:vAlign w:val="bottom"/>
          </w:tcPr>
          <w:p w14:paraId="68AE298E"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P 1,276,428 </w:t>
            </w:r>
          </w:p>
        </w:tc>
      </w:tr>
      <w:tr w:rsidR="007D7EEA" w14:paraId="40975E38" w14:textId="77777777">
        <w:trPr>
          <w:trHeight w:val="20"/>
        </w:trPr>
        <w:tc>
          <w:tcPr>
            <w:tcW w:w="3150" w:type="dxa"/>
            <w:tcBorders>
              <w:top w:val="nil"/>
              <w:left w:val="nil"/>
              <w:bottom w:val="nil"/>
              <w:right w:val="nil"/>
            </w:tcBorders>
            <w:shd w:val="clear" w:color="auto" w:fill="auto"/>
            <w:vAlign w:val="center"/>
          </w:tcPr>
          <w:p w14:paraId="63C57142"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Buildings/structures</w:t>
            </w:r>
          </w:p>
        </w:tc>
        <w:tc>
          <w:tcPr>
            <w:tcW w:w="1440" w:type="dxa"/>
            <w:tcBorders>
              <w:top w:val="nil"/>
              <w:left w:val="nil"/>
              <w:bottom w:val="nil"/>
              <w:right w:val="nil"/>
            </w:tcBorders>
            <w:shd w:val="clear" w:color="auto" w:fill="auto"/>
            <w:vAlign w:val="bottom"/>
          </w:tcPr>
          <w:p w14:paraId="2896E425"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89,739,305 </w:t>
            </w:r>
          </w:p>
        </w:tc>
        <w:tc>
          <w:tcPr>
            <w:tcW w:w="1530" w:type="dxa"/>
            <w:tcBorders>
              <w:top w:val="nil"/>
              <w:left w:val="nil"/>
              <w:bottom w:val="nil"/>
              <w:right w:val="nil"/>
            </w:tcBorders>
            <w:shd w:val="clear" w:color="auto" w:fill="auto"/>
            <w:vAlign w:val="bottom"/>
          </w:tcPr>
          <w:p w14:paraId="3FBB19E3"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91,429,579 </w:t>
            </w:r>
          </w:p>
        </w:tc>
        <w:tc>
          <w:tcPr>
            <w:tcW w:w="1350" w:type="dxa"/>
            <w:tcBorders>
              <w:top w:val="nil"/>
              <w:left w:val="nil"/>
              <w:bottom w:val="nil"/>
              <w:right w:val="nil"/>
            </w:tcBorders>
            <w:shd w:val="clear" w:color="auto" w:fill="auto"/>
            <w:vAlign w:val="bottom"/>
          </w:tcPr>
          <w:p w14:paraId="07DCE705"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1,690,274</w:t>
            </w:r>
          </w:p>
        </w:tc>
      </w:tr>
      <w:tr w:rsidR="00892A58" w:rsidRPr="00892A58" w14:paraId="47DF5B52" w14:textId="77777777">
        <w:trPr>
          <w:trHeight w:val="20"/>
        </w:trPr>
        <w:tc>
          <w:tcPr>
            <w:tcW w:w="3150" w:type="dxa"/>
            <w:tcBorders>
              <w:top w:val="nil"/>
              <w:left w:val="nil"/>
              <w:bottom w:val="nil"/>
              <w:right w:val="nil"/>
            </w:tcBorders>
            <w:shd w:val="clear" w:color="auto" w:fill="auto"/>
            <w:vAlign w:val="center"/>
          </w:tcPr>
          <w:p w14:paraId="70B51475" w14:textId="4D10DF94" w:rsidR="00892A58" w:rsidRPr="00892A58" w:rsidRDefault="00BE327A">
            <w:pPr>
              <w:spacing w:after="0" w:line="240" w:lineRule="auto"/>
              <w:rPr>
                <w:rFonts w:ascii="Arial" w:eastAsia="Times New Roman" w:hAnsi="Arial" w:cs="Arial"/>
                <w:i/>
                <w:color w:val="000000"/>
                <w:sz w:val="16"/>
                <w:szCs w:val="19"/>
                <w:lang w:eastAsia="en-PH"/>
              </w:rPr>
            </w:pPr>
            <w:r>
              <w:rPr>
                <w:rFonts w:ascii="Arial" w:eastAsia="Times New Roman" w:hAnsi="Arial" w:cs="Arial"/>
                <w:i/>
                <w:color w:val="000000"/>
                <w:sz w:val="16"/>
                <w:szCs w:val="19"/>
                <w:lang w:eastAsia="en-PH"/>
              </w:rPr>
              <w:t>(</w:t>
            </w:r>
            <w:r w:rsidR="00892A58" w:rsidRPr="00892A58">
              <w:rPr>
                <w:rFonts w:ascii="Arial" w:eastAsia="Times New Roman" w:hAnsi="Arial" w:cs="Arial"/>
                <w:i/>
                <w:color w:val="000000"/>
                <w:sz w:val="16"/>
                <w:szCs w:val="19"/>
                <w:lang w:eastAsia="en-PH"/>
              </w:rPr>
              <w:t>Forward</w:t>
            </w:r>
            <w:r>
              <w:rPr>
                <w:rFonts w:ascii="Arial" w:eastAsia="Times New Roman" w:hAnsi="Arial" w:cs="Arial"/>
                <w:i/>
                <w:color w:val="000000"/>
                <w:sz w:val="16"/>
                <w:szCs w:val="19"/>
                <w:lang w:eastAsia="en-PH"/>
              </w:rPr>
              <w:t>)</w:t>
            </w:r>
          </w:p>
        </w:tc>
        <w:tc>
          <w:tcPr>
            <w:tcW w:w="1440" w:type="dxa"/>
            <w:tcBorders>
              <w:top w:val="nil"/>
              <w:left w:val="nil"/>
              <w:bottom w:val="nil"/>
              <w:right w:val="nil"/>
            </w:tcBorders>
            <w:shd w:val="clear" w:color="auto" w:fill="auto"/>
            <w:vAlign w:val="bottom"/>
          </w:tcPr>
          <w:p w14:paraId="6DDECFC7" w14:textId="77777777" w:rsidR="00892A58" w:rsidRPr="00892A58" w:rsidRDefault="00892A58">
            <w:pPr>
              <w:spacing w:after="0" w:line="240" w:lineRule="auto"/>
              <w:jc w:val="right"/>
              <w:rPr>
                <w:rFonts w:ascii="Arial" w:eastAsia="Times New Roman" w:hAnsi="Arial" w:cs="Arial"/>
                <w:i/>
                <w:color w:val="000000"/>
                <w:sz w:val="16"/>
                <w:szCs w:val="19"/>
                <w:lang w:eastAsia="en-PH"/>
              </w:rPr>
            </w:pPr>
          </w:p>
        </w:tc>
        <w:tc>
          <w:tcPr>
            <w:tcW w:w="1530" w:type="dxa"/>
            <w:tcBorders>
              <w:top w:val="nil"/>
              <w:left w:val="nil"/>
              <w:bottom w:val="nil"/>
              <w:right w:val="nil"/>
            </w:tcBorders>
            <w:shd w:val="clear" w:color="auto" w:fill="auto"/>
            <w:vAlign w:val="bottom"/>
          </w:tcPr>
          <w:p w14:paraId="17D5E820" w14:textId="77777777" w:rsidR="00892A58" w:rsidRPr="00892A58" w:rsidRDefault="00892A58">
            <w:pPr>
              <w:spacing w:after="0" w:line="240" w:lineRule="auto"/>
              <w:jc w:val="right"/>
              <w:rPr>
                <w:rFonts w:ascii="Arial" w:eastAsia="Times New Roman" w:hAnsi="Arial" w:cs="Arial"/>
                <w:i/>
                <w:color w:val="000000"/>
                <w:sz w:val="16"/>
                <w:szCs w:val="19"/>
                <w:lang w:eastAsia="en-PH"/>
              </w:rPr>
            </w:pPr>
          </w:p>
        </w:tc>
        <w:tc>
          <w:tcPr>
            <w:tcW w:w="1350" w:type="dxa"/>
            <w:tcBorders>
              <w:top w:val="nil"/>
              <w:left w:val="nil"/>
              <w:bottom w:val="nil"/>
              <w:right w:val="nil"/>
            </w:tcBorders>
            <w:shd w:val="clear" w:color="auto" w:fill="auto"/>
            <w:vAlign w:val="bottom"/>
          </w:tcPr>
          <w:p w14:paraId="0436DD95" w14:textId="77777777" w:rsidR="00892A58" w:rsidRPr="00892A58" w:rsidRDefault="00892A58">
            <w:pPr>
              <w:spacing w:after="0" w:line="240" w:lineRule="auto"/>
              <w:jc w:val="right"/>
              <w:rPr>
                <w:rFonts w:ascii="Arial" w:eastAsia="Times New Roman" w:hAnsi="Arial" w:cs="Arial"/>
                <w:i/>
                <w:color w:val="000000"/>
                <w:sz w:val="16"/>
                <w:szCs w:val="19"/>
                <w:lang w:eastAsia="en-PH"/>
              </w:rPr>
            </w:pPr>
          </w:p>
        </w:tc>
      </w:tr>
      <w:tr w:rsidR="007D7EEA" w14:paraId="2C511189" w14:textId="77777777">
        <w:trPr>
          <w:trHeight w:val="20"/>
        </w:trPr>
        <w:tc>
          <w:tcPr>
            <w:tcW w:w="3150" w:type="dxa"/>
            <w:tcBorders>
              <w:top w:val="nil"/>
              <w:left w:val="nil"/>
              <w:right w:val="nil"/>
            </w:tcBorders>
            <w:shd w:val="clear" w:color="auto" w:fill="auto"/>
            <w:vAlign w:val="center"/>
          </w:tcPr>
          <w:p w14:paraId="0A06550D"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lastRenderedPageBreak/>
              <w:t>Office furniture and fixtures</w:t>
            </w:r>
          </w:p>
        </w:tc>
        <w:tc>
          <w:tcPr>
            <w:tcW w:w="1440" w:type="dxa"/>
            <w:tcBorders>
              <w:top w:val="nil"/>
              <w:left w:val="nil"/>
              <w:right w:val="nil"/>
            </w:tcBorders>
            <w:shd w:val="clear" w:color="auto" w:fill="auto"/>
            <w:vAlign w:val="bottom"/>
          </w:tcPr>
          <w:p w14:paraId="2FF98ADF"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5,313,516 </w:t>
            </w:r>
          </w:p>
        </w:tc>
        <w:tc>
          <w:tcPr>
            <w:tcW w:w="1530" w:type="dxa"/>
            <w:tcBorders>
              <w:top w:val="nil"/>
              <w:left w:val="nil"/>
              <w:right w:val="nil"/>
            </w:tcBorders>
            <w:shd w:val="clear" w:color="auto" w:fill="auto"/>
            <w:vAlign w:val="bottom"/>
          </w:tcPr>
          <w:p w14:paraId="13515ADE"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8,213,502 </w:t>
            </w:r>
          </w:p>
        </w:tc>
        <w:tc>
          <w:tcPr>
            <w:tcW w:w="1350" w:type="dxa"/>
            <w:tcBorders>
              <w:top w:val="nil"/>
              <w:left w:val="nil"/>
              <w:right w:val="nil"/>
            </w:tcBorders>
            <w:shd w:val="clear" w:color="auto" w:fill="auto"/>
            <w:vAlign w:val="bottom"/>
          </w:tcPr>
          <w:p w14:paraId="33179F8F"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 xml:space="preserve">    2,899,986</w:t>
            </w:r>
          </w:p>
        </w:tc>
      </w:tr>
      <w:tr w:rsidR="007D7EEA" w14:paraId="7B8ECF97" w14:textId="77777777">
        <w:trPr>
          <w:trHeight w:val="20"/>
        </w:trPr>
        <w:tc>
          <w:tcPr>
            <w:tcW w:w="3150" w:type="dxa"/>
            <w:tcBorders>
              <w:top w:val="nil"/>
              <w:left w:val="nil"/>
              <w:bottom w:val="single" w:sz="8" w:space="0" w:color="auto"/>
              <w:right w:val="nil"/>
            </w:tcBorders>
            <w:shd w:val="clear" w:color="auto" w:fill="auto"/>
            <w:vAlign w:val="bottom"/>
          </w:tcPr>
          <w:p w14:paraId="3D1A6D6A"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Transportation/motor vehicles</w:t>
            </w:r>
          </w:p>
        </w:tc>
        <w:tc>
          <w:tcPr>
            <w:tcW w:w="1440" w:type="dxa"/>
            <w:tcBorders>
              <w:top w:val="nil"/>
              <w:left w:val="nil"/>
              <w:bottom w:val="single" w:sz="8" w:space="0" w:color="auto"/>
              <w:right w:val="nil"/>
            </w:tcBorders>
            <w:shd w:val="clear" w:color="auto" w:fill="auto"/>
            <w:vAlign w:val="bottom"/>
          </w:tcPr>
          <w:p w14:paraId="39E461A3"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7,577,198</w:t>
            </w:r>
          </w:p>
        </w:tc>
        <w:tc>
          <w:tcPr>
            <w:tcW w:w="1530" w:type="dxa"/>
            <w:tcBorders>
              <w:top w:val="nil"/>
              <w:left w:val="nil"/>
              <w:bottom w:val="single" w:sz="8" w:space="0" w:color="auto"/>
              <w:right w:val="nil"/>
            </w:tcBorders>
            <w:shd w:val="clear" w:color="auto" w:fill="auto"/>
            <w:vAlign w:val="bottom"/>
          </w:tcPr>
          <w:p w14:paraId="098273CC"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5,579,500</w:t>
            </w:r>
          </w:p>
        </w:tc>
        <w:tc>
          <w:tcPr>
            <w:tcW w:w="1350" w:type="dxa"/>
            <w:tcBorders>
              <w:top w:val="nil"/>
              <w:left w:val="nil"/>
              <w:bottom w:val="single" w:sz="8" w:space="0" w:color="auto"/>
              <w:right w:val="nil"/>
            </w:tcBorders>
            <w:shd w:val="clear" w:color="auto" w:fill="auto"/>
            <w:vAlign w:val="bottom"/>
          </w:tcPr>
          <w:p w14:paraId="6CA11AD2"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1,997,698</w:t>
            </w:r>
          </w:p>
        </w:tc>
      </w:tr>
      <w:tr w:rsidR="007D7EEA" w14:paraId="10681086" w14:textId="77777777">
        <w:trPr>
          <w:trHeight w:val="267"/>
        </w:trPr>
        <w:tc>
          <w:tcPr>
            <w:tcW w:w="3150" w:type="dxa"/>
            <w:tcBorders>
              <w:top w:val="single" w:sz="8" w:space="0" w:color="auto"/>
              <w:left w:val="nil"/>
              <w:bottom w:val="double" w:sz="6" w:space="0" w:color="auto"/>
              <w:right w:val="nil"/>
            </w:tcBorders>
            <w:shd w:val="clear" w:color="auto" w:fill="auto"/>
            <w:vAlign w:val="center"/>
          </w:tcPr>
          <w:p w14:paraId="30BEC3E0" w14:textId="77777777" w:rsidR="007D7EEA" w:rsidRDefault="00DD2A4D">
            <w:pPr>
              <w:spacing w:after="0" w:line="240" w:lineRule="auto"/>
              <w:rPr>
                <w:rFonts w:ascii="Arial" w:eastAsia="Times New Roman" w:hAnsi="Arial" w:cs="Arial"/>
                <w:b/>
                <w:color w:val="000000"/>
                <w:sz w:val="19"/>
                <w:szCs w:val="19"/>
                <w:lang w:val="en-PH" w:eastAsia="en-PH"/>
              </w:rPr>
            </w:pPr>
            <w:r>
              <w:rPr>
                <w:rFonts w:ascii="Arial" w:eastAsia="Times New Roman" w:hAnsi="Arial" w:cs="Arial"/>
                <w:b/>
                <w:color w:val="000000"/>
                <w:sz w:val="19"/>
                <w:szCs w:val="19"/>
                <w:lang w:val="en-PH" w:eastAsia="en-PH"/>
              </w:rPr>
              <w:t>Total</w:t>
            </w:r>
          </w:p>
        </w:tc>
        <w:tc>
          <w:tcPr>
            <w:tcW w:w="1440" w:type="dxa"/>
            <w:tcBorders>
              <w:top w:val="single" w:sz="8" w:space="0" w:color="auto"/>
              <w:left w:val="nil"/>
              <w:bottom w:val="double" w:sz="6" w:space="0" w:color="auto"/>
              <w:right w:val="nil"/>
            </w:tcBorders>
            <w:shd w:val="clear" w:color="auto" w:fill="auto"/>
            <w:vAlign w:val="center"/>
          </w:tcPr>
          <w:p w14:paraId="216D3122" w14:textId="77777777" w:rsidR="007D7EEA" w:rsidRDefault="00DD2A4D">
            <w:pPr>
              <w:spacing w:after="0" w:line="240" w:lineRule="auto"/>
              <w:ind w:left="-114"/>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191,672,348</w:t>
            </w:r>
          </w:p>
        </w:tc>
        <w:tc>
          <w:tcPr>
            <w:tcW w:w="1530" w:type="dxa"/>
            <w:tcBorders>
              <w:top w:val="single" w:sz="8" w:space="0" w:color="auto"/>
              <w:left w:val="nil"/>
              <w:bottom w:val="double" w:sz="6" w:space="0" w:color="auto"/>
              <w:right w:val="nil"/>
            </w:tcBorders>
            <w:shd w:val="clear" w:color="auto" w:fill="auto"/>
            <w:vAlign w:val="center"/>
          </w:tcPr>
          <w:p w14:paraId="7502A723" w14:textId="77777777" w:rsidR="007D7EEA" w:rsidRDefault="00DD2A4D">
            <w:pPr>
              <w:spacing w:after="0" w:line="240" w:lineRule="auto"/>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192,988,482</w:t>
            </w:r>
          </w:p>
        </w:tc>
        <w:tc>
          <w:tcPr>
            <w:tcW w:w="1350" w:type="dxa"/>
            <w:tcBorders>
              <w:top w:val="single" w:sz="8" w:space="0" w:color="auto"/>
              <w:left w:val="nil"/>
              <w:bottom w:val="double" w:sz="6" w:space="0" w:color="auto"/>
              <w:right w:val="nil"/>
            </w:tcBorders>
            <w:shd w:val="clear" w:color="auto" w:fill="auto"/>
            <w:vAlign w:val="center"/>
          </w:tcPr>
          <w:p w14:paraId="01D2D5FE" w14:textId="77777777" w:rsidR="007D7EEA" w:rsidRDefault="00DD2A4D">
            <w:pPr>
              <w:spacing w:after="0" w:line="240" w:lineRule="auto"/>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7,864,386</w:t>
            </w:r>
          </w:p>
        </w:tc>
      </w:tr>
    </w:tbl>
    <w:p w14:paraId="034E8E59" w14:textId="77777777" w:rsidR="007D7EEA" w:rsidRDefault="00DD2A4D" w:rsidP="00200B96">
      <w:pPr>
        <w:spacing w:after="0"/>
        <w:ind w:left="1260"/>
        <w:jc w:val="both"/>
        <w:rPr>
          <w:rFonts w:ascii="Arial" w:eastAsia="MS Mincho" w:hAnsi="Arial"/>
          <w:i/>
          <w:iCs/>
          <w:sz w:val="16"/>
          <w:szCs w:val="16"/>
        </w:rPr>
      </w:pPr>
      <w:r>
        <w:rPr>
          <w:rFonts w:ascii="Arial" w:eastAsia="MS Mincho" w:hAnsi="Arial"/>
          <w:i/>
          <w:iCs/>
          <w:sz w:val="16"/>
          <w:szCs w:val="16"/>
        </w:rPr>
        <w:t>*Presented in absolute amount.</w:t>
      </w:r>
    </w:p>
    <w:p w14:paraId="4D4D44DC" w14:textId="77777777" w:rsidR="00A8626C" w:rsidRDefault="00A8626C" w:rsidP="00200B96">
      <w:pPr>
        <w:spacing w:after="0"/>
        <w:ind w:left="1260"/>
        <w:jc w:val="both"/>
        <w:rPr>
          <w:rFonts w:ascii="Arial" w:eastAsia="MS Mincho" w:hAnsi="Arial"/>
          <w:i/>
          <w:iCs/>
          <w:sz w:val="16"/>
          <w:szCs w:val="16"/>
        </w:rPr>
      </w:pPr>
    </w:p>
    <w:p w14:paraId="77B79025" w14:textId="62D4F391" w:rsidR="007D7EEA"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Management mentioned that one of the reasons for the discrepancies noted pertains to disposals of unserviceable properties</w:t>
      </w:r>
      <w:r w:rsidRPr="00200B96">
        <w:rPr>
          <w:sz w:val="22"/>
          <w:szCs w:val="22"/>
        </w:rPr>
        <w:t xml:space="preserve"> </w:t>
      </w:r>
      <w:r w:rsidRPr="00200B96">
        <w:rPr>
          <w:rFonts w:ascii="Arial" w:eastAsia="MS Mincho" w:hAnsi="Arial"/>
          <w:sz w:val="22"/>
          <w:szCs w:val="22"/>
        </w:rPr>
        <w:t xml:space="preserve">in the PYs that were not properly dropped in the books and the use of the salvage value of P10 in various items in the Office machineries and equipment.  During </w:t>
      </w:r>
      <w:r w:rsidR="00810A03" w:rsidRPr="00200B96">
        <w:rPr>
          <w:rFonts w:ascii="Arial" w:eastAsia="MS Mincho" w:hAnsi="Arial"/>
          <w:sz w:val="22"/>
          <w:szCs w:val="22"/>
        </w:rPr>
        <w:t>the year</w:t>
      </w:r>
      <w:r w:rsidRPr="00200B96">
        <w:rPr>
          <w:rFonts w:ascii="Arial" w:eastAsia="MS Mincho" w:hAnsi="Arial"/>
          <w:sz w:val="22"/>
          <w:szCs w:val="22"/>
        </w:rPr>
        <w:t xml:space="preserve">, the Management was able to reconcile a significant portion of the variance that the Audit Team noted in the PYs.  However, there is still a portion unreconciled while the requested copy of the reconciliation report was not yet submitted to the Audit Team to date for further verification. </w:t>
      </w:r>
    </w:p>
    <w:p w14:paraId="0D08DC97" w14:textId="77777777" w:rsidR="007947AE" w:rsidRPr="00200B96" w:rsidRDefault="007947AE" w:rsidP="007947AE">
      <w:pPr>
        <w:pStyle w:val="NormalWeb"/>
        <w:spacing w:before="0" w:beforeAutospacing="0" w:after="0" w:afterAutospacing="0"/>
        <w:ind w:left="1267"/>
        <w:jc w:val="both"/>
        <w:rPr>
          <w:rFonts w:ascii="Arial" w:eastAsia="MS Mincho" w:hAnsi="Arial"/>
          <w:sz w:val="22"/>
          <w:szCs w:val="22"/>
        </w:rPr>
      </w:pPr>
    </w:p>
    <w:p w14:paraId="24F17D42" w14:textId="77777777" w:rsidR="007D7EEA" w:rsidRPr="00200B96" w:rsidRDefault="00DD2A4D">
      <w:pPr>
        <w:spacing w:after="0" w:line="240" w:lineRule="auto"/>
        <w:ind w:left="576"/>
        <w:jc w:val="both"/>
        <w:rPr>
          <w:rFonts w:ascii="Arial" w:hAnsi="Arial" w:cs="Arial"/>
          <w:bCs/>
          <w:i/>
        </w:rPr>
      </w:pPr>
      <w:r w:rsidRPr="00200B96">
        <w:rPr>
          <w:rFonts w:ascii="Arial" w:hAnsi="Arial" w:cs="Arial"/>
          <w:bCs/>
          <w:i/>
        </w:rPr>
        <w:t xml:space="preserve">Unreconciled difference of P6.531 million between the SL and Schedule of PE </w:t>
      </w:r>
    </w:p>
    <w:p w14:paraId="5F5F108F" w14:textId="77777777" w:rsidR="007D7EEA" w:rsidRPr="00200B96" w:rsidRDefault="007D7EEA">
      <w:pPr>
        <w:pStyle w:val="ListParagraph"/>
        <w:ind w:left="0"/>
        <w:jc w:val="both"/>
        <w:rPr>
          <w:rFonts w:ascii="Arial" w:hAnsi="Arial" w:cs="Arial"/>
          <w:sz w:val="22"/>
          <w:szCs w:val="22"/>
        </w:rPr>
      </w:pPr>
    </w:p>
    <w:p w14:paraId="5D0B3802" w14:textId="590112DE"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 xml:space="preserve">The Audit Team noted that the Schedule of PE showed a total cost of P185.141 million which differed by P6.531 million from the </w:t>
      </w:r>
      <w:r w:rsidR="00062DCF" w:rsidRPr="00200B96">
        <w:rPr>
          <w:rFonts w:ascii="Arial" w:eastAsia="MS Mincho" w:hAnsi="Arial"/>
          <w:sz w:val="22"/>
          <w:szCs w:val="22"/>
        </w:rPr>
        <w:t xml:space="preserve">GL </w:t>
      </w:r>
      <w:r w:rsidRPr="00200B96">
        <w:rPr>
          <w:rFonts w:ascii="Arial" w:eastAsia="MS Mincho" w:hAnsi="Arial"/>
          <w:sz w:val="22"/>
          <w:szCs w:val="22"/>
        </w:rPr>
        <w:t xml:space="preserve">balances of P191.672 million.  The details of the discrepancies are presented in Table </w:t>
      </w:r>
      <w:r w:rsidR="00E4192B" w:rsidRPr="00200B96">
        <w:rPr>
          <w:rFonts w:ascii="Arial" w:eastAsia="MS Mincho" w:hAnsi="Arial"/>
          <w:sz w:val="22"/>
          <w:szCs w:val="22"/>
        </w:rPr>
        <w:t>9</w:t>
      </w:r>
      <w:r w:rsidRPr="00200B96">
        <w:rPr>
          <w:rFonts w:ascii="Arial" w:eastAsia="MS Mincho" w:hAnsi="Arial"/>
          <w:sz w:val="22"/>
          <w:szCs w:val="22"/>
        </w:rPr>
        <w:t>.2.</w:t>
      </w:r>
    </w:p>
    <w:p w14:paraId="12707A73" w14:textId="77777777" w:rsidR="007D7EEA" w:rsidRPr="00200B96" w:rsidRDefault="007D7EEA">
      <w:pPr>
        <w:spacing w:after="0" w:line="240" w:lineRule="auto"/>
        <w:jc w:val="both"/>
        <w:rPr>
          <w:rFonts w:ascii="Arial" w:hAnsi="Arial" w:cs="Arial"/>
        </w:rPr>
      </w:pPr>
    </w:p>
    <w:p w14:paraId="00163977" w14:textId="09690F95" w:rsidR="007D7EEA" w:rsidRPr="00200B96" w:rsidRDefault="00DD2A4D">
      <w:pPr>
        <w:spacing w:line="240" w:lineRule="auto"/>
        <w:ind w:left="1260"/>
        <w:contextualSpacing/>
        <w:jc w:val="center"/>
        <w:rPr>
          <w:rFonts w:ascii="Arial" w:hAnsi="Arial" w:cs="Arial"/>
          <w:b/>
        </w:rPr>
      </w:pPr>
      <w:r w:rsidRPr="00200B96">
        <w:rPr>
          <w:rFonts w:ascii="Arial" w:hAnsi="Arial" w:cs="Arial"/>
          <w:b/>
        </w:rPr>
        <w:t xml:space="preserve">Table </w:t>
      </w:r>
      <w:r w:rsidR="00E4192B" w:rsidRPr="00200B96">
        <w:rPr>
          <w:rFonts w:ascii="Arial" w:hAnsi="Arial" w:cs="Arial"/>
          <w:b/>
        </w:rPr>
        <w:t>9</w:t>
      </w:r>
      <w:r w:rsidRPr="00200B96">
        <w:rPr>
          <w:rFonts w:ascii="Arial" w:hAnsi="Arial" w:cs="Arial"/>
          <w:b/>
        </w:rPr>
        <w:t>.2 – Discrepancies between GL and SL balances of PE</w:t>
      </w:r>
    </w:p>
    <w:p w14:paraId="6FA739BC" w14:textId="77777777" w:rsidR="007D7EEA" w:rsidRPr="00200B96" w:rsidRDefault="00DD2A4D">
      <w:pPr>
        <w:spacing w:after="0" w:line="240" w:lineRule="auto"/>
        <w:ind w:left="1260"/>
        <w:contextualSpacing/>
        <w:jc w:val="center"/>
        <w:rPr>
          <w:rFonts w:ascii="Arial" w:hAnsi="Arial" w:cs="Arial"/>
          <w:b/>
        </w:rPr>
      </w:pPr>
      <w:r w:rsidRPr="00200B96">
        <w:rPr>
          <w:rFonts w:ascii="Arial" w:hAnsi="Arial" w:cs="Arial"/>
          <w:b/>
        </w:rPr>
        <w:t>As at December 31, 2022</w:t>
      </w:r>
    </w:p>
    <w:p w14:paraId="7D5EC147" w14:textId="77777777" w:rsidR="007D7EEA" w:rsidRPr="00200B96" w:rsidRDefault="007D7EEA">
      <w:pPr>
        <w:spacing w:after="0" w:line="240" w:lineRule="auto"/>
        <w:ind w:left="720"/>
        <w:contextualSpacing/>
        <w:jc w:val="center"/>
        <w:rPr>
          <w:rFonts w:ascii="Arial" w:hAnsi="Arial" w:cs="Arial"/>
        </w:rPr>
      </w:pPr>
    </w:p>
    <w:tbl>
      <w:tblPr>
        <w:tblW w:w="7380" w:type="dxa"/>
        <w:tblInd w:w="1260" w:type="dxa"/>
        <w:tblLayout w:type="fixed"/>
        <w:tblLook w:val="04A0" w:firstRow="1" w:lastRow="0" w:firstColumn="1" w:lastColumn="0" w:noHBand="0" w:noVBand="1"/>
      </w:tblPr>
      <w:tblGrid>
        <w:gridCol w:w="3240"/>
        <w:gridCol w:w="1440"/>
        <w:gridCol w:w="1440"/>
        <w:gridCol w:w="1260"/>
      </w:tblGrid>
      <w:tr w:rsidR="007D7EEA" w14:paraId="054E9B78" w14:textId="77777777">
        <w:trPr>
          <w:trHeight w:val="209"/>
          <w:tblHeader/>
        </w:trPr>
        <w:tc>
          <w:tcPr>
            <w:tcW w:w="3240" w:type="dxa"/>
            <w:tcBorders>
              <w:top w:val="single" w:sz="4" w:space="0" w:color="auto"/>
              <w:bottom w:val="single" w:sz="4" w:space="0" w:color="auto"/>
            </w:tcBorders>
            <w:vAlign w:val="center"/>
          </w:tcPr>
          <w:p w14:paraId="3729C27F" w14:textId="77777777" w:rsidR="007D7EEA" w:rsidRDefault="00DD2A4D">
            <w:pPr>
              <w:pStyle w:val="ListParagraph"/>
              <w:ind w:left="0"/>
              <w:jc w:val="center"/>
              <w:rPr>
                <w:rFonts w:ascii="Arial" w:hAnsi="Arial" w:cs="Arial"/>
                <w:b/>
                <w:sz w:val="20"/>
                <w:szCs w:val="20"/>
              </w:rPr>
            </w:pPr>
            <w:r>
              <w:rPr>
                <w:rFonts w:ascii="Arial" w:hAnsi="Arial" w:cs="Arial"/>
                <w:b/>
                <w:sz w:val="20"/>
                <w:szCs w:val="20"/>
              </w:rPr>
              <w:t>Account title</w:t>
            </w:r>
          </w:p>
        </w:tc>
        <w:tc>
          <w:tcPr>
            <w:tcW w:w="1440" w:type="dxa"/>
            <w:tcBorders>
              <w:top w:val="single" w:sz="4" w:space="0" w:color="auto"/>
              <w:bottom w:val="single" w:sz="4" w:space="0" w:color="auto"/>
            </w:tcBorders>
            <w:vAlign w:val="center"/>
          </w:tcPr>
          <w:p w14:paraId="581745CC" w14:textId="77777777" w:rsidR="007D7EEA" w:rsidRDefault="00DD2A4D">
            <w:pPr>
              <w:pStyle w:val="ListParagraph"/>
              <w:ind w:left="0"/>
              <w:jc w:val="center"/>
              <w:rPr>
                <w:rFonts w:ascii="Arial" w:hAnsi="Arial" w:cs="Arial"/>
                <w:b/>
                <w:sz w:val="20"/>
                <w:szCs w:val="20"/>
              </w:rPr>
            </w:pPr>
            <w:r>
              <w:rPr>
                <w:rFonts w:ascii="Arial" w:hAnsi="Arial" w:cs="Arial"/>
                <w:b/>
                <w:sz w:val="20"/>
                <w:szCs w:val="20"/>
              </w:rPr>
              <w:t>Per GL</w:t>
            </w:r>
          </w:p>
        </w:tc>
        <w:tc>
          <w:tcPr>
            <w:tcW w:w="1440" w:type="dxa"/>
            <w:tcBorders>
              <w:top w:val="single" w:sz="4" w:space="0" w:color="auto"/>
              <w:bottom w:val="single" w:sz="4" w:space="0" w:color="auto"/>
            </w:tcBorders>
            <w:vAlign w:val="center"/>
          </w:tcPr>
          <w:p w14:paraId="0FDD7DC7" w14:textId="77777777" w:rsidR="007D7EEA" w:rsidRDefault="00DD2A4D">
            <w:pPr>
              <w:pStyle w:val="ListParagraph"/>
              <w:ind w:left="0"/>
              <w:jc w:val="center"/>
              <w:rPr>
                <w:rFonts w:ascii="Arial" w:hAnsi="Arial" w:cs="Arial"/>
                <w:b/>
                <w:sz w:val="20"/>
                <w:szCs w:val="20"/>
              </w:rPr>
            </w:pPr>
            <w:r>
              <w:rPr>
                <w:rFonts w:ascii="Arial" w:hAnsi="Arial" w:cs="Arial"/>
                <w:b/>
                <w:sz w:val="20"/>
                <w:szCs w:val="20"/>
              </w:rPr>
              <w:t>Per SL</w:t>
            </w:r>
          </w:p>
        </w:tc>
        <w:tc>
          <w:tcPr>
            <w:tcW w:w="1260" w:type="dxa"/>
            <w:tcBorders>
              <w:top w:val="single" w:sz="4" w:space="0" w:color="auto"/>
              <w:bottom w:val="single" w:sz="4" w:space="0" w:color="auto"/>
            </w:tcBorders>
            <w:vAlign w:val="center"/>
          </w:tcPr>
          <w:p w14:paraId="3F2EE687" w14:textId="77777777" w:rsidR="007D7EEA" w:rsidRDefault="00DD2A4D">
            <w:pPr>
              <w:pStyle w:val="ListParagraph"/>
              <w:ind w:left="0"/>
              <w:jc w:val="center"/>
              <w:rPr>
                <w:rFonts w:ascii="Arial" w:hAnsi="Arial" w:cs="Arial"/>
                <w:b/>
                <w:sz w:val="20"/>
                <w:szCs w:val="20"/>
              </w:rPr>
            </w:pPr>
            <w:r>
              <w:rPr>
                <w:rFonts w:ascii="Arial" w:hAnsi="Arial" w:cs="Arial"/>
                <w:b/>
                <w:sz w:val="20"/>
                <w:szCs w:val="20"/>
              </w:rPr>
              <w:t>Difference</w:t>
            </w:r>
          </w:p>
        </w:tc>
      </w:tr>
      <w:tr w:rsidR="007D7EEA" w14:paraId="1ED6D87F" w14:textId="77777777">
        <w:trPr>
          <w:trHeight w:val="144"/>
        </w:trPr>
        <w:tc>
          <w:tcPr>
            <w:tcW w:w="3240" w:type="dxa"/>
            <w:tcBorders>
              <w:top w:val="single" w:sz="4" w:space="0" w:color="auto"/>
            </w:tcBorders>
            <w:vAlign w:val="center"/>
          </w:tcPr>
          <w:p w14:paraId="33AEF694" w14:textId="77777777" w:rsidR="007D7EEA" w:rsidRDefault="00DD2A4D">
            <w:pPr>
              <w:pStyle w:val="ListParagraph"/>
              <w:ind w:left="135" w:right="-108" w:hanging="135"/>
              <w:rPr>
                <w:rFonts w:ascii="Arial" w:hAnsi="Arial" w:cs="Arial"/>
                <w:sz w:val="20"/>
                <w:szCs w:val="20"/>
              </w:rPr>
            </w:pPr>
            <w:r>
              <w:rPr>
                <w:rFonts w:ascii="Arial" w:hAnsi="Arial" w:cs="Arial"/>
                <w:sz w:val="20"/>
                <w:szCs w:val="20"/>
              </w:rPr>
              <w:t>Office machineries and equipment</w:t>
            </w:r>
          </w:p>
        </w:tc>
        <w:tc>
          <w:tcPr>
            <w:tcW w:w="1440" w:type="dxa"/>
            <w:tcBorders>
              <w:top w:val="single" w:sz="4" w:space="0" w:color="auto"/>
            </w:tcBorders>
            <w:vAlign w:val="center"/>
          </w:tcPr>
          <w:p w14:paraId="5A365724" w14:textId="77777777" w:rsidR="007D7EEA" w:rsidRDefault="00DD2A4D">
            <w:pPr>
              <w:pStyle w:val="ListParagraph"/>
              <w:ind w:left="-114"/>
              <w:jc w:val="right"/>
              <w:rPr>
                <w:rFonts w:ascii="Arial" w:hAnsi="Arial" w:cs="Arial"/>
                <w:sz w:val="20"/>
                <w:szCs w:val="20"/>
              </w:rPr>
            </w:pPr>
            <w:r>
              <w:rPr>
                <w:rFonts w:ascii="Arial" w:hAnsi="Arial" w:cs="Arial"/>
                <w:sz w:val="20"/>
                <w:szCs w:val="20"/>
              </w:rPr>
              <w:t xml:space="preserve">P   89,042,329 </w:t>
            </w:r>
          </w:p>
        </w:tc>
        <w:tc>
          <w:tcPr>
            <w:tcW w:w="1440" w:type="dxa"/>
            <w:tcBorders>
              <w:top w:val="single" w:sz="4" w:space="0" w:color="auto"/>
            </w:tcBorders>
            <w:vAlign w:val="center"/>
          </w:tcPr>
          <w:p w14:paraId="71B9F5F0" w14:textId="77777777" w:rsidR="007D7EEA" w:rsidRDefault="00DD2A4D">
            <w:pPr>
              <w:pStyle w:val="ListParagraph"/>
              <w:ind w:left="-114"/>
              <w:jc w:val="right"/>
              <w:rPr>
                <w:rFonts w:ascii="Arial" w:hAnsi="Arial" w:cs="Arial"/>
                <w:sz w:val="20"/>
                <w:szCs w:val="20"/>
              </w:rPr>
            </w:pPr>
            <w:r>
              <w:rPr>
                <w:rFonts w:ascii="Arial" w:hAnsi="Arial" w:cs="Arial"/>
                <w:sz w:val="20"/>
                <w:szCs w:val="20"/>
              </w:rPr>
              <w:t xml:space="preserve">P  85,949,173 </w:t>
            </w:r>
          </w:p>
        </w:tc>
        <w:tc>
          <w:tcPr>
            <w:tcW w:w="1260" w:type="dxa"/>
            <w:tcBorders>
              <w:top w:val="single" w:sz="4" w:space="0" w:color="auto"/>
            </w:tcBorders>
            <w:vAlign w:val="center"/>
          </w:tcPr>
          <w:p w14:paraId="061CEDAE" w14:textId="77777777" w:rsidR="007D7EEA" w:rsidRDefault="00DD2A4D">
            <w:pPr>
              <w:pStyle w:val="ListParagraph"/>
              <w:ind w:left="-114"/>
              <w:jc w:val="right"/>
              <w:rPr>
                <w:rFonts w:ascii="Arial" w:hAnsi="Arial" w:cs="Arial"/>
                <w:sz w:val="20"/>
                <w:szCs w:val="20"/>
              </w:rPr>
            </w:pPr>
            <w:r>
              <w:rPr>
                <w:rFonts w:ascii="Arial" w:hAnsi="Arial" w:cs="Arial"/>
                <w:sz w:val="20"/>
                <w:szCs w:val="20"/>
              </w:rPr>
              <w:t xml:space="preserve">P 3,093,156 </w:t>
            </w:r>
          </w:p>
        </w:tc>
      </w:tr>
      <w:tr w:rsidR="007D7EEA" w14:paraId="49D533EC" w14:textId="77777777">
        <w:trPr>
          <w:trHeight w:val="144"/>
        </w:trPr>
        <w:tc>
          <w:tcPr>
            <w:tcW w:w="3240" w:type="dxa"/>
            <w:vAlign w:val="center"/>
          </w:tcPr>
          <w:p w14:paraId="333C4107" w14:textId="77777777" w:rsidR="007D7EEA" w:rsidRDefault="00DD2A4D">
            <w:pPr>
              <w:pStyle w:val="ListParagraph"/>
              <w:ind w:left="0"/>
              <w:rPr>
                <w:rFonts w:ascii="Arial" w:hAnsi="Arial" w:cs="Arial"/>
                <w:sz w:val="20"/>
                <w:szCs w:val="20"/>
              </w:rPr>
            </w:pPr>
            <w:r>
              <w:rPr>
                <w:rFonts w:ascii="Arial" w:hAnsi="Arial" w:cs="Arial"/>
                <w:sz w:val="20"/>
                <w:szCs w:val="20"/>
              </w:rPr>
              <w:t>Buildings/structures</w:t>
            </w:r>
          </w:p>
        </w:tc>
        <w:tc>
          <w:tcPr>
            <w:tcW w:w="1440" w:type="dxa"/>
            <w:vAlign w:val="center"/>
          </w:tcPr>
          <w:p w14:paraId="2997688F"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89,739,305 </w:t>
            </w:r>
          </w:p>
        </w:tc>
        <w:tc>
          <w:tcPr>
            <w:tcW w:w="1440" w:type="dxa"/>
            <w:vAlign w:val="center"/>
          </w:tcPr>
          <w:p w14:paraId="30930693"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89,739,305 </w:t>
            </w:r>
          </w:p>
        </w:tc>
        <w:tc>
          <w:tcPr>
            <w:tcW w:w="1260" w:type="dxa"/>
            <w:vAlign w:val="center"/>
          </w:tcPr>
          <w:p w14:paraId="136FF9F7"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0   </w:t>
            </w:r>
          </w:p>
        </w:tc>
      </w:tr>
      <w:tr w:rsidR="007D7EEA" w14:paraId="6657B96F" w14:textId="77777777">
        <w:trPr>
          <w:trHeight w:val="144"/>
        </w:trPr>
        <w:tc>
          <w:tcPr>
            <w:tcW w:w="3240" w:type="dxa"/>
            <w:vAlign w:val="center"/>
          </w:tcPr>
          <w:p w14:paraId="1335D19C" w14:textId="77777777" w:rsidR="007D7EEA" w:rsidRDefault="00DD2A4D">
            <w:pPr>
              <w:pStyle w:val="ListParagraph"/>
              <w:ind w:left="210" w:hanging="210"/>
              <w:rPr>
                <w:rFonts w:ascii="Arial" w:hAnsi="Arial" w:cs="Arial"/>
                <w:sz w:val="20"/>
                <w:szCs w:val="20"/>
              </w:rPr>
            </w:pPr>
            <w:r>
              <w:rPr>
                <w:rFonts w:ascii="Arial" w:hAnsi="Arial" w:cs="Arial"/>
                <w:sz w:val="20"/>
                <w:szCs w:val="20"/>
              </w:rPr>
              <w:t>Office furniture and fixtures</w:t>
            </w:r>
          </w:p>
        </w:tc>
        <w:tc>
          <w:tcPr>
            <w:tcW w:w="1440" w:type="dxa"/>
            <w:vAlign w:val="center"/>
          </w:tcPr>
          <w:p w14:paraId="12B6FE3A"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5,313,516 </w:t>
            </w:r>
          </w:p>
        </w:tc>
        <w:tc>
          <w:tcPr>
            <w:tcW w:w="1440" w:type="dxa"/>
            <w:vAlign w:val="center"/>
          </w:tcPr>
          <w:p w14:paraId="1143C586"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4,387,764 </w:t>
            </w:r>
          </w:p>
        </w:tc>
        <w:tc>
          <w:tcPr>
            <w:tcW w:w="1260" w:type="dxa"/>
            <w:vAlign w:val="center"/>
          </w:tcPr>
          <w:p w14:paraId="6FFD5FF9"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925,752 </w:t>
            </w:r>
          </w:p>
        </w:tc>
      </w:tr>
      <w:tr w:rsidR="007D7EEA" w14:paraId="6CCD4272" w14:textId="77777777">
        <w:trPr>
          <w:trHeight w:val="144"/>
        </w:trPr>
        <w:tc>
          <w:tcPr>
            <w:tcW w:w="3240" w:type="dxa"/>
            <w:tcBorders>
              <w:bottom w:val="single" w:sz="4" w:space="0" w:color="auto"/>
            </w:tcBorders>
            <w:vAlign w:val="center"/>
          </w:tcPr>
          <w:p w14:paraId="4E71B968" w14:textId="77777777" w:rsidR="007D7EEA" w:rsidRDefault="00DD2A4D">
            <w:pPr>
              <w:pStyle w:val="ListParagraph"/>
              <w:ind w:left="135" w:hanging="135"/>
              <w:rPr>
                <w:rFonts w:ascii="Arial" w:hAnsi="Arial" w:cs="Arial"/>
                <w:sz w:val="20"/>
                <w:szCs w:val="20"/>
              </w:rPr>
            </w:pPr>
            <w:r>
              <w:rPr>
                <w:rFonts w:ascii="Arial" w:hAnsi="Arial" w:cs="Arial"/>
                <w:sz w:val="20"/>
                <w:szCs w:val="20"/>
              </w:rPr>
              <w:t>Transportation/motor vehicles</w:t>
            </w:r>
          </w:p>
        </w:tc>
        <w:tc>
          <w:tcPr>
            <w:tcW w:w="1440" w:type="dxa"/>
            <w:tcBorders>
              <w:bottom w:val="single" w:sz="4" w:space="0" w:color="auto"/>
            </w:tcBorders>
            <w:vAlign w:val="center"/>
          </w:tcPr>
          <w:p w14:paraId="7BE29BB3"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7,577,198 </w:t>
            </w:r>
          </w:p>
        </w:tc>
        <w:tc>
          <w:tcPr>
            <w:tcW w:w="1440" w:type="dxa"/>
            <w:tcBorders>
              <w:bottom w:val="single" w:sz="4" w:space="0" w:color="auto"/>
            </w:tcBorders>
            <w:vAlign w:val="center"/>
          </w:tcPr>
          <w:p w14:paraId="3F7C28D3"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5,065,035 </w:t>
            </w:r>
          </w:p>
        </w:tc>
        <w:tc>
          <w:tcPr>
            <w:tcW w:w="1260" w:type="dxa"/>
            <w:tcBorders>
              <w:bottom w:val="single" w:sz="4" w:space="0" w:color="auto"/>
            </w:tcBorders>
            <w:vAlign w:val="center"/>
          </w:tcPr>
          <w:p w14:paraId="1936F7CD" w14:textId="77777777" w:rsidR="007D7EEA" w:rsidRDefault="00DD2A4D">
            <w:pPr>
              <w:pStyle w:val="ListParagraph"/>
              <w:ind w:left="0"/>
              <w:jc w:val="right"/>
              <w:rPr>
                <w:rFonts w:ascii="Arial" w:hAnsi="Arial" w:cs="Arial"/>
                <w:sz w:val="20"/>
                <w:szCs w:val="20"/>
              </w:rPr>
            </w:pPr>
            <w:r>
              <w:rPr>
                <w:rFonts w:ascii="Arial" w:hAnsi="Arial" w:cs="Arial"/>
                <w:sz w:val="20"/>
                <w:szCs w:val="20"/>
              </w:rPr>
              <w:t xml:space="preserve">2,512,163 </w:t>
            </w:r>
          </w:p>
        </w:tc>
      </w:tr>
      <w:tr w:rsidR="007D7EEA" w14:paraId="39F3B2E9" w14:textId="77777777">
        <w:trPr>
          <w:trHeight w:val="317"/>
        </w:trPr>
        <w:tc>
          <w:tcPr>
            <w:tcW w:w="3240" w:type="dxa"/>
            <w:tcBorders>
              <w:top w:val="single" w:sz="4" w:space="0" w:color="auto"/>
              <w:bottom w:val="double" w:sz="4" w:space="0" w:color="auto"/>
            </w:tcBorders>
            <w:vAlign w:val="center"/>
          </w:tcPr>
          <w:p w14:paraId="197AFA7D" w14:textId="77777777" w:rsidR="007D7EEA" w:rsidRDefault="00DD2A4D">
            <w:pPr>
              <w:pStyle w:val="BodyText"/>
              <w:tabs>
                <w:tab w:val="left" w:pos="-1620"/>
              </w:tabs>
              <w:ind w:right="29"/>
              <w:jc w:val="left"/>
              <w:rPr>
                <w:rFonts w:cs="Arial"/>
                <w:b/>
                <w:sz w:val="20"/>
              </w:rPr>
            </w:pPr>
            <w:r>
              <w:rPr>
                <w:rFonts w:cs="Arial"/>
                <w:b/>
                <w:sz w:val="20"/>
              </w:rPr>
              <w:t>Total</w:t>
            </w:r>
          </w:p>
        </w:tc>
        <w:tc>
          <w:tcPr>
            <w:tcW w:w="1440" w:type="dxa"/>
            <w:tcBorders>
              <w:top w:val="single" w:sz="4" w:space="0" w:color="auto"/>
              <w:bottom w:val="double" w:sz="4" w:space="0" w:color="auto"/>
            </w:tcBorders>
            <w:vAlign w:val="center"/>
          </w:tcPr>
          <w:p w14:paraId="1DE8569E" w14:textId="77777777" w:rsidR="007D7EEA" w:rsidRDefault="00DD2A4D">
            <w:pPr>
              <w:pStyle w:val="ListParagraph"/>
              <w:ind w:left="-114"/>
              <w:jc w:val="right"/>
              <w:rPr>
                <w:rFonts w:ascii="Arial" w:hAnsi="Arial" w:cs="Arial"/>
                <w:b/>
                <w:sz w:val="20"/>
                <w:szCs w:val="20"/>
              </w:rPr>
            </w:pPr>
            <w:r>
              <w:rPr>
                <w:rFonts w:ascii="Arial" w:hAnsi="Arial" w:cs="Arial"/>
                <w:b/>
                <w:bCs/>
                <w:sz w:val="20"/>
                <w:szCs w:val="20"/>
              </w:rPr>
              <w:t xml:space="preserve">P 191,672,348 </w:t>
            </w:r>
          </w:p>
        </w:tc>
        <w:tc>
          <w:tcPr>
            <w:tcW w:w="1440" w:type="dxa"/>
            <w:tcBorders>
              <w:top w:val="single" w:sz="4" w:space="0" w:color="auto"/>
              <w:bottom w:val="double" w:sz="4" w:space="0" w:color="auto"/>
            </w:tcBorders>
            <w:vAlign w:val="center"/>
          </w:tcPr>
          <w:p w14:paraId="754FB0A1" w14:textId="77777777" w:rsidR="007D7EEA" w:rsidRDefault="00DD2A4D">
            <w:pPr>
              <w:pStyle w:val="ListParagraph"/>
              <w:ind w:left="-114"/>
              <w:jc w:val="right"/>
              <w:rPr>
                <w:rFonts w:ascii="Arial" w:hAnsi="Arial" w:cs="Arial"/>
                <w:b/>
                <w:sz w:val="20"/>
                <w:szCs w:val="20"/>
              </w:rPr>
            </w:pPr>
            <w:r>
              <w:rPr>
                <w:rFonts w:ascii="Arial" w:hAnsi="Arial" w:cs="Arial"/>
                <w:b/>
                <w:bCs/>
                <w:sz w:val="20"/>
                <w:szCs w:val="20"/>
              </w:rPr>
              <w:t xml:space="preserve">P 185,141,277 </w:t>
            </w:r>
          </w:p>
        </w:tc>
        <w:tc>
          <w:tcPr>
            <w:tcW w:w="1260" w:type="dxa"/>
            <w:tcBorders>
              <w:top w:val="single" w:sz="4" w:space="0" w:color="auto"/>
              <w:bottom w:val="double" w:sz="4" w:space="0" w:color="auto"/>
            </w:tcBorders>
            <w:vAlign w:val="center"/>
          </w:tcPr>
          <w:p w14:paraId="0D380A66" w14:textId="77777777" w:rsidR="007D7EEA" w:rsidRDefault="00DD2A4D">
            <w:pPr>
              <w:pStyle w:val="ListParagraph"/>
              <w:ind w:left="-114"/>
              <w:jc w:val="right"/>
              <w:rPr>
                <w:rFonts w:ascii="Arial" w:hAnsi="Arial" w:cs="Arial"/>
                <w:b/>
                <w:sz w:val="20"/>
                <w:szCs w:val="20"/>
              </w:rPr>
            </w:pPr>
            <w:r>
              <w:rPr>
                <w:rFonts w:ascii="Arial" w:hAnsi="Arial" w:cs="Arial"/>
                <w:b/>
                <w:bCs/>
                <w:sz w:val="20"/>
                <w:szCs w:val="20"/>
              </w:rPr>
              <w:t xml:space="preserve">P 6,531,071 </w:t>
            </w:r>
          </w:p>
        </w:tc>
      </w:tr>
    </w:tbl>
    <w:p w14:paraId="552375E7" w14:textId="77777777" w:rsidR="007D7EEA" w:rsidRPr="00200B96" w:rsidRDefault="00DD2A4D">
      <w:pPr>
        <w:spacing w:after="0" w:line="240" w:lineRule="auto"/>
        <w:jc w:val="both"/>
        <w:rPr>
          <w:rFonts w:ascii="Arial" w:hAnsi="Arial" w:cs="Arial"/>
          <w:bCs/>
        </w:rPr>
      </w:pPr>
      <w:r>
        <w:rPr>
          <w:rFonts w:ascii="Arial" w:hAnsi="Arial" w:cs="Arial"/>
          <w:bCs/>
        </w:rPr>
        <w:tab/>
      </w:r>
    </w:p>
    <w:p w14:paraId="4C6EEFEA"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For CY 2022, the Management had already complied with the new threshold requirement to capitalize only acquired assets amounting to P50,000 and above.  However, comparison of the balances of the GL and the SL of PE still showed a variance totaling P6.531 million. Inquiry with Management disclosed that they are still in the process of reconciling the difference but they could not yet determine when this will be fully resolved.</w:t>
      </w:r>
    </w:p>
    <w:p w14:paraId="56F6CB68" w14:textId="77777777" w:rsidR="007D7EEA" w:rsidRPr="00200B96" w:rsidRDefault="007D7EEA">
      <w:pPr>
        <w:pStyle w:val="NormalWeb"/>
        <w:spacing w:before="0" w:beforeAutospacing="0" w:after="0" w:afterAutospacing="0"/>
        <w:ind w:left="1260"/>
        <w:jc w:val="both"/>
        <w:rPr>
          <w:rFonts w:ascii="Arial" w:eastAsia="MS Mincho" w:hAnsi="Arial"/>
          <w:sz w:val="22"/>
          <w:szCs w:val="22"/>
        </w:rPr>
      </w:pPr>
    </w:p>
    <w:p w14:paraId="54E64818" w14:textId="77777777" w:rsidR="007D7EEA" w:rsidRPr="00200B96" w:rsidRDefault="00DD2A4D">
      <w:pPr>
        <w:spacing w:after="0" w:line="240" w:lineRule="auto"/>
        <w:ind w:left="576"/>
        <w:jc w:val="both"/>
        <w:rPr>
          <w:rFonts w:ascii="Arial" w:hAnsi="Arial" w:cs="Arial"/>
          <w:bCs/>
          <w:i/>
        </w:rPr>
      </w:pPr>
      <w:r w:rsidRPr="00200B96">
        <w:rPr>
          <w:rFonts w:ascii="Arial" w:hAnsi="Arial" w:cs="Arial"/>
          <w:bCs/>
          <w:i/>
        </w:rPr>
        <w:t>Failure to conduct proper disposal of unserviceable properties</w:t>
      </w:r>
    </w:p>
    <w:p w14:paraId="2168AF77" w14:textId="77777777" w:rsidR="007D7EEA" w:rsidRPr="00200B96" w:rsidRDefault="007D7EEA">
      <w:pPr>
        <w:spacing w:after="0" w:line="240" w:lineRule="auto"/>
        <w:jc w:val="both"/>
        <w:rPr>
          <w:rFonts w:ascii="Arial" w:eastAsia="MS Mincho" w:hAnsi="Arial"/>
        </w:rPr>
      </w:pPr>
    </w:p>
    <w:p w14:paraId="48202D8A"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Unserviceable properties are assets that no longer serve its purpose to an entity and are therefore subject for disposal thru sale, barter or destruction. If in case of sale or barter, the appraised value of subject property is determined which becomes its minimum selling price. Unserviceable assets are then dropped from the books only after the disposal.  The necessity of disposal of unserviceable assets are duly recognized as pertinent laws, rules and circulars were i</w:t>
      </w:r>
      <w:r w:rsidR="00B366DF" w:rsidRPr="00200B96">
        <w:rPr>
          <w:rFonts w:ascii="Arial" w:eastAsia="MS Mincho" w:hAnsi="Arial"/>
          <w:sz w:val="22"/>
          <w:szCs w:val="22"/>
        </w:rPr>
        <w:t>ssue</w:t>
      </w:r>
      <w:r w:rsidRPr="00200B96">
        <w:rPr>
          <w:rFonts w:ascii="Arial" w:eastAsia="MS Mincho" w:hAnsi="Arial"/>
          <w:sz w:val="22"/>
          <w:szCs w:val="22"/>
        </w:rPr>
        <w:t>d to regulate and expedite the process.</w:t>
      </w:r>
    </w:p>
    <w:p w14:paraId="157FE1A6" w14:textId="77777777" w:rsidR="007D7EEA" w:rsidRPr="00200B96" w:rsidRDefault="007D7EEA">
      <w:pPr>
        <w:spacing w:after="0" w:line="240" w:lineRule="auto"/>
        <w:jc w:val="both"/>
        <w:rPr>
          <w:rFonts w:ascii="Arial" w:eastAsia="MS Mincho" w:hAnsi="Arial"/>
        </w:rPr>
      </w:pPr>
    </w:p>
    <w:p w14:paraId="660060F7"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 xml:space="preserve">For CY 2022, the list of unserviceable properties of the AFPRSBS showed that there are 725 units with a total cost of P3.908 million ranging from P0 to </w:t>
      </w:r>
      <w:r w:rsidRPr="00200B96">
        <w:rPr>
          <w:rFonts w:ascii="Arial" w:eastAsia="MS Mincho" w:hAnsi="Arial"/>
          <w:sz w:val="22"/>
          <w:szCs w:val="22"/>
        </w:rPr>
        <w:lastRenderedPageBreak/>
        <w:t xml:space="preserve">P313,200 per item.  Inquiry with Management disclosed that the most recent disposal of unserviceable assets was conducted in CY 2018 while no disposals were conducted for CYs 2019 to 2022. Although, several meetings were held by its Disposal Committee to plan for the proper disposition of its obsolete assets, none of its proposal was pushed through.  Moreover, the Management also asserted that disposal of the unserviceable assets was not undertaken due to the pandemic situation as well as the absence of its in-house appraiser. </w:t>
      </w:r>
    </w:p>
    <w:p w14:paraId="3794BE65" w14:textId="77777777" w:rsidR="007D7EEA" w:rsidRPr="00200B96" w:rsidRDefault="007D7EEA">
      <w:pPr>
        <w:spacing w:after="0" w:line="240" w:lineRule="auto"/>
        <w:ind w:firstLine="720"/>
        <w:jc w:val="both"/>
        <w:rPr>
          <w:rFonts w:ascii="Arial" w:eastAsia="MS Mincho" w:hAnsi="Arial"/>
        </w:rPr>
      </w:pPr>
    </w:p>
    <w:p w14:paraId="6058FA49"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 xml:space="preserve">The immediate disposal of unserviceable, obsolete, forfeited, abandoned, excess or surplus items of government agencies is necessary to avoid further deterioration, to </w:t>
      </w:r>
      <w:r w:rsidR="00787902" w:rsidRPr="00200B96">
        <w:rPr>
          <w:rFonts w:ascii="Arial" w:eastAsia="MS Mincho" w:hAnsi="Arial"/>
          <w:sz w:val="22"/>
          <w:szCs w:val="22"/>
        </w:rPr>
        <w:t>realize greatest</w:t>
      </w:r>
      <w:r w:rsidRPr="00200B96">
        <w:rPr>
          <w:rFonts w:ascii="Arial" w:eastAsia="MS Mincho" w:hAnsi="Arial"/>
          <w:sz w:val="22"/>
          <w:szCs w:val="22"/>
        </w:rPr>
        <w:t xml:space="preserve"> benefits by selling at highest price possible, and to make the storage space available for other purposes, as may be deemed useful for the AFPRSBS.</w:t>
      </w:r>
    </w:p>
    <w:p w14:paraId="5086BB4E" w14:textId="77777777" w:rsidR="007D7EEA" w:rsidRPr="00200B96" w:rsidRDefault="00DD2A4D">
      <w:pPr>
        <w:pStyle w:val="NormalWeb"/>
        <w:spacing w:before="0" w:beforeAutospacing="0" w:after="0" w:afterAutospacing="0"/>
        <w:ind w:left="1260"/>
        <w:jc w:val="both"/>
        <w:rPr>
          <w:rFonts w:ascii="Arial" w:eastAsia="MS Mincho" w:hAnsi="Arial"/>
          <w:sz w:val="22"/>
          <w:szCs w:val="22"/>
        </w:rPr>
      </w:pPr>
      <w:r w:rsidRPr="00200B96">
        <w:rPr>
          <w:rFonts w:ascii="Arial" w:eastAsia="MS Mincho" w:hAnsi="Arial"/>
          <w:sz w:val="22"/>
          <w:szCs w:val="22"/>
        </w:rPr>
        <w:t xml:space="preserve"> </w:t>
      </w:r>
    </w:p>
    <w:p w14:paraId="5BCC71AE"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MS Mincho" w:hAnsi="Arial"/>
          <w:sz w:val="22"/>
          <w:szCs w:val="22"/>
        </w:rPr>
      </w:pPr>
      <w:r w:rsidRPr="00200B96">
        <w:rPr>
          <w:rFonts w:ascii="Arial" w:eastAsia="MS Mincho" w:hAnsi="Arial"/>
          <w:sz w:val="22"/>
          <w:szCs w:val="22"/>
        </w:rPr>
        <w:t>These observations greatly affect the fair presentation of the PE accounts as issues on completeness, accuracy, and reliability of the related reports could not be relied upon.  It is the Management’s paramount obligation to maintain its records organized and up to date.  Accurate and reliable reports are also significant for the AFPRSBS’ liquidation particularly in determining the complete list of its assets and the determination of its market value.</w:t>
      </w:r>
    </w:p>
    <w:p w14:paraId="4D3211F4" w14:textId="77777777" w:rsidR="007D7EEA" w:rsidRPr="00200B96" w:rsidRDefault="007D7EEA">
      <w:pPr>
        <w:pStyle w:val="NormalWeb"/>
        <w:spacing w:before="0" w:beforeAutospacing="0" w:after="0" w:afterAutospacing="0"/>
        <w:ind w:left="792"/>
        <w:jc w:val="both"/>
        <w:rPr>
          <w:rFonts w:ascii="Arial" w:hAnsi="Arial" w:cs="Arial"/>
          <w:b/>
          <w:sz w:val="22"/>
          <w:szCs w:val="22"/>
        </w:rPr>
      </w:pPr>
    </w:p>
    <w:p w14:paraId="14E78D24" w14:textId="74469AFE"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b/>
          <w:bCs/>
          <w:sz w:val="22"/>
          <w:szCs w:val="22"/>
        </w:rPr>
      </w:pPr>
      <w:r w:rsidRPr="00200B96">
        <w:rPr>
          <w:rFonts w:ascii="Arial" w:hAnsi="Arial" w:cs="Arial"/>
          <w:b/>
          <w:bCs/>
          <w:sz w:val="22"/>
          <w:szCs w:val="22"/>
        </w:rPr>
        <w:t xml:space="preserve">We </w:t>
      </w:r>
      <w:r w:rsidRPr="00200B96">
        <w:rPr>
          <w:rFonts w:ascii="Arial" w:hAnsi="Arial" w:cs="Arial"/>
          <w:b/>
          <w:sz w:val="22"/>
          <w:szCs w:val="22"/>
        </w:rPr>
        <w:t>reiterated with modifications our PY</w:t>
      </w:r>
      <w:r w:rsidR="00E74758" w:rsidRPr="00200B96">
        <w:rPr>
          <w:rFonts w:ascii="Arial" w:hAnsi="Arial" w:cs="Arial"/>
          <w:b/>
          <w:sz w:val="22"/>
          <w:szCs w:val="22"/>
        </w:rPr>
        <w:t>’</w:t>
      </w:r>
      <w:r w:rsidRPr="00200B96">
        <w:rPr>
          <w:rFonts w:ascii="Arial" w:hAnsi="Arial" w:cs="Arial"/>
          <w:b/>
          <w:sz w:val="22"/>
          <w:szCs w:val="22"/>
        </w:rPr>
        <w:t>s</w:t>
      </w:r>
      <w:r w:rsidR="00E74758" w:rsidRPr="00200B96">
        <w:rPr>
          <w:rFonts w:ascii="Arial" w:hAnsi="Arial" w:cs="Arial"/>
          <w:b/>
          <w:sz w:val="22"/>
          <w:szCs w:val="22"/>
        </w:rPr>
        <w:t xml:space="preserve"> audit</w:t>
      </w:r>
      <w:r w:rsidRPr="00200B96">
        <w:rPr>
          <w:rFonts w:ascii="Arial" w:hAnsi="Arial" w:cs="Arial"/>
          <w:b/>
          <w:sz w:val="22"/>
          <w:szCs w:val="22"/>
        </w:rPr>
        <w:t xml:space="preserve"> recommendations that Management </w:t>
      </w:r>
      <w:r w:rsidRPr="00200B96">
        <w:rPr>
          <w:rFonts w:ascii="Arial" w:eastAsia="Calibri" w:hAnsi="Arial" w:cs="Arial"/>
          <w:b/>
          <w:sz w:val="22"/>
          <w:szCs w:val="22"/>
        </w:rPr>
        <w:t>require the:</w:t>
      </w:r>
    </w:p>
    <w:p w14:paraId="121E6D35" w14:textId="77777777" w:rsidR="007D7EEA" w:rsidRPr="00200B96" w:rsidRDefault="007D7EEA">
      <w:pPr>
        <w:pStyle w:val="ListParagraph"/>
        <w:ind w:left="1260"/>
        <w:jc w:val="both"/>
        <w:rPr>
          <w:rFonts w:ascii="Arial" w:eastAsia="Calibri" w:hAnsi="Arial" w:cs="Arial"/>
          <w:b/>
          <w:bCs/>
          <w:sz w:val="22"/>
          <w:szCs w:val="22"/>
        </w:rPr>
      </w:pPr>
    </w:p>
    <w:p w14:paraId="3450368A" w14:textId="77777777" w:rsidR="007D7EEA" w:rsidRPr="00200B96" w:rsidRDefault="00DD2A4D" w:rsidP="002143A3">
      <w:pPr>
        <w:pStyle w:val="ListParagraph"/>
        <w:numPr>
          <w:ilvl w:val="0"/>
          <w:numId w:val="24"/>
        </w:numPr>
        <w:ind w:left="1656"/>
        <w:contextualSpacing/>
        <w:jc w:val="both"/>
        <w:rPr>
          <w:rFonts w:ascii="Arial" w:hAnsi="Arial" w:cs="Arial"/>
          <w:b/>
          <w:bCs/>
          <w:sz w:val="22"/>
          <w:szCs w:val="22"/>
        </w:rPr>
      </w:pPr>
      <w:r w:rsidRPr="00200B96">
        <w:rPr>
          <w:rFonts w:ascii="Arial" w:hAnsi="Arial" w:cs="Arial"/>
          <w:b/>
          <w:sz w:val="22"/>
          <w:szCs w:val="22"/>
        </w:rPr>
        <w:t>AD</w:t>
      </w:r>
      <w:r w:rsidRPr="00200B96">
        <w:rPr>
          <w:rFonts w:ascii="Arial" w:hAnsi="Arial" w:cs="Arial"/>
          <w:b/>
          <w:bCs/>
          <w:sz w:val="22"/>
          <w:szCs w:val="22"/>
        </w:rPr>
        <w:t xml:space="preserve"> and the General Services Department to reconcile the discrepancy between the accounting records and the RPCPPE</w:t>
      </w:r>
      <w:r w:rsidRPr="00200B96">
        <w:rPr>
          <w:rFonts w:ascii="Arial" w:hAnsi="Arial" w:cs="Arial"/>
          <w:bCs/>
          <w:sz w:val="22"/>
          <w:szCs w:val="22"/>
        </w:rPr>
        <w:t xml:space="preserve">, </w:t>
      </w:r>
      <w:r w:rsidRPr="00200B96">
        <w:rPr>
          <w:rFonts w:ascii="Arial" w:hAnsi="Arial" w:cs="Arial"/>
          <w:b/>
          <w:bCs/>
          <w:sz w:val="22"/>
          <w:szCs w:val="22"/>
        </w:rPr>
        <w:t xml:space="preserve">which as at December 31, 2022 amounted to P7.864 million, and prepare and submit a copy of the corresponding report to the Audit Team for validation; </w:t>
      </w:r>
    </w:p>
    <w:p w14:paraId="04490D06" w14:textId="77777777" w:rsidR="007D7EEA" w:rsidRPr="00200B96" w:rsidRDefault="007D7EEA">
      <w:pPr>
        <w:pStyle w:val="ListParagraph"/>
        <w:suppressAutoHyphens/>
        <w:ind w:left="1170"/>
        <w:jc w:val="both"/>
        <w:rPr>
          <w:rFonts w:ascii="Arial" w:hAnsi="Arial" w:cs="Arial"/>
          <w:b/>
          <w:bCs/>
          <w:sz w:val="22"/>
          <w:szCs w:val="22"/>
        </w:rPr>
      </w:pPr>
    </w:p>
    <w:p w14:paraId="01855E33" w14:textId="77777777" w:rsidR="007D7EEA" w:rsidRPr="00200B96" w:rsidRDefault="00DD2A4D" w:rsidP="002143A3">
      <w:pPr>
        <w:pStyle w:val="ListParagraph"/>
        <w:numPr>
          <w:ilvl w:val="0"/>
          <w:numId w:val="24"/>
        </w:numPr>
        <w:ind w:left="1656"/>
        <w:contextualSpacing/>
        <w:jc w:val="both"/>
        <w:rPr>
          <w:rFonts w:ascii="Arial" w:hAnsi="Arial" w:cs="Arial"/>
          <w:b/>
          <w:bCs/>
          <w:sz w:val="22"/>
          <w:szCs w:val="22"/>
        </w:rPr>
      </w:pPr>
      <w:r w:rsidRPr="00200B96">
        <w:rPr>
          <w:rFonts w:ascii="Arial" w:hAnsi="Arial" w:cs="Arial"/>
          <w:b/>
          <w:bCs/>
          <w:sz w:val="22"/>
          <w:szCs w:val="22"/>
        </w:rPr>
        <w:t>AD to reconcile the variances between the GL and the SL balances amounting to P6.531 million as at December 31, 2022 and submit copies of the updated and reconciled SLs and GL to the Audit Team for verification;</w:t>
      </w:r>
    </w:p>
    <w:p w14:paraId="747B74C9" w14:textId="77777777" w:rsidR="007D7EEA" w:rsidRPr="00200B96" w:rsidRDefault="007D7EEA">
      <w:pPr>
        <w:pStyle w:val="ListParagraph"/>
        <w:ind w:left="1170"/>
        <w:rPr>
          <w:rFonts w:ascii="Arial" w:hAnsi="Arial" w:cs="Arial"/>
          <w:b/>
          <w:sz w:val="22"/>
          <w:szCs w:val="22"/>
        </w:rPr>
      </w:pPr>
    </w:p>
    <w:p w14:paraId="3F3C2DF2" w14:textId="136E1473" w:rsidR="007D7EEA" w:rsidRPr="00200B96" w:rsidRDefault="00DD2A4D" w:rsidP="002143A3">
      <w:pPr>
        <w:pStyle w:val="ListParagraph"/>
        <w:numPr>
          <w:ilvl w:val="0"/>
          <w:numId w:val="24"/>
        </w:numPr>
        <w:ind w:left="1656"/>
        <w:contextualSpacing/>
        <w:jc w:val="both"/>
        <w:rPr>
          <w:rFonts w:ascii="Arial" w:hAnsi="Arial" w:cs="Arial"/>
          <w:b/>
          <w:sz w:val="22"/>
          <w:szCs w:val="22"/>
        </w:rPr>
      </w:pPr>
      <w:r w:rsidRPr="00200B96">
        <w:rPr>
          <w:rFonts w:ascii="Arial" w:hAnsi="Arial" w:cs="Arial"/>
          <w:b/>
          <w:sz w:val="22"/>
          <w:szCs w:val="22"/>
        </w:rPr>
        <w:t xml:space="preserve">Comply strictly with the “One Time Cleansing” procedures under </w:t>
      </w:r>
      <w:r w:rsidR="002D6BB9">
        <w:rPr>
          <w:rFonts w:ascii="Arial" w:hAnsi="Arial" w:cs="Arial"/>
          <w:b/>
          <w:sz w:val="22"/>
          <w:szCs w:val="22"/>
        </w:rPr>
        <w:t>Commission on Audit (</w:t>
      </w:r>
      <w:r w:rsidRPr="00200B96">
        <w:rPr>
          <w:rFonts w:ascii="Arial" w:hAnsi="Arial" w:cs="Arial"/>
          <w:b/>
          <w:sz w:val="22"/>
          <w:szCs w:val="22"/>
        </w:rPr>
        <w:t>COA</w:t>
      </w:r>
      <w:r w:rsidR="002D6BB9">
        <w:rPr>
          <w:rFonts w:ascii="Arial" w:hAnsi="Arial" w:cs="Arial"/>
          <w:b/>
          <w:sz w:val="22"/>
          <w:szCs w:val="22"/>
        </w:rPr>
        <w:t>)</w:t>
      </w:r>
      <w:r w:rsidRPr="00200B96">
        <w:rPr>
          <w:rFonts w:ascii="Arial" w:hAnsi="Arial" w:cs="Arial"/>
          <w:b/>
          <w:sz w:val="22"/>
          <w:szCs w:val="22"/>
        </w:rPr>
        <w:t xml:space="preserve"> Circular No. 2020-006 dated January 31, 2020 to facilitate reconciliation of PE accounts; and</w:t>
      </w:r>
    </w:p>
    <w:p w14:paraId="02BB63BA" w14:textId="77777777" w:rsidR="007D7EEA" w:rsidRPr="00200B96" w:rsidRDefault="00DD2A4D">
      <w:pPr>
        <w:pStyle w:val="ListParagraph"/>
        <w:ind w:left="1656"/>
        <w:contextualSpacing/>
        <w:jc w:val="both"/>
        <w:rPr>
          <w:rFonts w:ascii="Arial" w:hAnsi="Arial" w:cs="Arial"/>
          <w:b/>
          <w:sz w:val="22"/>
          <w:szCs w:val="22"/>
        </w:rPr>
      </w:pPr>
      <w:r w:rsidRPr="00200B96">
        <w:rPr>
          <w:rFonts w:ascii="Arial" w:hAnsi="Arial" w:cs="Arial"/>
          <w:b/>
          <w:sz w:val="22"/>
          <w:szCs w:val="22"/>
        </w:rPr>
        <w:t xml:space="preserve"> </w:t>
      </w:r>
    </w:p>
    <w:p w14:paraId="69ED7CA2" w14:textId="77777777" w:rsidR="007D7EEA" w:rsidRPr="00200B96" w:rsidRDefault="00DD2A4D" w:rsidP="002143A3">
      <w:pPr>
        <w:pStyle w:val="ListParagraph"/>
        <w:numPr>
          <w:ilvl w:val="0"/>
          <w:numId w:val="24"/>
        </w:numPr>
        <w:ind w:left="1656"/>
        <w:contextualSpacing/>
        <w:jc w:val="both"/>
        <w:rPr>
          <w:rFonts w:ascii="Arial" w:hAnsi="Arial" w:cs="Arial"/>
          <w:b/>
          <w:sz w:val="22"/>
          <w:szCs w:val="22"/>
        </w:rPr>
      </w:pPr>
      <w:r w:rsidRPr="00200B96">
        <w:rPr>
          <w:rFonts w:ascii="Arial" w:hAnsi="Arial" w:cs="Arial"/>
          <w:b/>
          <w:sz w:val="22"/>
          <w:szCs w:val="22"/>
        </w:rPr>
        <w:t>Effect the necessary adjusting entries, if any,</w:t>
      </w:r>
      <w:r w:rsidRPr="00200B96">
        <w:rPr>
          <w:rFonts w:ascii="Arial" w:hAnsi="Arial" w:cs="Arial"/>
          <w:b/>
          <w:bCs/>
          <w:sz w:val="22"/>
          <w:szCs w:val="22"/>
        </w:rPr>
        <w:t xml:space="preserve"> to reflect the correct balance of the PE account in the FS, once reconciliation of the PE accounts is completed.</w:t>
      </w:r>
    </w:p>
    <w:p w14:paraId="56D3372F" w14:textId="77777777" w:rsidR="007D7EEA" w:rsidRPr="00200B96" w:rsidRDefault="007D7EEA">
      <w:pPr>
        <w:pStyle w:val="ListParagraph"/>
        <w:ind w:left="1080"/>
        <w:jc w:val="both"/>
        <w:rPr>
          <w:rFonts w:ascii="Arial" w:hAnsi="Arial" w:cs="Arial"/>
          <w:b/>
          <w:bCs/>
          <w:sz w:val="22"/>
          <w:szCs w:val="22"/>
        </w:rPr>
      </w:pPr>
    </w:p>
    <w:p w14:paraId="7FF8D8DE" w14:textId="77777777" w:rsidR="00095A61" w:rsidRPr="00200B96" w:rsidRDefault="00095A61" w:rsidP="00306C61">
      <w:pPr>
        <w:pStyle w:val="NormalWeb"/>
        <w:numPr>
          <w:ilvl w:val="0"/>
          <w:numId w:val="88"/>
        </w:numPr>
        <w:spacing w:before="0" w:beforeAutospacing="0" w:after="0" w:afterAutospacing="0"/>
        <w:ind w:left="1267" w:hanging="691"/>
        <w:jc w:val="both"/>
        <w:rPr>
          <w:rFonts w:ascii="Arial" w:hAnsi="Arial" w:cs="Arial"/>
          <w:b/>
          <w:sz w:val="22"/>
          <w:szCs w:val="22"/>
        </w:rPr>
      </w:pPr>
      <w:r w:rsidRPr="00200B96">
        <w:rPr>
          <w:rFonts w:ascii="Arial" w:hAnsi="Arial" w:cs="Arial"/>
          <w:b/>
          <w:sz w:val="22"/>
          <w:szCs w:val="22"/>
        </w:rPr>
        <w:t xml:space="preserve">We further recommended that Management dispose all </w:t>
      </w:r>
      <w:r w:rsidRPr="00200B96">
        <w:rPr>
          <w:rFonts w:ascii="Arial" w:hAnsi="Arial" w:cs="Arial"/>
          <w:b/>
          <w:bCs/>
          <w:sz w:val="22"/>
          <w:szCs w:val="22"/>
        </w:rPr>
        <w:t>unserviceable</w:t>
      </w:r>
      <w:r w:rsidRPr="00200B96">
        <w:rPr>
          <w:rFonts w:ascii="Arial" w:hAnsi="Arial" w:cs="Arial"/>
          <w:b/>
          <w:sz w:val="22"/>
          <w:szCs w:val="22"/>
        </w:rPr>
        <w:t xml:space="preserve"> assets in accordance with the appropriate disposal guidelines.</w:t>
      </w:r>
    </w:p>
    <w:p w14:paraId="08A4B1D7" w14:textId="77777777" w:rsidR="007D7EEA" w:rsidRPr="00200B96" w:rsidRDefault="007D7EEA">
      <w:pPr>
        <w:pStyle w:val="NormalWeb"/>
        <w:spacing w:before="0" w:beforeAutospacing="0" w:after="0" w:afterAutospacing="0"/>
        <w:ind w:left="360"/>
        <w:jc w:val="both"/>
        <w:rPr>
          <w:rFonts w:ascii="Arial" w:hAnsi="Arial" w:cs="Arial"/>
          <w:b/>
          <w:sz w:val="22"/>
          <w:szCs w:val="22"/>
        </w:rPr>
      </w:pPr>
    </w:p>
    <w:p w14:paraId="31473BE1" w14:textId="77777777"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The Management commented that the reconciliation of the discrepancy between the accounting records and the RPCPPE is being undertaken by the AFPRSBS’ Inventory Committee.  The Committee has already convened </w:t>
      </w:r>
      <w:r w:rsidRPr="00306C61">
        <w:rPr>
          <w:rFonts w:ascii="Arial" w:hAnsi="Arial" w:cs="Arial"/>
          <w:sz w:val="22"/>
          <w:szCs w:val="22"/>
        </w:rPr>
        <w:lastRenderedPageBreak/>
        <w:t>thrice in CY 2022 to identify the variance between the AD’s record and the</w:t>
      </w:r>
      <w:r w:rsidRPr="00200B96">
        <w:rPr>
          <w:rFonts w:ascii="Arial" w:hAnsi="Arial" w:cs="Arial"/>
          <w:sz w:val="22"/>
          <w:szCs w:val="22"/>
        </w:rPr>
        <w:t xml:space="preserve"> RPCPPE.  </w:t>
      </w:r>
    </w:p>
    <w:p w14:paraId="14D0F81D"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2FCB2E0D" w14:textId="77777777"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The reconciliation of the remaining P6.531 million variance between the GL and the SL balance is still ongoing. The reconciled schedule will be submitted to the Audit Team once the same is completed. </w:t>
      </w:r>
    </w:p>
    <w:p w14:paraId="20B2876F"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7C027793" w14:textId="77777777"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With regard to the assets with a residual value of P10 or zero that are still in the AFPRSBS books, these are assets which were already fully depreciated even prior to the declaration of the AFPRSBS being a government entity.  Some of these assets (i.e. tables, chairs, etc.) are still in use, however, those that were already not in use and are considered or classified as unserviceable will be included in the items for disposal.  </w:t>
      </w:r>
    </w:p>
    <w:p w14:paraId="05B242D5"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22BAA5BF" w14:textId="77777777"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The unserviceable assets are scheduled for disposal by the fourth quarter of CY 2023.  The AFPRSBS is just awaiting appraisal of the items/properties to be disposed.</w:t>
      </w:r>
    </w:p>
    <w:p w14:paraId="6D7544FC"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46E46504" w14:textId="77777777"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Likewise, the AFPRSBS is working towards the one-time cleansing of the PE and will file a request for authority to derecognize the non-existing/missing PEs to COA and make the necessary adjusting entries once the reconciliation is completed. </w:t>
      </w:r>
    </w:p>
    <w:p w14:paraId="430432D4" w14:textId="77777777" w:rsidR="007D7EEA" w:rsidRPr="00200B96" w:rsidRDefault="007D7EEA">
      <w:pPr>
        <w:pStyle w:val="NormalWeb"/>
        <w:spacing w:before="0" w:beforeAutospacing="0" w:after="0" w:afterAutospacing="0"/>
        <w:ind w:left="1260"/>
        <w:jc w:val="both"/>
        <w:rPr>
          <w:rFonts w:ascii="Arial" w:hAnsi="Arial" w:cs="Arial"/>
          <w:sz w:val="22"/>
          <w:szCs w:val="22"/>
        </w:rPr>
      </w:pPr>
    </w:p>
    <w:p w14:paraId="131EC9D5" w14:textId="77777777" w:rsidR="007D7EEA" w:rsidRPr="00200B96" w:rsidRDefault="00DD2A4D" w:rsidP="00306C61">
      <w:pPr>
        <w:pStyle w:val="NormalWeb"/>
        <w:numPr>
          <w:ilvl w:val="0"/>
          <w:numId w:val="88"/>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As a rejoinder, we appreciate the Management’s efforts to reconcile the variances noted between the ledgers, and the accounting records and RPCPPE, their immediate response in creating an action plan to address the issue on the disposal of its unserviceable assets, and for their inclination to comply with our recommendation</w:t>
      </w:r>
      <w:r w:rsidR="00315378" w:rsidRPr="00200B96">
        <w:rPr>
          <w:rFonts w:ascii="Arial" w:hAnsi="Arial" w:cs="Arial"/>
          <w:sz w:val="22"/>
          <w:szCs w:val="22"/>
        </w:rPr>
        <w:t>s</w:t>
      </w:r>
      <w:r w:rsidRPr="00200B96">
        <w:rPr>
          <w:rFonts w:ascii="Arial" w:hAnsi="Arial" w:cs="Arial"/>
          <w:sz w:val="22"/>
          <w:szCs w:val="22"/>
        </w:rPr>
        <w:t xml:space="preserve"> to make </w:t>
      </w:r>
      <w:r w:rsidR="00315378" w:rsidRPr="00200B96">
        <w:rPr>
          <w:rFonts w:ascii="Arial" w:hAnsi="Arial" w:cs="Arial"/>
          <w:sz w:val="22"/>
          <w:szCs w:val="22"/>
        </w:rPr>
        <w:t xml:space="preserve">the </w:t>
      </w:r>
      <w:r w:rsidRPr="00200B96">
        <w:rPr>
          <w:rFonts w:ascii="Arial" w:hAnsi="Arial" w:cs="Arial"/>
          <w:sz w:val="22"/>
          <w:szCs w:val="22"/>
        </w:rPr>
        <w:t>necessary adjustments in their books.</w:t>
      </w:r>
    </w:p>
    <w:p w14:paraId="1F31A98D" w14:textId="3AECC23D" w:rsidR="007D7EEA" w:rsidRPr="00200B96" w:rsidRDefault="007D7EEA">
      <w:pPr>
        <w:pStyle w:val="NormalWeb"/>
        <w:spacing w:before="0" w:beforeAutospacing="0" w:after="0" w:afterAutospacing="0"/>
        <w:ind w:left="360"/>
        <w:jc w:val="both"/>
        <w:rPr>
          <w:rFonts w:ascii="Arial" w:hAnsi="Arial" w:cs="Arial"/>
          <w:b/>
          <w:sz w:val="22"/>
          <w:szCs w:val="22"/>
        </w:rPr>
      </w:pPr>
    </w:p>
    <w:p w14:paraId="27E47FDE" w14:textId="77777777" w:rsidR="00EB3FD2" w:rsidRPr="00200B96" w:rsidRDefault="00EB3FD2">
      <w:pPr>
        <w:pStyle w:val="NormalWeb"/>
        <w:spacing w:before="0" w:beforeAutospacing="0" w:after="0" w:afterAutospacing="0"/>
        <w:ind w:left="360"/>
        <w:jc w:val="both"/>
        <w:rPr>
          <w:rFonts w:ascii="Arial" w:hAnsi="Arial" w:cs="Arial"/>
          <w:b/>
          <w:sz w:val="22"/>
          <w:szCs w:val="22"/>
        </w:rPr>
      </w:pPr>
    </w:p>
    <w:p w14:paraId="4F425067" w14:textId="77777777" w:rsidR="007D7EEA" w:rsidRPr="00200B96" w:rsidRDefault="00DD2A4D">
      <w:pPr>
        <w:pStyle w:val="ListParagraph"/>
        <w:numPr>
          <w:ilvl w:val="0"/>
          <w:numId w:val="2"/>
        </w:numPr>
        <w:ind w:left="540" w:hanging="540"/>
        <w:contextualSpacing/>
        <w:rPr>
          <w:rFonts w:ascii="Arial" w:hAnsi="Arial" w:cs="Arial"/>
          <w:b/>
          <w:bCs/>
          <w:sz w:val="22"/>
          <w:szCs w:val="22"/>
        </w:rPr>
      </w:pPr>
      <w:r w:rsidRPr="00200B96">
        <w:rPr>
          <w:rFonts w:ascii="Arial" w:hAnsi="Arial" w:cs="Arial"/>
          <w:b/>
          <w:bCs/>
          <w:sz w:val="22"/>
          <w:szCs w:val="22"/>
        </w:rPr>
        <w:t>Others</w:t>
      </w:r>
    </w:p>
    <w:p w14:paraId="3E135284" w14:textId="77777777" w:rsidR="007D7EEA" w:rsidRPr="00200B96" w:rsidRDefault="007D7EEA">
      <w:pPr>
        <w:pStyle w:val="NormalWeb"/>
        <w:spacing w:before="0" w:beforeAutospacing="0" w:after="0" w:afterAutospacing="0"/>
        <w:jc w:val="both"/>
        <w:rPr>
          <w:rFonts w:ascii="Arial" w:hAnsi="Arial" w:cs="Arial"/>
          <w:b/>
          <w:sz w:val="22"/>
          <w:szCs w:val="22"/>
        </w:rPr>
      </w:pPr>
    </w:p>
    <w:p w14:paraId="0651564B" w14:textId="77777777" w:rsidR="007D7EEA" w:rsidRPr="00200B96"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200B96">
        <w:rPr>
          <w:rFonts w:ascii="Arial" w:hAnsi="Arial" w:cs="Arial"/>
          <w:b/>
          <w:sz w:val="22"/>
          <w:szCs w:val="22"/>
        </w:rPr>
        <w:t xml:space="preserve">Deposits and/or Advances made to Manila Electric Company (Meralco) for the installation of extension lines and/or additional facilities from CYs 2006 to 2019 totaling P23.872 million of which, P16.057 million or 67.27 per cent remained unrefunded, contrary to Sections 2.6.1 and 2.6.2 of the Distribution Services and Open Access Rules (DSOAR) on Modifications and New Physical Connections and signed agreements, </w:t>
      </w:r>
      <w:bookmarkStart w:id="2" w:name="_Hlk127963761"/>
      <w:r w:rsidRPr="00200B96">
        <w:rPr>
          <w:rFonts w:ascii="Arial" w:hAnsi="Arial" w:cs="Arial"/>
          <w:b/>
          <w:sz w:val="22"/>
          <w:szCs w:val="22"/>
        </w:rPr>
        <w:t>depriving the AFPRSBS of additional funds for its operations</w:t>
      </w:r>
      <w:bookmarkEnd w:id="2"/>
      <w:r w:rsidRPr="00200B96">
        <w:rPr>
          <w:rFonts w:ascii="Arial" w:hAnsi="Arial" w:cs="Arial"/>
          <w:b/>
          <w:sz w:val="22"/>
          <w:szCs w:val="22"/>
        </w:rPr>
        <w:t xml:space="preserve">.  Moreover, </w:t>
      </w:r>
      <w:r w:rsidRPr="00200B96">
        <w:rPr>
          <w:rFonts w:ascii="Arial" w:hAnsi="Arial" w:cs="Arial"/>
          <w:b/>
          <w:color w:val="000000"/>
          <w:sz w:val="22"/>
          <w:szCs w:val="22"/>
        </w:rPr>
        <w:t xml:space="preserve">the accuracy of the </w:t>
      </w:r>
      <w:r w:rsidRPr="00200B96">
        <w:rPr>
          <w:rFonts w:ascii="Arial" w:hAnsi="Arial" w:cs="Arial"/>
          <w:b/>
          <w:sz w:val="22"/>
          <w:szCs w:val="22"/>
        </w:rPr>
        <w:t xml:space="preserve">total balance in the Summary of Meralco Disbursements and Refunds (MDR) provided by Management is doubtful due to: a) </w:t>
      </w:r>
      <w:bookmarkStart w:id="3" w:name="_Hlk127968145"/>
      <w:r w:rsidRPr="00200B96">
        <w:rPr>
          <w:rFonts w:ascii="Arial" w:hAnsi="Arial" w:cs="Arial"/>
          <w:b/>
          <w:sz w:val="22"/>
          <w:szCs w:val="22"/>
        </w:rPr>
        <w:t>exclusion of some items that were included in the AO in CY 2014 AAR</w:t>
      </w:r>
      <w:bookmarkEnd w:id="3"/>
      <w:r w:rsidRPr="00200B96">
        <w:rPr>
          <w:rFonts w:ascii="Arial" w:hAnsi="Arial" w:cs="Arial"/>
          <w:b/>
          <w:sz w:val="22"/>
          <w:szCs w:val="22"/>
        </w:rPr>
        <w:t xml:space="preserve">; b) presence of unadjusted item that was recorded twice with the same reference number; c) </w:t>
      </w:r>
      <w:bookmarkStart w:id="4" w:name="_Hlk127966866"/>
      <w:bookmarkStart w:id="5" w:name="_Hlk127964539"/>
      <w:r w:rsidRPr="00200B96">
        <w:rPr>
          <w:rFonts w:ascii="Arial" w:hAnsi="Arial" w:cs="Arial"/>
          <w:b/>
          <w:sz w:val="22"/>
          <w:szCs w:val="22"/>
        </w:rPr>
        <w:t xml:space="preserve">deduction of refunds from </w:t>
      </w:r>
      <w:bookmarkStart w:id="6" w:name="_Hlk127967052"/>
      <w:r w:rsidRPr="00200B96">
        <w:rPr>
          <w:rFonts w:ascii="Arial" w:hAnsi="Arial" w:cs="Arial"/>
          <w:b/>
          <w:sz w:val="22"/>
          <w:szCs w:val="22"/>
        </w:rPr>
        <w:t xml:space="preserve">the </w:t>
      </w:r>
      <w:bookmarkEnd w:id="4"/>
      <w:r w:rsidRPr="00200B96">
        <w:rPr>
          <w:rFonts w:ascii="Arial" w:hAnsi="Arial" w:cs="Arial"/>
          <w:b/>
          <w:sz w:val="22"/>
          <w:szCs w:val="22"/>
        </w:rPr>
        <w:t xml:space="preserve">summary but without </w:t>
      </w:r>
      <w:bookmarkEnd w:id="6"/>
      <w:r w:rsidRPr="00200B96">
        <w:rPr>
          <w:rFonts w:ascii="Arial" w:hAnsi="Arial" w:cs="Arial"/>
          <w:b/>
          <w:sz w:val="22"/>
          <w:szCs w:val="22"/>
        </w:rPr>
        <w:t xml:space="preserve">supporting documents; and d) </w:t>
      </w:r>
      <w:bookmarkStart w:id="7" w:name="_Hlk127973627"/>
      <w:r w:rsidRPr="00200B96">
        <w:rPr>
          <w:rFonts w:ascii="Arial" w:hAnsi="Arial" w:cs="Arial"/>
          <w:b/>
          <w:sz w:val="22"/>
          <w:szCs w:val="22"/>
        </w:rPr>
        <w:t>offsets recorded in the SL but not</w:t>
      </w:r>
      <w:bookmarkEnd w:id="5"/>
      <w:r w:rsidRPr="00200B96">
        <w:rPr>
          <w:rFonts w:ascii="Arial" w:hAnsi="Arial" w:cs="Arial"/>
          <w:b/>
          <w:sz w:val="22"/>
          <w:szCs w:val="22"/>
        </w:rPr>
        <w:t xml:space="preserve"> included in the</w:t>
      </w:r>
      <w:r w:rsidRPr="00200B96">
        <w:rPr>
          <w:sz w:val="22"/>
          <w:szCs w:val="22"/>
        </w:rPr>
        <w:t xml:space="preserve"> </w:t>
      </w:r>
      <w:r w:rsidRPr="00200B96">
        <w:rPr>
          <w:rFonts w:ascii="Arial" w:hAnsi="Arial" w:cs="Arial"/>
          <w:b/>
          <w:sz w:val="22"/>
          <w:szCs w:val="22"/>
        </w:rPr>
        <w:t>summary</w:t>
      </w:r>
      <w:bookmarkEnd w:id="7"/>
      <w:r w:rsidRPr="00200B96">
        <w:rPr>
          <w:rFonts w:ascii="Arial" w:hAnsi="Arial" w:cs="Arial"/>
          <w:b/>
          <w:sz w:val="22"/>
          <w:szCs w:val="22"/>
        </w:rPr>
        <w:t xml:space="preserve">, thus casting doubt on the accuracy of the reported amount in the Summary of MDR. </w:t>
      </w:r>
    </w:p>
    <w:p w14:paraId="79682188" w14:textId="77777777" w:rsidR="007D7EEA" w:rsidRPr="00200B96" w:rsidRDefault="007D7EEA">
      <w:pPr>
        <w:spacing w:after="0" w:line="240" w:lineRule="auto"/>
        <w:jc w:val="both"/>
        <w:rPr>
          <w:rFonts w:ascii="Arial" w:hAnsi="Arial" w:cs="Arial"/>
          <w:b/>
        </w:rPr>
      </w:pPr>
    </w:p>
    <w:p w14:paraId="2ADB57A4" w14:textId="15F54161"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This is a reiteration with modification</w:t>
      </w:r>
      <w:r w:rsidR="006F5114" w:rsidRPr="00200B96">
        <w:rPr>
          <w:rFonts w:ascii="Arial" w:hAnsi="Arial" w:cs="Arial"/>
          <w:sz w:val="22"/>
          <w:szCs w:val="22"/>
        </w:rPr>
        <w:t>s</w:t>
      </w:r>
      <w:r w:rsidRPr="00200B96">
        <w:rPr>
          <w:rFonts w:ascii="Arial" w:hAnsi="Arial" w:cs="Arial"/>
          <w:sz w:val="22"/>
          <w:szCs w:val="22"/>
        </w:rPr>
        <w:t xml:space="preserve"> of PY’s AO as embodied in the CY 2014 AAR. </w:t>
      </w:r>
    </w:p>
    <w:p w14:paraId="3BBE0485" w14:textId="77777777" w:rsidR="007D7EEA" w:rsidRPr="00200B96" w:rsidRDefault="007D7EEA">
      <w:pPr>
        <w:spacing w:after="0" w:line="240" w:lineRule="auto"/>
        <w:jc w:val="both"/>
        <w:rPr>
          <w:rFonts w:ascii="Arial" w:hAnsi="Arial" w:cs="Arial"/>
        </w:rPr>
      </w:pPr>
    </w:p>
    <w:p w14:paraId="03C04946"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lastRenderedPageBreak/>
        <w:t>Pursuant to RA No. 9136, otherwise known as the Electric Power Industry Reform Act of 2001, and the Implementing Rules and Regulations (IRR) issued pursuant to that Act, the Energy Regulatory Commission (ERC) promulgated on January 18, 2006 the DSOAR that set forth among others the terms and conditions related to the provision of connection assets and services.</w:t>
      </w:r>
    </w:p>
    <w:p w14:paraId="02C7A593" w14:textId="77777777" w:rsidR="007D7EEA" w:rsidRPr="00200B96" w:rsidRDefault="00DD2A4D">
      <w:pPr>
        <w:spacing w:after="0" w:line="240" w:lineRule="auto"/>
        <w:jc w:val="both"/>
        <w:rPr>
          <w:rFonts w:ascii="Arial" w:hAnsi="Arial" w:cs="Arial"/>
          <w:i/>
        </w:rPr>
      </w:pPr>
      <w:r w:rsidRPr="00200B96">
        <w:rPr>
          <w:rFonts w:ascii="Arial" w:hAnsi="Arial" w:cs="Arial"/>
        </w:rPr>
        <w:tab/>
      </w:r>
      <w:r w:rsidRPr="00200B96">
        <w:rPr>
          <w:rFonts w:ascii="Arial" w:hAnsi="Arial" w:cs="Arial"/>
        </w:rPr>
        <w:tab/>
      </w:r>
      <w:r w:rsidRPr="00200B96">
        <w:rPr>
          <w:rFonts w:ascii="Arial" w:hAnsi="Arial" w:cs="Arial"/>
          <w:i/>
        </w:rPr>
        <w:t xml:space="preserve"> </w:t>
      </w:r>
    </w:p>
    <w:p w14:paraId="4027B325"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bookmarkStart w:id="8" w:name="_Hlk127962464"/>
      <w:r w:rsidRPr="00200B96">
        <w:rPr>
          <w:rFonts w:ascii="Arial" w:hAnsi="Arial" w:cs="Arial"/>
          <w:sz w:val="22"/>
          <w:szCs w:val="22"/>
        </w:rPr>
        <w:t xml:space="preserve">Sections 2.6.1 and 2.6.2 of the DSOAR on Modifications and New Physical Connections </w:t>
      </w:r>
      <w:bookmarkEnd w:id="8"/>
      <w:r w:rsidRPr="00200B96">
        <w:rPr>
          <w:rFonts w:ascii="Arial" w:hAnsi="Arial" w:cs="Arial"/>
          <w:sz w:val="22"/>
          <w:szCs w:val="22"/>
        </w:rPr>
        <w:t>provide that:</w:t>
      </w:r>
    </w:p>
    <w:p w14:paraId="4E107BDE" w14:textId="77777777" w:rsidR="007D7EEA" w:rsidRPr="00200B96" w:rsidRDefault="00DD2A4D">
      <w:pPr>
        <w:overflowPunct w:val="0"/>
        <w:autoSpaceDE w:val="0"/>
        <w:autoSpaceDN w:val="0"/>
        <w:adjustRightInd w:val="0"/>
        <w:spacing w:after="0" w:line="240" w:lineRule="auto"/>
        <w:ind w:left="720" w:right="2"/>
        <w:jc w:val="both"/>
        <w:textAlignment w:val="baseline"/>
        <w:rPr>
          <w:rFonts w:ascii="Arial" w:hAnsi="Arial" w:cs="Arial"/>
        </w:rPr>
      </w:pPr>
      <w:r w:rsidRPr="00200B96">
        <w:rPr>
          <w:rFonts w:ascii="Arial" w:hAnsi="Arial" w:cs="Arial"/>
        </w:rPr>
        <w:tab/>
      </w:r>
    </w:p>
    <w:p w14:paraId="696CD3EE" w14:textId="570E06CB"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i/>
        </w:rPr>
      </w:pPr>
      <w:r w:rsidRPr="00200B96">
        <w:rPr>
          <w:rFonts w:ascii="Arial" w:hAnsi="Arial" w:cs="Arial"/>
          <w:b/>
          <w:i/>
        </w:rPr>
        <w:t>2.6.1 RIGHT TO EXTENSION OF LINES AND FACILITIES</w:t>
      </w:r>
    </w:p>
    <w:p w14:paraId="0F0B3AF7"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i/>
        </w:rPr>
      </w:pPr>
      <w:r w:rsidRPr="00200B96">
        <w:rPr>
          <w:rFonts w:ascii="Arial" w:hAnsi="Arial" w:cs="Arial"/>
          <w:b/>
          <w:i/>
        </w:rPr>
        <w:tab/>
      </w:r>
      <w:r w:rsidRPr="00200B96">
        <w:rPr>
          <w:rFonts w:ascii="Arial" w:hAnsi="Arial" w:cs="Arial"/>
          <w:b/>
          <w:i/>
        </w:rPr>
        <w:tab/>
      </w:r>
      <w:r w:rsidRPr="00200B96">
        <w:rPr>
          <w:rFonts w:ascii="Arial" w:hAnsi="Arial" w:cs="Arial"/>
          <w:b/>
          <w:i/>
        </w:rPr>
        <w:tab/>
      </w:r>
    </w:p>
    <w:p w14:paraId="3CE1BF9E"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i/>
        </w:rPr>
      </w:pPr>
      <w:r w:rsidRPr="00200B96">
        <w:rPr>
          <w:rFonts w:ascii="Arial" w:eastAsia="Times New Roman" w:hAnsi="Arial" w:cs="Arial"/>
          <w:i/>
        </w:rPr>
        <w:t>In accordance with the Magna Carta, a residential end-user located within (30) meters from the distribution utilities’ existing secondary low voltage lines has right to an extension of lines or installation of additional facilities, other than a service drop, at the expense of the utility. However, if a prospective customer is beyond the said distance and the said project is not included in the forecasted CAPEX of the distribution utility (DU), the customer or developer may advance the amounts</w:t>
      </w:r>
      <w:r w:rsidRPr="00200B96">
        <w:rPr>
          <w:rFonts w:ascii="Arial" w:hAnsi="Arial" w:cs="Arial"/>
          <w:i/>
        </w:rPr>
        <w:t xml:space="preserve"> necessary to cover the expenditures on the connection assets beyond the standard connection facilities.</w:t>
      </w:r>
    </w:p>
    <w:p w14:paraId="3B80D87B" w14:textId="77777777" w:rsidR="007D7EEA" w:rsidRPr="00200B96" w:rsidRDefault="007D7EEA">
      <w:pPr>
        <w:overflowPunct w:val="0"/>
        <w:autoSpaceDE w:val="0"/>
        <w:autoSpaceDN w:val="0"/>
        <w:adjustRightInd w:val="0"/>
        <w:spacing w:after="0" w:line="240" w:lineRule="auto"/>
        <w:ind w:left="1728" w:right="432"/>
        <w:jc w:val="both"/>
        <w:textAlignment w:val="baseline"/>
        <w:rPr>
          <w:rFonts w:ascii="Arial" w:hAnsi="Arial" w:cs="Arial"/>
          <w:i/>
        </w:rPr>
      </w:pPr>
    </w:p>
    <w:p w14:paraId="58FDB67B"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i/>
        </w:rPr>
      </w:pPr>
      <w:r w:rsidRPr="00200B96">
        <w:rPr>
          <w:rFonts w:ascii="Arial" w:hAnsi="Arial" w:cs="Arial"/>
          <w:b/>
          <w:i/>
        </w:rPr>
        <w:t>2.6.2 REFUND</w:t>
      </w:r>
    </w:p>
    <w:p w14:paraId="184E77AF" w14:textId="77777777" w:rsidR="007D7EEA" w:rsidRPr="00200B96" w:rsidRDefault="007D7EEA">
      <w:pPr>
        <w:overflowPunct w:val="0"/>
        <w:autoSpaceDE w:val="0"/>
        <w:autoSpaceDN w:val="0"/>
        <w:adjustRightInd w:val="0"/>
        <w:spacing w:after="0" w:line="240" w:lineRule="auto"/>
        <w:ind w:left="1728" w:right="432"/>
        <w:jc w:val="both"/>
        <w:textAlignment w:val="baseline"/>
        <w:rPr>
          <w:rFonts w:ascii="Arial" w:hAnsi="Arial" w:cs="Arial"/>
          <w:b/>
          <w:i/>
        </w:rPr>
      </w:pPr>
    </w:p>
    <w:p w14:paraId="155236BD"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i/>
        </w:rPr>
      </w:pPr>
      <w:r w:rsidRPr="00200B96">
        <w:rPr>
          <w:rFonts w:ascii="Arial" w:hAnsi="Arial" w:cs="Arial"/>
          <w:i/>
        </w:rPr>
        <w:t xml:space="preserve">To recover the aforementioned advanced payment, the customer may either demand the issuance from the DU of any financial instruments mutually acceptable to the parties or </w:t>
      </w:r>
      <w:r w:rsidRPr="00200B96">
        <w:rPr>
          <w:rFonts w:ascii="Arial" w:hAnsi="Arial" w:cs="Arial"/>
          <w:b/>
          <w:i/>
        </w:rPr>
        <w:t>refund at the rate of seventy-five (75) percent of the gross distribution revenue</w:t>
      </w:r>
      <w:r w:rsidRPr="00200B96">
        <w:rPr>
          <w:rFonts w:ascii="Arial" w:hAnsi="Arial" w:cs="Arial"/>
          <w:i/>
        </w:rPr>
        <w:t xml:space="preserve"> </w:t>
      </w:r>
      <w:r w:rsidRPr="00200B96">
        <w:rPr>
          <w:rFonts w:ascii="Arial" w:hAnsi="Arial" w:cs="Arial"/>
          <w:b/>
          <w:i/>
        </w:rPr>
        <w:t>derived from all customers connected</w:t>
      </w:r>
      <w:r w:rsidRPr="00200B96">
        <w:rPr>
          <w:rFonts w:ascii="Arial" w:hAnsi="Arial" w:cs="Arial"/>
          <w:i/>
        </w:rPr>
        <w:t xml:space="preserve"> to the line extension for the calendar year until such amounts are fully refunded xxx” </w:t>
      </w:r>
      <w:r w:rsidRPr="00D1542A">
        <w:rPr>
          <w:rFonts w:ascii="Arial" w:hAnsi="Arial" w:cs="Arial"/>
        </w:rPr>
        <w:t>(Emphasis supplied)</w:t>
      </w:r>
    </w:p>
    <w:p w14:paraId="0E0AB30D" w14:textId="77777777" w:rsidR="007D7EEA" w:rsidRPr="00200B96" w:rsidRDefault="00DD2A4D">
      <w:pPr>
        <w:overflowPunct w:val="0"/>
        <w:autoSpaceDE w:val="0"/>
        <w:autoSpaceDN w:val="0"/>
        <w:adjustRightInd w:val="0"/>
        <w:spacing w:after="0" w:line="240" w:lineRule="auto"/>
        <w:ind w:right="387"/>
        <w:jc w:val="both"/>
        <w:textAlignment w:val="baseline"/>
        <w:rPr>
          <w:rFonts w:ascii="Arial" w:hAnsi="Arial" w:cs="Arial"/>
        </w:rPr>
      </w:pPr>
      <w:r w:rsidRPr="00200B96">
        <w:rPr>
          <w:rFonts w:ascii="Arial" w:hAnsi="Arial" w:cs="Arial"/>
        </w:rPr>
        <w:tab/>
      </w:r>
      <w:r w:rsidRPr="00200B96">
        <w:rPr>
          <w:rFonts w:ascii="Arial" w:hAnsi="Arial" w:cs="Arial"/>
        </w:rPr>
        <w:tab/>
      </w:r>
    </w:p>
    <w:p w14:paraId="4B83AAA7"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 xml:space="preserve">In view of new regulatory frameworks, the ERC adopted on </w:t>
      </w:r>
      <w:r w:rsidRPr="00200B96">
        <w:rPr>
          <w:rFonts w:ascii="Arial" w:hAnsi="Arial" w:cs="Arial"/>
          <w:sz w:val="22"/>
          <w:szCs w:val="22"/>
        </w:rPr>
        <w:br/>
        <w:t>February 13, 2012, Resolution No. 3, series of 2012, amending some portions of the DSOAR including Sections 2.6.1, now re-numbered as 2.6.2.  The revised section of the DSOAR now states that:</w:t>
      </w:r>
    </w:p>
    <w:p w14:paraId="15369399" w14:textId="77777777" w:rsidR="007D7EEA" w:rsidRPr="00200B96" w:rsidRDefault="007D7EEA">
      <w:pPr>
        <w:overflowPunct w:val="0"/>
        <w:autoSpaceDE w:val="0"/>
        <w:autoSpaceDN w:val="0"/>
        <w:adjustRightInd w:val="0"/>
        <w:spacing w:after="0" w:line="240" w:lineRule="auto"/>
        <w:ind w:right="2" w:firstLine="709"/>
        <w:jc w:val="both"/>
        <w:textAlignment w:val="baseline"/>
        <w:rPr>
          <w:rFonts w:ascii="Arial" w:hAnsi="Arial" w:cs="Arial"/>
        </w:rPr>
      </w:pPr>
    </w:p>
    <w:p w14:paraId="69C920A2"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i/>
        </w:rPr>
      </w:pPr>
      <w:r w:rsidRPr="00200B96">
        <w:rPr>
          <w:rFonts w:ascii="Arial" w:hAnsi="Arial" w:cs="Arial"/>
          <w:b/>
          <w:i/>
        </w:rPr>
        <w:t>2.6.2 RIGHT TO EXTENSION OF LINES AND FACILITIES</w:t>
      </w:r>
    </w:p>
    <w:p w14:paraId="63F5CEB3"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i/>
        </w:rPr>
      </w:pPr>
      <w:r w:rsidRPr="00200B96">
        <w:rPr>
          <w:rFonts w:ascii="Arial" w:hAnsi="Arial" w:cs="Arial"/>
          <w:b/>
          <w:i/>
        </w:rPr>
        <w:tab/>
      </w:r>
      <w:r w:rsidRPr="00200B96">
        <w:rPr>
          <w:rFonts w:ascii="Arial" w:hAnsi="Arial" w:cs="Arial"/>
          <w:b/>
          <w:i/>
        </w:rPr>
        <w:tab/>
      </w:r>
      <w:r w:rsidRPr="00200B96">
        <w:rPr>
          <w:rFonts w:ascii="Arial" w:hAnsi="Arial" w:cs="Arial"/>
          <w:b/>
          <w:i/>
        </w:rPr>
        <w:tab/>
      </w:r>
    </w:p>
    <w:p w14:paraId="68079FC9"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i/>
        </w:rPr>
      </w:pPr>
      <w:r w:rsidRPr="00200B96">
        <w:rPr>
          <w:rFonts w:ascii="Arial" w:hAnsi="Arial" w:cs="Arial"/>
          <w:i/>
        </w:rPr>
        <w:t>Provided that the project is viable, a residential end-user has a right to an extension of lines or installation of additional facilities at the expense of the distribution unit.</w:t>
      </w:r>
    </w:p>
    <w:p w14:paraId="0789DE67" w14:textId="77777777" w:rsidR="007D7EEA" w:rsidRPr="00200B96" w:rsidRDefault="007D7EEA">
      <w:pPr>
        <w:overflowPunct w:val="0"/>
        <w:autoSpaceDE w:val="0"/>
        <w:autoSpaceDN w:val="0"/>
        <w:adjustRightInd w:val="0"/>
        <w:spacing w:after="0" w:line="240" w:lineRule="auto"/>
        <w:ind w:left="1701" w:right="432"/>
        <w:jc w:val="both"/>
        <w:textAlignment w:val="baseline"/>
        <w:rPr>
          <w:rFonts w:ascii="Arial" w:hAnsi="Arial" w:cs="Arial"/>
          <w:i/>
        </w:rPr>
      </w:pPr>
    </w:p>
    <w:p w14:paraId="4F25DCF9"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i/>
        </w:rPr>
      </w:pPr>
      <w:r w:rsidRPr="00200B96">
        <w:rPr>
          <w:rFonts w:ascii="Arial" w:hAnsi="Arial" w:cs="Arial"/>
          <w:i/>
        </w:rPr>
        <w:t>A project shall be considered as viable if the cost of installing lines and facilities is at least equal to the revenue/s derived from customer/s connected thereto within the standard asset life of such lines and facilities as determined under existing ERC rules and regulations.</w:t>
      </w:r>
    </w:p>
    <w:p w14:paraId="7A9B2833" w14:textId="77777777" w:rsidR="007D7EEA" w:rsidRPr="00200B96" w:rsidRDefault="007D7EEA">
      <w:pPr>
        <w:overflowPunct w:val="0"/>
        <w:autoSpaceDE w:val="0"/>
        <w:autoSpaceDN w:val="0"/>
        <w:adjustRightInd w:val="0"/>
        <w:spacing w:after="0" w:line="240" w:lineRule="auto"/>
        <w:ind w:left="1728" w:right="432"/>
        <w:jc w:val="both"/>
        <w:textAlignment w:val="baseline"/>
        <w:rPr>
          <w:rFonts w:ascii="Arial" w:hAnsi="Arial" w:cs="Arial"/>
          <w:i/>
        </w:rPr>
      </w:pPr>
    </w:p>
    <w:p w14:paraId="2D623460"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i/>
        </w:rPr>
      </w:pPr>
      <w:r w:rsidRPr="00200B96">
        <w:rPr>
          <w:rFonts w:ascii="Arial" w:hAnsi="Arial" w:cs="Arial"/>
          <w:b/>
          <w:i/>
        </w:rPr>
        <w:t xml:space="preserve">If the project is not viable as referred to above, the customer or developer may advance the amounts necessary to cover the </w:t>
      </w:r>
      <w:r w:rsidRPr="00200B96">
        <w:rPr>
          <w:rFonts w:ascii="Arial" w:hAnsi="Arial" w:cs="Arial"/>
          <w:b/>
          <w:i/>
        </w:rPr>
        <w:lastRenderedPageBreak/>
        <w:t>expenditures</w:t>
      </w:r>
      <w:r w:rsidRPr="00200B96">
        <w:rPr>
          <w:rFonts w:ascii="Arial" w:hAnsi="Arial" w:cs="Arial"/>
          <w:i/>
        </w:rPr>
        <w:t xml:space="preserve"> on the non-standard connection assets/facilities. Xxx </w:t>
      </w:r>
      <w:r w:rsidRPr="00D1542A">
        <w:rPr>
          <w:rFonts w:ascii="Arial" w:hAnsi="Arial" w:cs="Arial"/>
        </w:rPr>
        <w:t>(Emphasis supplied)</w:t>
      </w:r>
    </w:p>
    <w:p w14:paraId="2B80067E" w14:textId="77777777" w:rsidR="007D7EEA" w:rsidRPr="00200B96" w:rsidRDefault="00DD2A4D">
      <w:pPr>
        <w:overflowPunct w:val="0"/>
        <w:autoSpaceDE w:val="0"/>
        <w:autoSpaceDN w:val="0"/>
        <w:adjustRightInd w:val="0"/>
        <w:spacing w:after="0" w:line="240" w:lineRule="auto"/>
        <w:jc w:val="both"/>
        <w:textAlignment w:val="baseline"/>
        <w:rPr>
          <w:rFonts w:ascii="Arial" w:hAnsi="Arial" w:cs="Arial"/>
        </w:rPr>
      </w:pPr>
      <w:r w:rsidRPr="00200B96">
        <w:rPr>
          <w:rFonts w:ascii="Arial" w:hAnsi="Arial" w:cs="Arial"/>
          <w:i/>
        </w:rPr>
        <w:t xml:space="preserve"> </w:t>
      </w:r>
      <w:r w:rsidRPr="00200B96">
        <w:rPr>
          <w:rFonts w:ascii="Arial" w:hAnsi="Arial" w:cs="Arial"/>
        </w:rPr>
        <w:tab/>
      </w:r>
    </w:p>
    <w:p w14:paraId="6985CB6A"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200B96">
        <w:rPr>
          <w:rFonts w:ascii="Arial" w:hAnsi="Arial" w:cs="Arial"/>
          <w:sz w:val="22"/>
          <w:szCs w:val="22"/>
        </w:rPr>
        <w:t>Likewise, Section I, paragraph 1.3 of the Agreement for extension of Lines and/or additional facilities between the AFPRSBS and Meralco states that:</w:t>
      </w:r>
    </w:p>
    <w:p w14:paraId="4CD991D3" w14:textId="042B5F29" w:rsidR="007D7EEA" w:rsidRDefault="007D7EEA">
      <w:pPr>
        <w:overflowPunct w:val="0"/>
        <w:autoSpaceDE w:val="0"/>
        <w:autoSpaceDN w:val="0"/>
        <w:adjustRightInd w:val="0"/>
        <w:spacing w:after="0" w:line="240" w:lineRule="auto"/>
        <w:ind w:right="387"/>
        <w:jc w:val="both"/>
        <w:textAlignment w:val="baseline"/>
        <w:rPr>
          <w:rFonts w:ascii="Arial" w:hAnsi="Arial" w:cs="Arial"/>
        </w:rPr>
      </w:pPr>
    </w:p>
    <w:p w14:paraId="51BC3035"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rPr>
      </w:pPr>
      <w:r w:rsidRPr="00200B96">
        <w:rPr>
          <w:rFonts w:ascii="Arial" w:hAnsi="Arial" w:cs="Arial"/>
          <w:b/>
        </w:rPr>
        <w:t>I. TERMS and CONDITIONS</w:t>
      </w:r>
    </w:p>
    <w:p w14:paraId="3B9231F4"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b/>
        </w:rPr>
      </w:pPr>
      <w:r w:rsidRPr="00200B96">
        <w:rPr>
          <w:rFonts w:ascii="Arial" w:hAnsi="Arial" w:cs="Arial"/>
          <w:b/>
        </w:rPr>
        <w:tab/>
      </w:r>
      <w:r w:rsidRPr="00200B96">
        <w:rPr>
          <w:rFonts w:ascii="Arial" w:hAnsi="Arial" w:cs="Arial"/>
          <w:b/>
        </w:rPr>
        <w:tab/>
      </w:r>
    </w:p>
    <w:p w14:paraId="7293292A" w14:textId="77777777" w:rsidR="007D7EEA" w:rsidRPr="00200B96" w:rsidRDefault="00DD2A4D">
      <w:pPr>
        <w:overflowPunct w:val="0"/>
        <w:autoSpaceDE w:val="0"/>
        <w:autoSpaceDN w:val="0"/>
        <w:adjustRightInd w:val="0"/>
        <w:spacing w:after="0" w:line="240" w:lineRule="auto"/>
        <w:ind w:left="1728" w:right="432"/>
        <w:jc w:val="both"/>
        <w:textAlignment w:val="baseline"/>
        <w:rPr>
          <w:rFonts w:ascii="Arial" w:hAnsi="Arial" w:cs="Arial"/>
          <w:i/>
        </w:rPr>
      </w:pPr>
      <w:r w:rsidRPr="00200B96">
        <w:rPr>
          <w:rFonts w:ascii="Arial" w:hAnsi="Arial" w:cs="Arial"/>
          <w:i/>
        </w:rPr>
        <w:t>1.3 REFUND. The CUSTOMER shall be entitled to an annual refund of seventy-five percent (75%) of the Gross Distribution Revenue (GDR) realized from all customers directly connected to the lines/poles/facilities subject matter of this Agreement for the calendar year, commencing from the energization of service* until such amounts are fully refunded. MERALCO shall have the right to off-set the refund amount or the balance thereof against the unpaid electric bills of the CUSTOMER which are already due and demandable. Xxx</w:t>
      </w:r>
    </w:p>
    <w:p w14:paraId="129F340F" w14:textId="77777777" w:rsidR="007D7EEA" w:rsidRPr="00200B96" w:rsidRDefault="007D7EEA">
      <w:pPr>
        <w:pStyle w:val="NoSpacing"/>
        <w:ind w:left="1980" w:right="389"/>
        <w:jc w:val="both"/>
        <w:rPr>
          <w:rFonts w:ascii="Arial" w:hAnsi="Arial" w:cs="Arial"/>
          <w:i/>
        </w:rPr>
      </w:pPr>
    </w:p>
    <w:p w14:paraId="009CEA69" w14:textId="160E21B5" w:rsidR="007D7EEA" w:rsidRPr="00306C61" w:rsidRDefault="00DD2A4D" w:rsidP="00BB0337">
      <w:pPr>
        <w:pStyle w:val="NormalWeb"/>
        <w:numPr>
          <w:ilvl w:val="1"/>
          <w:numId w:val="3"/>
        </w:numPr>
        <w:spacing w:before="0" w:beforeAutospacing="0" w:after="0" w:afterAutospacing="0"/>
        <w:ind w:left="1267" w:hanging="691"/>
        <w:jc w:val="both"/>
        <w:rPr>
          <w:rFonts w:ascii="Arial" w:hAnsi="Arial" w:cs="Arial"/>
          <w:b/>
          <w:sz w:val="22"/>
          <w:szCs w:val="22"/>
        </w:rPr>
      </w:pPr>
      <w:r w:rsidRPr="00200B96">
        <w:rPr>
          <w:rFonts w:ascii="Arial" w:hAnsi="Arial" w:cs="Arial"/>
          <w:sz w:val="22"/>
          <w:szCs w:val="22"/>
        </w:rPr>
        <w:t>As AFPRSBS is engaged in various business operations including real estate projects involving the development and construction of commercial and subdivision projects, it ensures that its residential subdivisions have adequate electric service.  In fulfilling such duty, the AFPRSBS made several applications for service connection with Meralco from CYs 2006 to 2019 that required advance payments as per above-mentioned DSOAR.</w:t>
      </w:r>
    </w:p>
    <w:p w14:paraId="372FE2E3" w14:textId="77777777" w:rsidR="00306C61" w:rsidRPr="00200B96" w:rsidRDefault="00306C61" w:rsidP="00306C61">
      <w:pPr>
        <w:pStyle w:val="NormalWeb"/>
        <w:spacing w:before="0" w:beforeAutospacing="0" w:after="0" w:afterAutospacing="0"/>
        <w:ind w:left="1267"/>
        <w:jc w:val="both"/>
        <w:rPr>
          <w:rFonts w:ascii="Arial" w:hAnsi="Arial" w:cs="Arial"/>
          <w:b/>
          <w:sz w:val="22"/>
          <w:szCs w:val="22"/>
        </w:rPr>
      </w:pPr>
    </w:p>
    <w:p w14:paraId="16FCD188" w14:textId="35511672"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As at December 31, 2022, the total deposit/advance payments of the AFPRSBS to the Meralco </w:t>
      </w:r>
      <w:r w:rsidRPr="00200B96">
        <w:rPr>
          <w:rFonts w:ascii="Arial" w:hAnsi="Arial" w:cs="Arial"/>
          <w:sz w:val="22"/>
          <w:szCs w:val="22"/>
        </w:rPr>
        <w:t>amounted</w:t>
      </w:r>
      <w:r w:rsidRPr="00200B96">
        <w:rPr>
          <w:rFonts w:ascii="Arial" w:eastAsia="SimSun" w:hAnsi="Arial" w:cs="Arial"/>
          <w:sz w:val="22"/>
          <w:szCs w:val="22"/>
          <w:lang w:eastAsia="zh-CN"/>
        </w:rPr>
        <w:t xml:space="preserve"> to P23.872 million for subdivisions Riviera Residential Estate, Villa Segovia and Villa de Toledo, out of which P16.057 million or 67.27 per cent remained unrefunded, contrary to the DSOAR and signed agreements.  Details of the submitted summary by the Management is presented in Table </w:t>
      </w:r>
      <w:r w:rsidR="00E4192B" w:rsidRPr="00200B96">
        <w:rPr>
          <w:rFonts w:ascii="Arial" w:eastAsia="SimSun" w:hAnsi="Arial" w:cs="Arial"/>
          <w:sz w:val="22"/>
          <w:szCs w:val="22"/>
          <w:lang w:eastAsia="zh-CN"/>
        </w:rPr>
        <w:t>10</w:t>
      </w:r>
      <w:r w:rsidRPr="00200B96">
        <w:rPr>
          <w:rFonts w:ascii="Arial" w:eastAsia="SimSun" w:hAnsi="Arial" w:cs="Arial"/>
          <w:sz w:val="22"/>
          <w:szCs w:val="22"/>
          <w:lang w:eastAsia="zh-CN"/>
        </w:rPr>
        <w:t>.1.</w:t>
      </w:r>
    </w:p>
    <w:p w14:paraId="7BFF1672" w14:textId="77777777" w:rsidR="007D7EEA" w:rsidRPr="00200B96" w:rsidRDefault="007D7EEA">
      <w:pPr>
        <w:spacing w:after="0" w:line="240" w:lineRule="auto"/>
        <w:rPr>
          <w:rFonts w:ascii="Arial" w:eastAsia="SimSun" w:hAnsi="Arial" w:cs="Arial"/>
          <w:b/>
          <w:lang w:eastAsia="zh-CN"/>
        </w:rPr>
      </w:pPr>
    </w:p>
    <w:p w14:paraId="040D1947" w14:textId="0908A54E" w:rsidR="007D7EEA" w:rsidRPr="00200B96" w:rsidRDefault="00DD2A4D">
      <w:pPr>
        <w:spacing w:after="0" w:line="240" w:lineRule="auto"/>
        <w:ind w:left="1260"/>
        <w:jc w:val="center"/>
        <w:rPr>
          <w:rFonts w:ascii="Arial" w:eastAsia="SimSun" w:hAnsi="Arial" w:cs="Arial"/>
          <w:b/>
          <w:lang w:eastAsia="zh-CN"/>
        </w:rPr>
      </w:pPr>
      <w:r w:rsidRPr="00200B96">
        <w:rPr>
          <w:rFonts w:ascii="Arial" w:eastAsia="SimSun" w:hAnsi="Arial" w:cs="Arial"/>
          <w:b/>
          <w:lang w:eastAsia="zh-CN"/>
        </w:rPr>
        <w:t xml:space="preserve">Table </w:t>
      </w:r>
      <w:r w:rsidR="00E4192B" w:rsidRPr="00200B96">
        <w:rPr>
          <w:rFonts w:ascii="Arial" w:eastAsia="SimSun" w:hAnsi="Arial" w:cs="Arial"/>
          <w:b/>
          <w:lang w:eastAsia="zh-CN"/>
        </w:rPr>
        <w:t>10</w:t>
      </w:r>
      <w:r w:rsidRPr="00200B96">
        <w:rPr>
          <w:rFonts w:ascii="Arial" w:eastAsia="SimSun" w:hAnsi="Arial" w:cs="Arial"/>
          <w:b/>
          <w:lang w:eastAsia="zh-CN"/>
        </w:rPr>
        <w:t xml:space="preserve">.1 – </w:t>
      </w:r>
      <w:bookmarkStart w:id="9" w:name="_Hlk127968338"/>
      <w:r w:rsidRPr="00200B96">
        <w:rPr>
          <w:rFonts w:ascii="Arial" w:eastAsia="SimSun" w:hAnsi="Arial" w:cs="Arial"/>
          <w:b/>
          <w:lang w:eastAsia="zh-CN"/>
        </w:rPr>
        <w:t>Summary of Meralco Disbursements and Refunds</w:t>
      </w:r>
    </w:p>
    <w:bookmarkEnd w:id="9"/>
    <w:p w14:paraId="058F6C6C" w14:textId="77777777" w:rsidR="007D7EEA" w:rsidRPr="00200B96" w:rsidRDefault="00DD2A4D">
      <w:pPr>
        <w:pStyle w:val="ListParagraph"/>
        <w:ind w:left="1260"/>
        <w:jc w:val="center"/>
        <w:rPr>
          <w:rFonts w:ascii="Arial" w:eastAsia="SimSun" w:hAnsi="Arial" w:cs="Arial"/>
          <w:b/>
          <w:sz w:val="22"/>
          <w:szCs w:val="22"/>
          <w:lang w:eastAsia="zh-CN"/>
        </w:rPr>
      </w:pPr>
      <w:r w:rsidRPr="00200B96">
        <w:rPr>
          <w:rFonts w:ascii="Arial" w:eastAsia="SimSun" w:hAnsi="Arial" w:cs="Arial"/>
          <w:b/>
          <w:sz w:val="22"/>
          <w:szCs w:val="22"/>
          <w:lang w:eastAsia="zh-CN"/>
        </w:rPr>
        <w:t>As at December 31, 2022</w:t>
      </w:r>
    </w:p>
    <w:p w14:paraId="6A3F247A" w14:textId="77777777" w:rsidR="007D7EEA" w:rsidRPr="00200B96" w:rsidRDefault="007D7EEA">
      <w:pPr>
        <w:pStyle w:val="ListParagraph"/>
        <w:ind w:firstLine="720"/>
        <w:jc w:val="center"/>
        <w:rPr>
          <w:rFonts w:ascii="Arial" w:eastAsia="SimSun" w:hAnsi="Arial" w:cs="Arial"/>
          <w:sz w:val="22"/>
          <w:szCs w:val="22"/>
          <w:lang w:eastAsia="zh-CN"/>
        </w:rPr>
      </w:pPr>
    </w:p>
    <w:tbl>
      <w:tblPr>
        <w:tblW w:w="0" w:type="auto"/>
        <w:tblInd w:w="1260" w:type="dxa"/>
        <w:tblLayout w:type="fixed"/>
        <w:tblLook w:val="04A0" w:firstRow="1" w:lastRow="0" w:firstColumn="1" w:lastColumn="0" w:noHBand="0" w:noVBand="1"/>
      </w:tblPr>
      <w:tblGrid>
        <w:gridCol w:w="1260"/>
        <w:gridCol w:w="1530"/>
        <w:gridCol w:w="1530"/>
        <w:gridCol w:w="1530"/>
        <w:gridCol w:w="1530"/>
      </w:tblGrid>
      <w:tr w:rsidR="007D7EEA" w14:paraId="45031DCE" w14:textId="77777777">
        <w:tc>
          <w:tcPr>
            <w:tcW w:w="1260" w:type="dxa"/>
            <w:tcBorders>
              <w:top w:val="single" w:sz="8" w:space="0" w:color="auto"/>
              <w:left w:val="nil"/>
              <w:bottom w:val="single" w:sz="8" w:space="0" w:color="auto"/>
              <w:right w:val="nil"/>
            </w:tcBorders>
            <w:shd w:val="clear" w:color="auto" w:fill="auto"/>
            <w:noWrap/>
            <w:vAlign w:val="center"/>
          </w:tcPr>
          <w:p w14:paraId="136753D5"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Year paid</w:t>
            </w:r>
          </w:p>
        </w:tc>
        <w:tc>
          <w:tcPr>
            <w:tcW w:w="1530" w:type="dxa"/>
            <w:tcBorders>
              <w:top w:val="single" w:sz="8" w:space="0" w:color="auto"/>
              <w:left w:val="nil"/>
              <w:bottom w:val="single" w:sz="8" w:space="0" w:color="auto"/>
              <w:right w:val="nil"/>
            </w:tcBorders>
            <w:shd w:val="clear" w:color="auto" w:fill="auto"/>
            <w:noWrap/>
            <w:vAlign w:val="center"/>
          </w:tcPr>
          <w:p w14:paraId="7E07E15A"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Advance payment</w:t>
            </w:r>
          </w:p>
        </w:tc>
        <w:tc>
          <w:tcPr>
            <w:tcW w:w="1530" w:type="dxa"/>
            <w:tcBorders>
              <w:top w:val="single" w:sz="8" w:space="0" w:color="auto"/>
              <w:left w:val="nil"/>
              <w:bottom w:val="single" w:sz="8" w:space="0" w:color="auto"/>
              <w:right w:val="nil"/>
            </w:tcBorders>
            <w:shd w:val="clear" w:color="auto" w:fill="auto"/>
            <w:noWrap/>
            <w:vAlign w:val="center"/>
          </w:tcPr>
          <w:p w14:paraId="0F5D24C5"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Refunded</w:t>
            </w:r>
          </w:p>
        </w:tc>
        <w:tc>
          <w:tcPr>
            <w:tcW w:w="1530" w:type="dxa"/>
            <w:tcBorders>
              <w:top w:val="single" w:sz="8" w:space="0" w:color="auto"/>
              <w:left w:val="nil"/>
              <w:bottom w:val="single" w:sz="8" w:space="0" w:color="auto"/>
              <w:right w:val="nil"/>
            </w:tcBorders>
            <w:shd w:val="clear" w:color="auto" w:fill="auto"/>
            <w:noWrap/>
            <w:vAlign w:val="center"/>
          </w:tcPr>
          <w:p w14:paraId="035862C6"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Balance</w:t>
            </w:r>
          </w:p>
        </w:tc>
        <w:tc>
          <w:tcPr>
            <w:tcW w:w="1530" w:type="dxa"/>
            <w:tcBorders>
              <w:top w:val="single" w:sz="8" w:space="0" w:color="auto"/>
              <w:left w:val="nil"/>
              <w:bottom w:val="single" w:sz="8" w:space="0" w:color="auto"/>
              <w:right w:val="nil"/>
            </w:tcBorders>
            <w:shd w:val="clear" w:color="auto" w:fill="auto"/>
            <w:vAlign w:val="center"/>
          </w:tcPr>
          <w:p w14:paraId="70D20B29"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Percentage to total</w:t>
            </w:r>
          </w:p>
        </w:tc>
      </w:tr>
      <w:tr w:rsidR="007D7EEA" w14:paraId="090A14B3" w14:textId="77777777">
        <w:tc>
          <w:tcPr>
            <w:tcW w:w="1260" w:type="dxa"/>
            <w:tcBorders>
              <w:top w:val="nil"/>
              <w:left w:val="nil"/>
              <w:bottom w:val="nil"/>
              <w:right w:val="nil"/>
            </w:tcBorders>
            <w:shd w:val="clear" w:color="auto" w:fill="auto"/>
            <w:noWrap/>
            <w:vAlign w:val="center"/>
          </w:tcPr>
          <w:p w14:paraId="239B2FB2"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xml:space="preserve">2006-2010 </w:t>
            </w:r>
          </w:p>
        </w:tc>
        <w:tc>
          <w:tcPr>
            <w:tcW w:w="1530" w:type="dxa"/>
            <w:tcBorders>
              <w:top w:val="nil"/>
              <w:left w:val="nil"/>
              <w:bottom w:val="nil"/>
              <w:right w:val="nil"/>
            </w:tcBorders>
            <w:shd w:val="clear" w:color="auto" w:fill="auto"/>
            <w:noWrap/>
            <w:vAlign w:val="center"/>
          </w:tcPr>
          <w:p w14:paraId="13817A9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2,485,550</w:t>
            </w:r>
          </w:p>
        </w:tc>
        <w:tc>
          <w:tcPr>
            <w:tcW w:w="1530" w:type="dxa"/>
            <w:tcBorders>
              <w:top w:val="nil"/>
              <w:left w:val="nil"/>
              <w:bottom w:val="nil"/>
              <w:right w:val="nil"/>
            </w:tcBorders>
            <w:shd w:val="clear" w:color="auto" w:fill="auto"/>
            <w:noWrap/>
            <w:vAlign w:val="center"/>
          </w:tcPr>
          <w:p w14:paraId="694790F2" w14:textId="77777777" w:rsidR="007D7EEA" w:rsidRDefault="00DD2A4D">
            <w:pPr>
              <w:spacing w:after="0" w:line="240" w:lineRule="auto"/>
              <w:ind w:left="-28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xml:space="preserve"> P 2,173,596 </w:t>
            </w:r>
          </w:p>
        </w:tc>
        <w:tc>
          <w:tcPr>
            <w:tcW w:w="1530" w:type="dxa"/>
            <w:tcBorders>
              <w:top w:val="nil"/>
              <w:left w:val="nil"/>
              <w:bottom w:val="nil"/>
              <w:right w:val="nil"/>
            </w:tcBorders>
            <w:shd w:val="clear" w:color="auto" w:fill="auto"/>
            <w:noWrap/>
            <w:vAlign w:val="center"/>
          </w:tcPr>
          <w:p w14:paraId="79907B50" w14:textId="77777777" w:rsidR="007D7EEA" w:rsidRDefault="00DD2A4D">
            <w:pPr>
              <w:spacing w:after="0" w:line="240" w:lineRule="auto"/>
              <w:ind w:left="-28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xml:space="preserve">P     311,954 </w:t>
            </w:r>
          </w:p>
        </w:tc>
        <w:tc>
          <w:tcPr>
            <w:tcW w:w="1530" w:type="dxa"/>
            <w:tcBorders>
              <w:top w:val="nil"/>
              <w:left w:val="nil"/>
              <w:bottom w:val="nil"/>
              <w:right w:val="nil"/>
            </w:tcBorders>
            <w:shd w:val="clear" w:color="auto" w:fill="auto"/>
            <w:vAlign w:val="center"/>
          </w:tcPr>
          <w:p w14:paraId="36D79F61" w14:textId="77777777" w:rsidR="007D7EEA" w:rsidRDefault="00DD2A4D">
            <w:pPr>
              <w:spacing w:after="0" w:line="240" w:lineRule="auto"/>
              <w:ind w:right="-144"/>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1.31</w:t>
            </w:r>
          </w:p>
        </w:tc>
      </w:tr>
      <w:tr w:rsidR="007D7EEA" w14:paraId="7A56DC5D" w14:textId="77777777">
        <w:tc>
          <w:tcPr>
            <w:tcW w:w="1260" w:type="dxa"/>
            <w:tcBorders>
              <w:top w:val="nil"/>
              <w:left w:val="nil"/>
              <w:bottom w:val="nil"/>
              <w:right w:val="nil"/>
            </w:tcBorders>
            <w:shd w:val="clear" w:color="auto" w:fill="auto"/>
            <w:noWrap/>
            <w:vAlign w:val="center"/>
          </w:tcPr>
          <w:p w14:paraId="62C8BCF0"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2011-2017</w:t>
            </w:r>
          </w:p>
        </w:tc>
        <w:tc>
          <w:tcPr>
            <w:tcW w:w="1530" w:type="dxa"/>
            <w:tcBorders>
              <w:top w:val="nil"/>
              <w:left w:val="nil"/>
              <w:bottom w:val="nil"/>
              <w:right w:val="nil"/>
            </w:tcBorders>
            <w:shd w:val="clear" w:color="auto" w:fill="auto"/>
            <w:noWrap/>
            <w:vAlign w:val="center"/>
          </w:tcPr>
          <w:p w14:paraId="4A053FF1"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15,809,375</w:t>
            </w:r>
          </w:p>
        </w:tc>
        <w:tc>
          <w:tcPr>
            <w:tcW w:w="1530" w:type="dxa"/>
            <w:tcBorders>
              <w:top w:val="nil"/>
              <w:left w:val="nil"/>
              <w:bottom w:val="nil"/>
              <w:right w:val="nil"/>
            </w:tcBorders>
            <w:shd w:val="clear" w:color="auto" w:fill="auto"/>
            <w:noWrap/>
            <w:vAlign w:val="center"/>
          </w:tcPr>
          <w:p w14:paraId="4672EAF3"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4,405,653</w:t>
            </w:r>
          </w:p>
        </w:tc>
        <w:tc>
          <w:tcPr>
            <w:tcW w:w="1530" w:type="dxa"/>
            <w:tcBorders>
              <w:top w:val="nil"/>
              <w:left w:val="nil"/>
              <w:bottom w:val="nil"/>
              <w:right w:val="nil"/>
            </w:tcBorders>
            <w:shd w:val="clear" w:color="auto" w:fill="auto"/>
            <w:noWrap/>
            <w:vAlign w:val="center"/>
          </w:tcPr>
          <w:p w14:paraId="41AC436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11,403,721</w:t>
            </w:r>
          </w:p>
        </w:tc>
        <w:tc>
          <w:tcPr>
            <w:tcW w:w="1530" w:type="dxa"/>
            <w:tcBorders>
              <w:top w:val="nil"/>
              <w:left w:val="nil"/>
              <w:bottom w:val="nil"/>
              <w:right w:val="nil"/>
            </w:tcBorders>
            <w:shd w:val="clear" w:color="auto" w:fill="auto"/>
            <w:vAlign w:val="center"/>
          </w:tcPr>
          <w:p w14:paraId="08A3433B"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47.77</w:t>
            </w:r>
          </w:p>
        </w:tc>
      </w:tr>
      <w:tr w:rsidR="007D7EEA" w14:paraId="2F362CC6" w14:textId="77777777">
        <w:tc>
          <w:tcPr>
            <w:tcW w:w="1260" w:type="dxa"/>
            <w:tcBorders>
              <w:top w:val="nil"/>
              <w:left w:val="nil"/>
              <w:bottom w:val="single" w:sz="8" w:space="0" w:color="auto"/>
              <w:right w:val="nil"/>
            </w:tcBorders>
            <w:shd w:val="clear" w:color="auto" w:fill="auto"/>
            <w:noWrap/>
            <w:vAlign w:val="center"/>
          </w:tcPr>
          <w:p w14:paraId="7150C2E2"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2018-2022</w:t>
            </w:r>
          </w:p>
        </w:tc>
        <w:tc>
          <w:tcPr>
            <w:tcW w:w="1530" w:type="dxa"/>
            <w:tcBorders>
              <w:top w:val="nil"/>
              <w:left w:val="nil"/>
              <w:bottom w:val="single" w:sz="8" w:space="0" w:color="auto"/>
              <w:right w:val="nil"/>
            </w:tcBorders>
            <w:shd w:val="clear" w:color="auto" w:fill="auto"/>
            <w:noWrap/>
            <w:vAlign w:val="center"/>
          </w:tcPr>
          <w:p w14:paraId="425155E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5,576,682</w:t>
            </w:r>
          </w:p>
        </w:tc>
        <w:tc>
          <w:tcPr>
            <w:tcW w:w="1530" w:type="dxa"/>
            <w:tcBorders>
              <w:top w:val="nil"/>
              <w:left w:val="nil"/>
              <w:bottom w:val="single" w:sz="8" w:space="0" w:color="auto"/>
              <w:right w:val="nil"/>
            </w:tcBorders>
            <w:shd w:val="clear" w:color="auto" w:fill="auto"/>
            <w:noWrap/>
            <w:vAlign w:val="center"/>
          </w:tcPr>
          <w:p w14:paraId="45597E3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1,235,558</w:t>
            </w:r>
          </w:p>
        </w:tc>
        <w:tc>
          <w:tcPr>
            <w:tcW w:w="1530" w:type="dxa"/>
            <w:tcBorders>
              <w:top w:val="nil"/>
              <w:left w:val="nil"/>
              <w:bottom w:val="single" w:sz="8" w:space="0" w:color="auto"/>
              <w:right w:val="nil"/>
            </w:tcBorders>
            <w:shd w:val="clear" w:color="auto" w:fill="auto"/>
            <w:noWrap/>
            <w:vAlign w:val="center"/>
          </w:tcPr>
          <w:p w14:paraId="154C1B7D"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4,341,125</w:t>
            </w:r>
          </w:p>
        </w:tc>
        <w:tc>
          <w:tcPr>
            <w:tcW w:w="1530" w:type="dxa"/>
            <w:tcBorders>
              <w:top w:val="nil"/>
              <w:left w:val="nil"/>
              <w:bottom w:val="single" w:sz="8" w:space="0" w:color="auto"/>
              <w:right w:val="nil"/>
            </w:tcBorders>
            <w:shd w:val="clear" w:color="auto" w:fill="auto"/>
            <w:vAlign w:val="center"/>
          </w:tcPr>
          <w:p w14:paraId="23C74887"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18.19</w:t>
            </w:r>
          </w:p>
        </w:tc>
      </w:tr>
      <w:tr w:rsidR="007D7EEA" w14:paraId="3493391C" w14:textId="77777777">
        <w:trPr>
          <w:trHeight w:val="317"/>
        </w:trPr>
        <w:tc>
          <w:tcPr>
            <w:tcW w:w="1260" w:type="dxa"/>
            <w:tcBorders>
              <w:top w:val="nil"/>
              <w:left w:val="nil"/>
              <w:bottom w:val="double" w:sz="6" w:space="0" w:color="auto"/>
              <w:right w:val="nil"/>
            </w:tcBorders>
            <w:shd w:val="clear" w:color="auto" w:fill="auto"/>
            <w:noWrap/>
            <w:vAlign w:val="center"/>
          </w:tcPr>
          <w:p w14:paraId="4C607794" w14:textId="77777777" w:rsidR="007D7EEA" w:rsidRDefault="00DD2A4D">
            <w:pPr>
              <w:spacing w:after="0" w:line="240" w:lineRule="auto"/>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Total</w:t>
            </w:r>
          </w:p>
        </w:tc>
        <w:tc>
          <w:tcPr>
            <w:tcW w:w="1530" w:type="dxa"/>
            <w:tcBorders>
              <w:top w:val="nil"/>
              <w:left w:val="nil"/>
              <w:bottom w:val="double" w:sz="6" w:space="0" w:color="auto"/>
              <w:right w:val="nil"/>
            </w:tcBorders>
            <w:shd w:val="clear" w:color="auto" w:fill="auto"/>
            <w:noWrap/>
            <w:vAlign w:val="center"/>
          </w:tcPr>
          <w:p w14:paraId="2BD845D4" w14:textId="77777777" w:rsidR="007D7EEA" w:rsidRDefault="00DD2A4D">
            <w:pPr>
              <w:spacing w:after="0" w:line="240" w:lineRule="auto"/>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 xml:space="preserve">P23,871,607 </w:t>
            </w:r>
          </w:p>
        </w:tc>
        <w:tc>
          <w:tcPr>
            <w:tcW w:w="1530" w:type="dxa"/>
            <w:tcBorders>
              <w:top w:val="nil"/>
              <w:left w:val="nil"/>
              <w:bottom w:val="double" w:sz="6" w:space="0" w:color="auto"/>
              <w:right w:val="nil"/>
            </w:tcBorders>
            <w:shd w:val="clear" w:color="auto" w:fill="auto"/>
            <w:noWrap/>
            <w:vAlign w:val="center"/>
          </w:tcPr>
          <w:p w14:paraId="22FBA06C" w14:textId="77777777" w:rsidR="007D7EEA" w:rsidRDefault="00DD2A4D">
            <w:pPr>
              <w:spacing w:after="0" w:line="240" w:lineRule="auto"/>
              <w:ind w:left="-28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 xml:space="preserve"> P 7,814,807 </w:t>
            </w:r>
          </w:p>
        </w:tc>
        <w:tc>
          <w:tcPr>
            <w:tcW w:w="1530" w:type="dxa"/>
            <w:tcBorders>
              <w:top w:val="nil"/>
              <w:left w:val="nil"/>
              <w:bottom w:val="double" w:sz="6" w:space="0" w:color="auto"/>
              <w:right w:val="nil"/>
            </w:tcBorders>
            <w:shd w:val="clear" w:color="auto" w:fill="auto"/>
            <w:noWrap/>
            <w:vAlign w:val="center"/>
          </w:tcPr>
          <w:p w14:paraId="2A4610E0" w14:textId="77777777" w:rsidR="007D7EEA" w:rsidRDefault="00DD2A4D">
            <w:pPr>
              <w:spacing w:after="0" w:line="240" w:lineRule="auto"/>
              <w:ind w:left="-28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 xml:space="preserve">P16,056,800 </w:t>
            </w:r>
          </w:p>
        </w:tc>
        <w:tc>
          <w:tcPr>
            <w:tcW w:w="1530" w:type="dxa"/>
            <w:tcBorders>
              <w:top w:val="nil"/>
              <w:left w:val="nil"/>
              <w:bottom w:val="double" w:sz="6" w:space="0" w:color="auto"/>
              <w:right w:val="nil"/>
            </w:tcBorders>
            <w:shd w:val="clear" w:color="auto" w:fill="auto"/>
            <w:vAlign w:val="center"/>
          </w:tcPr>
          <w:p w14:paraId="5D021958"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67.27</w:t>
            </w:r>
          </w:p>
        </w:tc>
      </w:tr>
    </w:tbl>
    <w:p w14:paraId="0F02AF7B" w14:textId="77777777" w:rsidR="007D7EEA" w:rsidRPr="00EB3FD2" w:rsidRDefault="007D7EEA">
      <w:pPr>
        <w:pStyle w:val="ListParagraph"/>
        <w:ind w:firstLine="720"/>
        <w:jc w:val="both"/>
        <w:rPr>
          <w:rFonts w:ascii="Arial" w:eastAsia="SimSun" w:hAnsi="Arial" w:cs="Arial"/>
          <w:sz w:val="20"/>
          <w:szCs w:val="22"/>
          <w:lang w:eastAsia="zh-CN"/>
        </w:rPr>
      </w:pPr>
    </w:p>
    <w:p w14:paraId="7512C005"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Pr>
          <w:rFonts w:ascii="Arial" w:eastAsia="SimSun" w:hAnsi="Arial" w:cs="Arial"/>
          <w:sz w:val="22"/>
          <w:szCs w:val="22"/>
          <w:lang w:eastAsia="zh-CN"/>
        </w:rPr>
        <w:t>B</w:t>
      </w:r>
      <w:r w:rsidRPr="00200B96">
        <w:rPr>
          <w:rFonts w:ascii="Arial" w:eastAsia="SimSun" w:hAnsi="Arial" w:cs="Arial"/>
          <w:sz w:val="22"/>
          <w:szCs w:val="22"/>
          <w:lang w:eastAsia="zh-CN"/>
        </w:rPr>
        <w:t>ased on the contract agreement of the AFPRSBS with the Meralco, the AFPRSBS shall be entitled to an annual refund of 75 per cent of the Gross Distribution Revenue realized from all customers directly connected to the line/poles/facilities subject matter per agreement for the CY.</w:t>
      </w:r>
    </w:p>
    <w:p w14:paraId="6B5D84D0" w14:textId="77777777" w:rsidR="007D7EEA" w:rsidRPr="00200B96" w:rsidRDefault="00DD2A4D">
      <w:pPr>
        <w:spacing w:after="0" w:line="240" w:lineRule="auto"/>
        <w:jc w:val="both"/>
        <w:rPr>
          <w:rFonts w:ascii="Arial" w:eastAsia="SimSun" w:hAnsi="Arial" w:cs="Arial"/>
          <w:lang w:eastAsia="zh-CN"/>
        </w:rPr>
      </w:pPr>
      <w:r w:rsidRPr="00200B96">
        <w:rPr>
          <w:rFonts w:ascii="Arial" w:eastAsia="SimSun" w:hAnsi="Arial" w:cs="Arial"/>
          <w:lang w:eastAsia="zh-CN"/>
        </w:rPr>
        <w:tab/>
      </w:r>
    </w:p>
    <w:p w14:paraId="7DBD0948" w14:textId="3DBF45B4"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As can be gleaned from Table </w:t>
      </w:r>
      <w:r w:rsidR="00EB3FD2" w:rsidRPr="00200B96">
        <w:rPr>
          <w:rFonts w:ascii="Arial" w:eastAsia="SimSun" w:hAnsi="Arial" w:cs="Arial"/>
          <w:sz w:val="22"/>
          <w:szCs w:val="22"/>
          <w:lang w:eastAsia="zh-CN"/>
        </w:rPr>
        <w:t>10</w:t>
      </w:r>
      <w:r w:rsidRPr="00200B96">
        <w:rPr>
          <w:rFonts w:ascii="Arial" w:eastAsia="SimSun" w:hAnsi="Arial" w:cs="Arial"/>
          <w:sz w:val="22"/>
          <w:szCs w:val="22"/>
          <w:lang w:eastAsia="zh-CN"/>
        </w:rPr>
        <w:t>.1, the significant portion of the total unrefunded balance is from CY 2017 and PYs amounting to P11.716 million or 72.96 per cent of such balance.  Consequently, depriving the AFPRSBS of additional funds for its operations.</w:t>
      </w:r>
    </w:p>
    <w:p w14:paraId="581A1ABF" w14:textId="0DD5E246" w:rsidR="007D7EEA" w:rsidRPr="00200B96" w:rsidRDefault="00DD2A4D">
      <w:pPr>
        <w:overflowPunct w:val="0"/>
        <w:autoSpaceDE w:val="0"/>
        <w:autoSpaceDN w:val="0"/>
        <w:adjustRightInd w:val="0"/>
        <w:spacing w:after="0" w:line="240" w:lineRule="auto"/>
        <w:ind w:right="2" w:firstLine="709"/>
        <w:jc w:val="both"/>
        <w:textAlignment w:val="baseline"/>
        <w:rPr>
          <w:rFonts w:ascii="Arial" w:eastAsia="SimSun" w:hAnsi="Arial" w:cs="Arial"/>
          <w:lang w:eastAsia="zh-CN"/>
        </w:rPr>
      </w:pPr>
      <w:r w:rsidRPr="00200B96">
        <w:rPr>
          <w:rFonts w:ascii="Arial" w:eastAsia="SimSun" w:hAnsi="Arial" w:cs="Arial"/>
          <w:lang w:eastAsia="zh-CN"/>
        </w:rPr>
        <w:lastRenderedPageBreak/>
        <w:tab/>
        <w:t xml:space="preserve"> </w:t>
      </w:r>
    </w:p>
    <w:p w14:paraId="7C80FA82"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Moreover, the total balance in the Summary of MDR provided by Management could not be ascertained due to the following:</w:t>
      </w:r>
    </w:p>
    <w:p w14:paraId="03F96152" w14:textId="77777777" w:rsidR="00C15E25" w:rsidRPr="00200B96" w:rsidRDefault="00C15E25">
      <w:pPr>
        <w:overflowPunct w:val="0"/>
        <w:autoSpaceDE w:val="0"/>
        <w:autoSpaceDN w:val="0"/>
        <w:adjustRightInd w:val="0"/>
        <w:spacing w:after="0" w:line="240" w:lineRule="auto"/>
        <w:ind w:right="2" w:firstLine="709"/>
        <w:jc w:val="both"/>
        <w:textAlignment w:val="baseline"/>
        <w:rPr>
          <w:rFonts w:ascii="Arial" w:eastAsia="SimSun" w:hAnsi="Arial" w:cs="Arial"/>
          <w:lang w:eastAsia="zh-CN"/>
        </w:rPr>
      </w:pPr>
    </w:p>
    <w:p w14:paraId="47197142" w14:textId="77777777" w:rsidR="007D7EEA" w:rsidRPr="00200B96" w:rsidRDefault="00DD2A4D">
      <w:pPr>
        <w:spacing w:after="0" w:line="240" w:lineRule="auto"/>
        <w:ind w:left="576"/>
        <w:jc w:val="both"/>
        <w:rPr>
          <w:rFonts w:ascii="Arial" w:eastAsia="SimSun" w:hAnsi="Arial" w:cs="Arial"/>
          <w:i/>
          <w:lang w:eastAsia="zh-CN"/>
        </w:rPr>
      </w:pPr>
      <w:r w:rsidRPr="00200B96">
        <w:rPr>
          <w:rFonts w:ascii="Arial" w:eastAsia="SimSun" w:hAnsi="Arial" w:cs="Arial"/>
          <w:i/>
          <w:lang w:eastAsia="zh-CN"/>
        </w:rPr>
        <w:t>Exclusion of some items that were included in the AO in CY 2014 AAR</w:t>
      </w:r>
    </w:p>
    <w:p w14:paraId="361ACCEA" w14:textId="77777777" w:rsidR="007D7EEA" w:rsidRPr="00200B96" w:rsidRDefault="007D7EEA">
      <w:pPr>
        <w:spacing w:after="0" w:line="240" w:lineRule="auto"/>
        <w:ind w:right="4707"/>
        <w:jc w:val="both"/>
        <w:rPr>
          <w:rFonts w:ascii="Arial" w:eastAsia="SimSun" w:hAnsi="Arial" w:cs="Arial"/>
          <w:i/>
          <w:lang w:eastAsia="zh-CN"/>
        </w:rPr>
      </w:pPr>
    </w:p>
    <w:p w14:paraId="3D3401FA" w14:textId="39AA55C9"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hAnsi="Arial" w:cs="Arial"/>
          <w:sz w:val="22"/>
          <w:szCs w:val="22"/>
        </w:rPr>
        <w:t>The</w:t>
      </w:r>
      <w:r w:rsidRPr="00200B96">
        <w:rPr>
          <w:rFonts w:ascii="Arial" w:eastAsia="SimSun" w:hAnsi="Arial" w:cs="Arial"/>
          <w:sz w:val="22"/>
          <w:szCs w:val="22"/>
          <w:lang w:eastAsia="zh-CN"/>
        </w:rPr>
        <w:t xml:space="preserve"> Audit Team verified the Summary of MDR submitted by the Management to determine its compliance with the AO in CY 2014 AAR.  However, it was observed that some items are no longer part of the summary list provided. Details are presented in Table </w:t>
      </w:r>
      <w:r w:rsidR="00E4192B" w:rsidRPr="00200B96">
        <w:rPr>
          <w:rFonts w:ascii="Arial" w:eastAsia="SimSun" w:hAnsi="Arial" w:cs="Arial"/>
          <w:sz w:val="22"/>
          <w:szCs w:val="22"/>
          <w:lang w:eastAsia="zh-CN"/>
        </w:rPr>
        <w:t>10</w:t>
      </w:r>
      <w:r w:rsidRPr="00200B96">
        <w:rPr>
          <w:rFonts w:ascii="Arial" w:eastAsia="SimSun" w:hAnsi="Arial" w:cs="Arial"/>
          <w:sz w:val="22"/>
          <w:szCs w:val="22"/>
          <w:lang w:eastAsia="zh-CN"/>
        </w:rPr>
        <w:t>.2.</w:t>
      </w:r>
    </w:p>
    <w:p w14:paraId="35207121" w14:textId="77777777" w:rsidR="004039BE" w:rsidRDefault="004039BE">
      <w:pPr>
        <w:spacing w:after="0" w:line="240" w:lineRule="auto"/>
        <w:ind w:left="1260"/>
        <w:jc w:val="center"/>
        <w:rPr>
          <w:rFonts w:ascii="Arial" w:eastAsia="SimSun" w:hAnsi="Arial" w:cs="Arial"/>
          <w:b/>
          <w:lang w:eastAsia="zh-CN"/>
        </w:rPr>
      </w:pPr>
    </w:p>
    <w:p w14:paraId="25C23F5D" w14:textId="10AF6E20" w:rsidR="007D7EEA" w:rsidRPr="00200B96" w:rsidRDefault="00DD2A4D">
      <w:pPr>
        <w:spacing w:after="0" w:line="240" w:lineRule="auto"/>
        <w:ind w:left="1260"/>
        <w:jc w:val="center"/>
        <w:rPr>
          <w:rFonts w:ascii="Arial" w:eastAsia="SimSun" w:hAnsi="Arial" w:cs="Arial"/>
          <w:b/>
          <w:lang w:eastAsia="zh-CN"/>
        </w:rPr>
      </w:pPr>
      <w:r w:rsidRPr="00200B96">
        <w:rPr>
          <w:rFonts w:ascii="Arial" w:eastAsia="SimSun" w:hAnsi="Arial" w:cs="Arial"/>
          <w:b/>
          <w:lang w:eastAsia="zh-CN"/>
        </w:rPr>
        <w:t xml:space="preserve">Table </w:t>
      </w:r>
      <w:r w:rsidR="00E4192B" w:rsidRPr="00200B96">
        <w:rPr>
          <w:rFonts w:ascii="Arial" w:eastAsia="SimSun" w:hAnsi="Arial" w:cs="Arial"/>
          <w:b/>
          <w:lang w:eastAsia="zh-CN"/>
        </w:rPr>
        <w:t>10</w:t>
      </w:r>
      <w:r w:rsidRPr="00200B96">
        <w:rPr>
          <w:rFonts w:ascii="Arial" w:eastAsia="SimSun" w:hAnsi="Arial" w:cs="Arial"/>
          <w:b/>
          <w:lang w:eastAsia="zh-CN"/>
        </w:rPr>
        <w:t xml:space="preserve">.2 – Items included in the AO in CY 2014 AAR but were </w:t>
      </w:r>
    </w:p>
    <w:p w14:paraId="280588A9" w14:textId="77777777" w:rsidR="007D7EEA" w:rsidRPr="00200B96" w:rsidRDefault="00DD2A4D">
      <w:pPr>
        <w:spacing w:after="0" w:line="240" w:lineRule="auto"/>
        <w:ind w:left="1260"/>
        <w:jc w:val="center"/>
        <w:rPr>
          <w:rFonts w:ascii="Arial" w:eastAsia="SimSun" w:hAnsi="Arial" w:cs="Arial"/>
          <w:b/>
          <w:lang w:eastAsia="zh-CN"/>
        </w:rPr>
      </w:pPr>
      <w:r w:rsidRPr="00200B96">
        <w:rPr>
          <w:rFonts w:ascii="Arial" w:eastAsia="SimSun" w:hAnsi="Arial" w:cs="Arial"/>
          <w:b/>
          <w:lang w:eastAsia="zh-CN"/>
        </w:rPr>
        <w:t>Excluded in the Summary of MDR</w:t>
      </w:r>
    </w:p>
    <w:p w14:paraId="775885DF" w14:textId="77777777" w:rsidR="007D7EEA" w:rsidRPr="00200B96" w:rsidRDefault="00DD2A4D">
      <w:pPr>
        <w:spacing w:after="0" w:line="240" w:lineRule="auto"/>
        <w:ind w:left="1260"/>
        <w:jc w:val="center"/>
        <w:rPr>
          <w:rFonts w:ascii="Arial" w:eastAsia="SimSun" w:hAnsi="Arial" w:cs="Arial"/>
          <w:b/>
          <w:bCs/>
          <w:lang w:eastAsia="zh-CN"/>
        </w:rPr>
      </w:pPr>
      <w:r w:rsidRPr="00200B96">
        <w:rPr>
          <w:rFonts w:ascii="Arial" w:eastAsia="SimSun" w:hAnsi="Arial" w:cs="Arial"/>
          <w:b/>
          <w:bCs/>
          <w:lang w:eastAsia="zh-CN"/>
        </w:rPr>
        <w:t>As at December 31, 2022</w:t>
      </w:r>
    </w:p>
    <w:p w14:paraId="1A14AAFC" w14:textId="77777777" w:rsidR="007D7EEA" w:rsidRPr="00200B96" w:rsidRDefault="007D7EEA">
      <w:pPr>
        <w:spacing w:after="0" w:line="240" w:lineRule="auto"/>
        <w:ind w:left="720"/>
        <w:jc w:val="center"/>
        <w:rPr>
          <w:rFonts w:ascii="Arial" w:eastAsia="SimSun" w:hAnsi="Arial" w:cs="Arial"/>
          <w:b/>
          <w:bCs/>
          <w:lang w:eastAsia="zh-CN"/>
        </w:rPr>
      </w:pPr>
    </w:p>
    <w:tbl>
      <w:tblPr>
        <w:tblW w:w="7380" w:type="dxa"/>
        <w:tblInd w:w="1260" w:type="dxa"/>
        <w:tblLook w:val="04A0" w:firstRow="1" w:lastRow="0" w:firstColumn="1" w:lastColumn="0" w:noHBand="0" w:noVBand="1"/>
      </w:tblPr>
      <w:tblGrid>
        <w:gridCol w:w="1710"/>
        <w:gridCol w:w="2700"/>
        <w:gridCol w:w="1322"/>
        <w:gridCol w:w="1648"/>
      </w:tblGrid>
      <w:tr w:rsidR="007D7EEA" w:rsidRPr="00EB3FD2" w14:paraId="1BE952D0" w14:textId="77777777">
        <w:trPr>
          <w:tblHeader/>
        </w:trPr>
        <w:tc>
          <w:tcPr>
            <w:tcW w:w="1710" w:type="dxa"/>
            <w:tcBorders>
              <w:top w:val="single" w:sz="4" w:space="0" w:color="auto"/>
              <w:left w:val="nil"/>
              <w:bottom w:val="single" w:sz="4" w:space="0" w:color="auto"/>
              <w:right w:val="nil"/>
            </w:tcBorders>
            <w:shd w:val="clear" w:color="auto" w:fill="auto"/>
            <w:noWrap/>
            <w:vAlign w:val="center"/>
          </w:tcPr>
          <w:p w14:paraId="25F03979" w14:textId="77777777" w:rsidR="007D7EEA" w:rsidRPr="00EB3FD2" w:rsidRDefault="00DD2A4D">
            <w:pPr>
              <w:spacing w:after="0" w:line="240" w:lineRule="auto"/>
              <w:jc w:val="center"/>
              <w:rPr>
                <w:rFonts w:ascii="Arial" w:hAnsi="Arial" w:cs="Arial"/>
                <w:b/>
                <w:bCs/>
                <w:sz w:val="20"/>
              </w:rPr>
            </w:pPr>
            <w:r w:rsidRPr="00EB3FD2">
              <w:rPr>
                <w:rFonts w:ascii="Arial" w:hAnsi="Arial" w:cs="Arial"/>
                <w:b/>
                <w:bCs/>
                <w:sz w:val="20"/>
              </w:rPr>
              <w:t>Date</w:t>
            </w:r>
          </w:p>
        </w:tc>
        <w:tc>
          <w:tcPr>
            <w:tcW w:w="2700" w:type="dxa"/>
            <w:tcBorders>
              <w:top w:val="single" w:sz="4" w:space="0" w:color="auto"/>
              <w:left w:val="nil"/>
              <w:bottom w:val="single" w:sz="4" w:space="0" w:color="auto"/>
              <w:right w:val="nil"/>
            </w:tcBorders>
            <w:shd w:val="clear" w:color="auto" w:fill="auto"/>
            <w:noWrap/>
            <w:vAlign w:val="center"/>
          </w:tcPr>
          <w:p w14:paraId="0BD9AC14" w14:textId="77777777" w:rsidR="007D7EEA" w:rsidRPr="00EB3FD2" w:rsidRDefault="00DD2A4D">
            <w:pPr>
              <w:spacing w:after="0" w:line="240" w:lineRule="auto"/>
              <w:jc w:val="center"/>
              <w:rPr>
                <w:rFonts w:ascii="Arial" w:hAnsi="Arial" w:cs="Arial"/>
                <w:b/>
                <w:bCs/>
                <w:sz w:val="20"/>
              </w:rPr>
            </w:pPr>
            <w:r w:rsidRPr="00EB3FD2">
              <w:rPr>
                <w:rFonts w:ascii="Arial" w:hAnsi="Arial" w:cs="Arial"/>
                <w:b/>
                <w:bCs/>
                <w:sz w:val="20"/>
              </w:rPr>
              <w:t>Project</w:t>
            </w:r>
          </w:p>
        </w:tc>
        <w:tc>
          <w:tcPr>
            <w:tcW w:w="1322" w:type="dxa"/>
            <w:tcBorders>
              <w:top w:val="single" w:sz="4" w:space="0" w:color="auto"/>
              <w:left w:val="nil"/>
              <w:bottom w:val="single" w:sz="4" w:space="0" w:color="auto"/>
              <w:right w:val="nil"/>
            </w:tcBorders>
            <w:shd w:val="clear" w:color="auto" w:fill="auto"/>
            <w:noWrap/>
            <w:vAlign w:val="center"/>
          </w:tcPr>
          <w:p w14:paraId="38AB3BEE" w14:textId="77777777" w:rsidR="007D7EEA" w:rsidRPr="00EB3FD2" w:rsidRDefault="00DD2A4D">
            <w:pPr>
              <w:spacing w:after="0" w:line="240" w:lineRule="auto"/>
              <w:ind w:left="-58" w:right="-58"/>
              <w:jc w:val="center"/>
              <w:rPr>
                <w:rFonts w:ascii="Arial" w:hAnsi="Arial" w:cs="Arial"/>
                <w:b/>
                <w:bCs/>
                <w:sz w:val="20"/>
              </w:rPr>
            </w:pPr>
            <w:r w:rsidRPr="00EB3FD2">
              <w:rPr>
                <w:rFonts w:ascii="Arial" w:hAnsi="Arial" w:cs="Arial"/>
                <w:b/>
                <w:bCs/>
                <w:sz w:val="20"/>
              </w:rPr>
              <w:t>*RVCP No.</w:t>
            </w:r>
          </w:p>
        </w:tc>
        <w:tc>
          <w:tcPr>
            <w:tcW w:w="1648" w:type="dxa"/>
            <w:tcBorders>
              <w:top w:val="single" w:sz="4" w:space="0" w:color="auto"/>
              <w:left w:val="nil"/>
              <w:bottom w:val="single" w:sz="4" w:space="0" w:color="auto"/>
              <w:right w:val="nil"/>
            </w:tcBorders>
            <w:shd w:val="clear" w:color="auto" w:fill="auto"/>
            <w:noWrap/>
            <w:vAlign w:val="center"/>
          </w:tcPr>
          <w:p w14:paraId="1C26E9F0" w14:textId="77777777" w:rsidR="007D7EEA" w:rsidRPr="00EB3FD2" w:rsidRDefault="00DD2A4D">
            <w:pPr>
              <w:spacing w:after="0" w:line="240" w:lineRule="auto"/>
              <w:jc w:val="center"/>
              <w:rPr>
                <w:rFonts w:ascii="Arial" w:hAnsi="Arial" w:cs="Arial"/>
                <w:b/>
                <w:bCs/>
                <w:sz w:val="20"/>
              </w:rPr>
            </w:pPr>
            <w:r w:rsidRPr="00EB3FD2">
              <w:rPr>
                <w:rFonts w:ascii="Arial" w:hAnsi="Arial" w:cs="Arial"/>
                <w:b/>
                <w:bCs/>
                <w:sz w:val="20"/>
              </w:rPr>
              <w:t>Amount</w:t>
            </w:r>
          </w:p>
        </w:tc>
      </w:tr>
      <w:tr w:rsidR="007D7EEA" w:rsidRPr="00EB3FD2" w14:paraId="3B2E8775" w14:textId="77777777">
        <w:tc>
          <w:tcPr>
            <w:tcW w:w="1710" w:type="dxa"/>
            <w:tcBorders>
              <w:top w:val="single" w:sz="4" w:space="0" w:color="auto"/>
              <w:left w:val="nil"/>
              <w:bottom w:val="nil"/>
              <w:right w:val="nil"/>
            </w:tcBorders>
            <w:shd w:val="clear" w:color="auto" w:fill="auto"/>
            <w:noWrap/>
            <w:vAlign w:val="bottom"/>
          </w:tcPr>
          <w:p w14:paraId="611AB8FF" w14:textId="77777777" w:rsidR="007D7EEA" w:rsidRPr="00EB3FD2" w:rsidRDefault="00DD2A4D">
            <w:pPr>
              <w:spacing w:after="0" w:line="240" w:lineRule="auto"/>
              <w:rPr>
                <w:rFonts w:ascii="Arial" w:hAnsi="Arial" w:cs="Arial"/>
                <w:sz w:val="20"/>
              </w:rPr>
            </w:pPr>
            <w:r w:rsidRPr="00EB3FD2">
              <w:rPr>
                <w:rFonts w:ascii="Arial" w:hAnsi="Arial" w:cs="Arial"/>
                <w:sz w:val="20"/>
              </w:rPr>
              <w:t>10/15/2008</w:t>
            </w:r>
          </w:p>
        </w:tc>
        <w:tc>
          <w:tcPr>
            <w:tcW w:w="2700" w:type="dxa"/>
            <w:tcBorders>
              <w:top w:val="single" w:sz="4" w:space="0" w:color="auto"/>
              <w:left w:val="nil"/>
              <w:bottom w:val="nil"/>
              <w:right w:val="nil"/>
            </w:tcBorders>
            <w:shd w:val="clear" w:color="auto" w:fill="auto"/>
            <w:noWrap/>
            <w:vAlign w:val="bottom"/>
          </w:tcPr>
          <w:p w14:paraId="5937FAC2" w14:textId="77777777" w:rsidR="007D7EEA" w:rsidRPr="00EB3FD2" w:rsidRDefault="00DD2A4D">
            <w:pPr>
              <w:spacing w:after="0" w:line="240" w:lineRule="auto"/>
              <w:rPr>
                <w:rFonts w:ascii="Arial" w:hAnsi="Arial" w:cs="Arial"/>
                <w:sz w:val="20"/>
              </w:rPr>
            </w:pPr>
            <w:r w:rsidRPr="00EB3FD2">
              <w:rPr>
                <w:rFonts w:ascii="Arial" w:hAnsi="Arial" w:cs="Arial"/>
                <w:sz w:val="20"/>
              </w:rPr>
              <w:t>Riviera Residential Estate</w:t>
            </w:r>
          </w:p>
        </w:tc>
        <w:tc>
          <w:tcPr>
            <w:tcW w:w="1322" w:type="dxa"/>
            <w:tcBorders>
              <w:top w:val="single" w:sz="4" w:space="0" w:color="auto"/>
              <w:left w:val="nil"/>
              <w:bottom w:val="nil"/>
              <w:right w:val="nil"/>
            </w:tcBorders>
            <w:shd w:val="clear" w:color="auto" w:fill="auto"/>
            <w:noWrap/>
            <w:vAlign w:val="bottom"/>
          </w:tcPr>
          <w:p w14:paraId="539BC270"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48710</w:t>
            </w:r>
          </w:p>
        </w:tc>
        <w:tc>
          <w:tcPr>
            <w:tcW w:w="1648" w:type="dxa"/>
            <w:tcBorders>
              <w:top w:val="single" w:sz="4" w:space="0" w:color="auto"/>
              <w:left w:val="nil"/>
              <w:bottom w:val="nil"/>
              <w:right w:val="nil"/>
            </w:tcBorders>
            <w:shd w:val="clear" w:color="auto" w:fill="auto"/>
            <w:noWrap/>
            <w:vAlign w:val="bottom"/>
          </w:tcPr>
          <w:p w14:paraId="197F13FD"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 xml:space="preserve"> P     32,050 </w:t>
            </w:r>
          </w:p>
        </w:tc>
      </w:tr>
      <w:tr w:rsidR="007D7EEA" w:rsidRPr="00EB3FD2" w14:paraId="0AC23A1E" w14:textId="77777777">
        <w:tc>
          <w:tcPr>
            <w:tcW w:w="1710" w:type="dxa"/>
            <w:tcBorders>
              <w:top w:val="nil"/>
              <w:left w:val="nil"/>
              <w:bottom w:val="nil"/>
              <w:right w:val="nil"/>
            </w:tcBorders>
            <w:shd w:val="clear" w:color="auto" w:fill="auto"/>
            <w:noWrap/>
            <w:vAlign w:val="bottom"/>
          </w:tcPr>
          <w:p w14:paraId="030F7657" w14:textId="77777777" w:rsidR="007D7EEA" w:rsidRPr="00EB3FD2" w:rsidRDefault="00DD2A4D">
            <w:pPr>
              <w:spacing w:after="0" w:line="240" w:lineRule="auto"/>
              <w:rPr>
                <w:rFonts w:ascii="Arial" w:hAnsi="Arial" w:cs="Arial"/>
                <w:sz w:val="20"/>
              </w:rPr>
            </w:pPr>
            <w:r w:rsidRPr="00EB3FD2">
              <w:rPr>
                <w:rFonts w:ascii="Arial" w:hAnsi="Arial" w:cs="Arial"/>
                <w:sz w:val="20"/>
              </w:rPr>
              <w:t>10/22/2009</w:t>
            </w:r>
          </w:p>
        </w:tc>
        <w:tc>
          <w:tcPr>
            <w:tcW w:w="2700" w:type="dxa"/>
            <w:tcBorders>
              <w:top w:val="nil"/>
              <w:left w:val="nil"/>
              <w:bottom w:val="nil"/>
              <w:right w:val="nil"/>
            </w:tcBorders>
            <w:shd w:val="clear" w:color="auto" w:fill="auto"/>
            <w:noWrap/>
            <w:vAlign w:val="bottom"/>
          </w:tcPr>
          <w:p w14:paraId="033B8B20" w14:textId="77777777" w:rsidR="007D7EEA" w:rsidRPr="00EB3FD2" w:rsidRDefault="00DD2A4D">
            <w:pPr>
              <w:spacing w:after="0" w:line="240" w:lineRule="auto"/>
              <w:rPr>
                <w:rFonts w:ascii="Arial" w:hAnsi="Arial" w:cs="Arial"/>
                <w:sz w:val="20"/>
              </w:rPr>
            </w:pPr>
            <w:r w:rsidRPr="00EB3FD2">
              <w:rPr>
                <w:rFonts w:ascii="Arial" w:hAnsi="Arial" w:cs="Arial"/>
                <w:sz w:val="20"/>
              </w:rPr>
              <w:t>Villa Segovia</w:t>
            </w:r>
          </w:p>
        </w:tc>
        <w:tc>
          <w:tcPr>
            <w:tcW w:w="1322" w:type="dxa"/>
            <w:tcBorders>
              <w:top w:val="nil"/>
              <w:left w:val="nil"/>
              <w:bottom w:val="nil"/>
              <w:right w:val="nil"/>
            </w:tcBorders>
            <w:shd w:val="clear" w:color="auto" w:fill="auto"/>
            <w:noWrap/>
            <w:vAlign w:val="bottom"/>
          </w:tcPr>
          <w:p w14:paraId="1E5501DA"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61565</w:t>
            </w:r>
          </w:p>
        </w:tc>
        <w:tc>
          <w:tcPr>
            <w:tcW w:w="1648" w:type="dxa"/>
            <w:tcBorders>
              <w:top w:val="nil"/>
              <w:left w:val="nil"/>
              <w:bottom w:val="nil"/>
              <w:right w:val="nil"/>
            </w:tcBorders>
            <w:shd w:val="clear" w:color="auto" w:fill="auto"/>
            <w:noWrap/>
            <w:vAlign w:val="bottom"/>
          </w:tcPr>
          <w:p w14:paraId="3E34CDA6"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 xml:space="preserve">         66,930 </w:t>
            </w:r>
          </w:p>
        </w:tc>
      </w:tr>
      <w:tr w:rsidR="007D7EEA" w:rsidRPr="00EB3FD2" w14:paraId="6600C88E" w14:textId="77777777">
        <w:tc>
          <w:tcPr>
            <w:tcW w:w="1710" w:type="dxa"/>
            <w:tcBorders>
              <w:top w:val="nil"/>
              <w:left w:val="nil"/>
              <w:bottom w:val="nil"/>
              <w:right w:val="nil"/>
            </w:tcBorders>
            <w:shd w:val="clear" w:color="auto" w:fill="auto"/>
            <w:noWrap/>
            <w:vAlign w:val="bottom"/>
          </w:tcPr>
          <w:p w14:paraId="583C3816" w14:textId="77777777" w:rsidR="007D7EEA" w:rsidRPr="00EB3FD2" w:rsidRDefault="00DD2A4D">
            <w:pPr>
              <w:spacing w:after="0" w:line="240" w:lineRule="auto"/>
              <w:rPr>
                <w:rFonts w:ascii="Arial" w:hAnsi="Arial" w:cs="Arial"/>
                <w:sz w:val="20"/>
              </w:rPr>
            </w:pPr>
            <w:r w:rsidRPr="00EB3FD2">
              <w:rPr>
                <w:rFonts w:ascii="Arial" w:hAnsi="Arial" w:cs="Arial"/>
                <w:sz w:val="20"/>
              </w:rPr>
              <w:t>10/22/2009</w:t>
            </w:r>
          </w:p>
        </w:tc>
        <w:tc>
          <w:tcPr>
            <w:tcW w:w="2700" w:type="dxa"/>
            <w:tcBorders>
              <w:top w:val="nil"/>
              <w:left w:val="nil"/>
              <w:bottom w:val="nil"/>
              <w:right w:val="nil"/>
            </w:tcBorders>
            <w:shd w:val="clear" w:color="auto" w:fill="auto"/>
            <w:noWrap/>
            <w:vAlign w:val="bottom"/>
          </w:tcPr>
          <w:p w14:paraId="19407DC2" w14:textId="77777777" w:rsidR="007D7EEA" w:rsidRPr="00EB3FD2" w:rsidRDefault="00DD2A4D">
            <w:pPr>
              <w:spacing w:after="0" w:line="240" w:lineRule="auto"/>
              <w:rPr>
                <w:rFonts w:ascii="Arial" w:hAnsi="Arial" w:cs="Arial"/>
                <w:sz w:val="20"/>
              </w:rPr>
            </w:pPr>
            <w:r w:rsidRPr="00EB3FD2">
              <w:rPr>
                <w:rFonts w:ascii="Arial" w:hAnsi="Arial" w:cs="Arial"/>
                <w:sz w:val="20"/>
              </w:rPr>
              <w:t>Villa Segovia</w:t>
            </w:r>
          </w:p>
        </w:tc>
        <w:tc>
          <w:tcPr>
            <w:tcW w:w="1322" w:type="dxa"/>
            <w:tcBorders>
              <w:top w:val="nil"/>
              <w:left w:val="nil"/>
              <w:bottom w:val="nil"/>
              <w:right w:val="nil"/>
            </w:tcBorders>
            <w:shd w:val="clear" w:color="auto" w:fill="auto"/>
            <w:noWrap/>
            <w:vAlign w:val="bottom"/>
          </w:tcPr>
          <w:p w14:paraId="5A25462E"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61566</w:t>
            </w:r>
          </w:p>
        </w:tc>
        <w:tc>
          <w:tcPr>
            <w:tcW w:w="1648" w:type="dxa"/>
            <w:tcBorders>
              <w:top w:val="nil"/>
              <w:left w:val="nil"/>
              <w:bottom w:val="nil"/>
              <w:right w:val="nil"/>
            </w:tcBorders>
            <w:shd w:val="clear" w:color="auto" w:fill="auto"/>
            <w:noWrap/>
            <w:vAlign w:val="bottom"/>
          </w:tcPr>
          <w:p w14:paraId="63023038"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 xml:space="preserve">         90,010 </w:t>
            </w:r>
          </w:p>
        </w:tc>
      </w:tr>
      <w:tr w:rsidR="007D7EEA" w:rsidRPr="00EB3FD2" w14:paraId="2B75B996" w14:textId="77777777">
        <w:tc>
          <w:tcPr>
            <w:tcW w:w="1710" w:type="dxa"/>
            <w:tcBorders>
              <w:top w:val="nil"/>
              <w:left w:val="nil"/>
              <w:bottom w:val="nil"/>
              <w:right w:val="nil"/>
            </w:tcBorders>
            <w:shd w:val="clear" w:color="auto" w:fill="auto"/>
            <w:noWrap/>
            <w:vAlign w:val="bottom"/>
          </w:tcPr>
          <w:p w14:paraId="471AE539" w14:textId="77777777" w:rsidR="007D7EEA" w:rsidRPr="00EB3FD2" w:rsidRDefault="00DD2A4D">
            <w:pPr>
              <w:spacing w:after="0" w:line="240" w:lineRule="auto"/>
              <w:rPr>
                <w:rFonts w:ascii="Arial" w:hAnsi="Arial" w:cs="Arial"/>
                <w:sz w:val="20"/>
              </w:rPr>
            </w:pPr>
            <w:r w:rsidRPr="00EB3FD2">
              <w:rPr>
                <w:rFonts w:ascii="Arial" w:hAnsi="Arial" w:cs="Arial"/>
                <w:sz w:val="20"/>
              </w:rPr>
              <w:t>09/30/2013</w:t>
            </w:r>
          </w:p>
        </w:tc>
        <w:tc>
          <w:tcPr>
            <w:tcW w:w="2700" w:type="dxa"/>
            <w:tcBorders>
              <w:top w:val="nil"/>
              <w:left w:val="nil"/>
              <w:bottom w:val="nil"/>
              <w:right w:val="nil"/>
            </w:tcBorders>
            <w:shd w:val="clear" w:color="auto" w:fill="auto"/>
            <w:noWrap/>
            <w:vAlign w:val="bottom"/>
          </w:tcPr>
          <w:p w14:paraId="6DD89C4A" w14:textId="77777777" w:rsidR="007D7EEA" w:rsidRPr="00EB3FD2" w:rsidRDefault="00DD2A4D">
            <w:pPr>
              <w:spacing w:after="0" w:line="240" w:lineRule="auto"/>
              <w:rPr>
                <w:rFonts w:ascii="Arial" w:hAnsi="Arial" w:cs="Arial"/>
                <w:sz w:val="20"/>
              </w:rPr>
            </w:pPr>
            <w:r w:rsidRPr="00EB3FD2">
              <w:rPr>
                <w:rFonts w:ascii="Arial" w:hAnsi="Arial" w:cs="Arial"/>
                <w:sz w:val="20"/>
              </w:rPr>
              <w:t>Riviera Residential Estate</w:t>
            </w:r>
          </w:p>
        </w:tc>
        <w:tc>
          <w:tcPr>
            <w:tcW w:w="1322" w:type="dxa"/>
            <w:tcBorders>
              <w:top w:val="nil"/>
              <w:left w:val="nil"/>
              <w:bottom w:val="nil"/>
              <w:right w:val="nil"/>
            </w:tcBorders>
            <w:shd w:val="clear" w:color="auto" w:fill="auto"/>
            <w:noWrap/>
            <w:vAlign w:val="bottom"/>
          </w:tcPr>
          <w:p w14:paraId="29F0A1E5"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105941</w:t>
            </w:r>
          </w:p>
        </w:tc>
        <w:tc>
          <w:tcPr>
            <w:tcW w:w="1648" w:type="dxa"/>
            <w:tcBorders>
              <w:top w:val="nil"/>
              <w:left w:val="nil"/>
              <w:bottom w:val="nil"/>
              <w:right w:val="nil"/>
            </w:tcBorders>
            <w:shd w:val="clear" w:color="auto" w:fill="auto"/>
            <w:noWrap/>
            <w:vAlign w:val="bottom"/>
          </w:tcPr>
          <w:p w14:paraId="0F7F8DF5"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 xml:space="preserve">    3,938,700 </w:t>
            </w:r>
          </w:p>
        </w:tc>
      </w:tr>
      <w:tr w:rsidR="007D7EEA" w:rsidRPr="00EB3FD2" w14:paraId="43C3BB47" w14:textId="77777777">
        <w:tc>
          <w:tcPr>
            <w:tcW w:w="1710" w:type="dxa"/>
            <w:tcBorders>
              <w:top w:val="nil"/>
              <w:left w:val="nil"/>
              <w:bottom w:val="single" w:sz="4" w:space="0" w:color="auto"/>
              <w:right w:val="nil"/>
            </w:tcBorders>
            <w:shd w:val="clear" w:color="auto" w:fill="auto"/>
            <w:noWrap/>
            <w:vAlign w:val="bottom"/>
          </w:tcPr>
          <w:p w14:paraId="5E5D7134" w14:textId="77777777" w:rsidR="007D7EEA" w:rsidRPr="00EB3FD2" w:rsidRDefault="00DD2A4D">
            <w:pPr>
              <w:spacing w:after="0" w:line="240" w:lineRule="auto"/>
              <w:rPr>
                <w:rFonts w:ascii="Arial" w:hAnsi="Arial" w:cs="Arial"/>
                <w:sz w:val="20"/>
              </w:rPr>
            </w:pPr>
            <w:r w:rsidRPr="00EB3FD2">
              <w:rPr>
                <w:rFonts w:ascii="Arial" w:hAnsi="Arial" w:cs="Arial"/>
                <w:sz w:val="20"/>
              </w:rPr>
              <w:t>12/01/2014</w:t>
            </w:r>
          </w:p>
        </w:tc>
        <w:tc>
          <w:tcPr>
            <w:tcW w:w="2700" w:type="dxa"/>
            <w:tcBorders>
              <w:top w:val="nil"/>
              <w:left w:val="nil"/>
              <w:bottom w:val="single" w:sz="4" w:space="0" w:color="auto"/>
              <w:right w:val="nil"/>
            </w:tcBorders>
            <w:shd w:val="clear" w:color="auto" w:fill="auto"/>
            <w:noWrap/>
            <w:vAlign w:val="bottom"/>
          </w:tcPr>
          <w:p w14:paraId="41CCBD32" w14:textId="77777777" w:rsidR="007D7EEA" w:rsidRPr="00EB3FD2" w:rsidRDefault="00DD2A4D">
            <w:pPr>
              <w:spacing w:after="0" w:line="240" w:lineRule="auto"/>
              <w:rPr>
                <w:rFonts w:ascii="Arial" w:hAnsi="Arial" w:cs="Arial"/>
                <w:sz w:val="20"/>
              </w:rPr>
            </w:pPr>
            <w:r w:rsidRPr="00EB3FD2">
              <w:rPr>
                <w:rFonts w:ascii="Arial" w:hAnsi="Arial" w:cs="Arial"/>
                <w:sz w:val="20"/>
              </w:rPr>
              <w:t>Riviera Residential Estate</w:t>
            </w:r>
          </w:p>
        </w:tc>
        <w:tc>
          <w:tcPr>
            <w:tcW w:w="1322" w:type="dxa"/>
            <w:tcBorders>
              <w:top w:val="nil"/>
              <w:left w:val="nil"/>
              <w:bottom w:val="single" w:sz="4" w:space="0" w:color="auto"/>
              <w:right w:val="nil"/>
            </w:tcBorders>
            <w:shd w:val="clear" w:color="auto" w:fill="auto"/>
            <w:noWrap/>
            <w:vAlign w:val="bottom"/>
          </w:tcPr>
          <w:p w14:paraId="6682F0D1"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116782</w:t>
            </w:r>
          </w:p>
        </w:tc>
        <w:tc>
          <w:tcPr>
            <w:tcW w:w="1648" w:type="dxa"/>
            <w:tcBorders>
              <w:top w:val="nil"/>
              <w:left w:val="nil"/>
              <w:bottom w:val="single" w:sz="4" w:space="0" w:color="auto"/>
              <w:right w:val="nil"/>
            </w:tcBorders>
            <w:shd w:val="clear" w:color="auto" w:fill="auto"/>
            <w:noWrap/>
            <w:vAlign w:val="bottom"/>
          </w:tcPr>
          <w:p w14:paraId="485D70F8" w14:textId="77777777" w:rsidR="007D7EEA" w:rsidRPr="00EB3FD2" w:rsidRDefault="00DD2A4D">
            <w:pPr>
              <w:spacing w:after="0" w:line="240" w:lineRule="auto"/>
              <w:jc w:val="right"/>
              <w:rPr>
                <w:rFonts w:ascii="Arial" w:hAnsi="Arial" w:cs="Arial"/>
                <w:sz w:val="20"/>
              </w:rPr>
            </w:pPr>
            <w:r w:rsidRPr="00EB3FD2">
              <w:rPr>
                <w:rFonts w:ascii="Arial" w:hAnsi="Arial" w:cs="Arial"/>
                <w:sz w:val="20"/>
              </w:rPr>
              <w:t xml:space="preserve">       672,651 </w:t>
            </w:r>
          </w:p>
        </w:tc>
      </w:tr>
      <w:tr w:rsidR="007D7EEA" w:rsidRPr="00EB3FD2" w14:paraId="0444AA1A" w14:textId="77777777">
        <w:trPr>
          <w:trHeight w:val="317"/>
        </w:trPr>
        <w:tc>
          <w:tcPr>
            <w:tcW w:w="1710" w:type="dxa"/>
            <w:tcBorders>
              <w:top w:val="single" w:sz="4" w:space="0" w:color="auto"/>
              <w:left w:val="nil"/>
              <w:bottom w:val="double" w:sz="4" w:space="0" w:color="auto"/>
              <w:right w:val="nil"/>
            </w:tcBorders>
            <w:shd w:val="clear" w:color="auto" w:fill="auto"/>
            <w:noWrap/>
            <w:vAlign w:val="center"/>
          </w:tcPr>
          <w:p w14:paraId="46F45CD2" w14:textId="77777777" w:rsidR="007D7EEA" w:rsidRPr="00EB3FD2" w:rsidRDefault="00DD2A4D">
            <w:pPr>
              <w:spacing w:after="0" w:line="240" w:lineRule="auto"/>
              <w:rPr>
                <w:rFonts w:ascii="Arial" w:hAnsi="Arial" w:cs="Arial"/>
                <w:b/>
                <w:sz w:val="20"/>
              </w:rPr>
            </w:pPr>
            <w:r w:rsidRPr="00EB3FD2">
              <w:rPr>
                <w:rFonts w:ascii="Arial" w:hAnsi="Arial" w:cs="Arial"/>
                <w:b/>
                <w:sz w:val="20"/>
              </w:rPr>
              <w:t>Total</w:t>
            </w:r>
          </w:p>
        </w:tc>
        <w:tc>
          <w:tcPr>
            <w:tcW w:w="2700" w:type="dxa"/>
            <w:tcBorders>
              <w:top w:val="single" w:sz="4" w:space="0" w:color="auto"/>
              <w:left w:val="nil"/>
              <w:bottom w:val="double" w:sz="4" w:space="0" w:color="auto"/>
              <w:right w:val="nil"/>
            </w:tcBorders>
            <w:shd w:val="clear" w:color="auto" w:fill="auto"/>
            <w:noWrap/>
            <w:vAlign w:val="bottom"/>
          </w:tcPr>
          <w:p w14:paraId="2799CFD0" w14:textId="77777777" w:rsidR="007D7EEA" w:rsidRPr="00EB3FD2" w:rsidRDefault="00DD2A4D">
            <w:pPr>
              <w:spacing w:after="0" w:line="240" w:lineRule="auto"/>
              <w:rPr>
                <w:rFonts w:ascii="Arial" w:hAnsi="Arial" w:cs="Arial"/>
                <w:sz w:val="20"/>
              </w:rPr>
            </w:pPr>
            <w:r w:rsidRPr="00EB3FD2">
              <w:rPr>
                <w:rFonts w:ascii="Arial" w:hAnsi="Arial" w:cs="Arial"/>
                <w:sz w:val="20"/>
              </w:rPr>
              <w:t> </w:t>
            </w:r>
          </w:p>
        </w:tc>
        <w:tc>
          <w:tcPr>
            <w:tcW w:w="1322" w:type="dxa"/>
            <w:tcBorders>
              <w:top w:val="single" w:sz="4" w:space="0" w:color="auto"/>
              <w:left w:val="nil"/>
              <w:bottom w:val="double" w:sz="4" w:space="0" w:color="auto"/>
              <w:right w:val="nil"/>
            </w:tcBorders>
            <w:shd w:val="clear" w:color="auto" w:fill="auto"/>
            <w:noWrap/>
            <w:vAlign w:val="bottom"/>
          </w:tcPr>
          <w:p w14:paraId="52C62B23" w14:textId="77777777" w:rsidR="007D7EEA" w:rsidRPr="00EB3FD2" w:rsidRDefault="00DD2A4D">
            <w:pPr>
              <w:spacing w:after="0" w:line="240" w:lineRule="auto"/>
              <w:rPr>
                <w:rFonts w:ascii="Arial" w:hAnsi="Arial" w:cs="Arial"/>
                <w:sz w:val="20"/>
              </w:rPr>
            </w:pPr>
            <w:r w:rsidRPr="00EB3FD2">
              <w:rPr>
                <w:rFonts w:ascii="Arial" w:hAnsi="Arial" w:cs="Arial"/>
                <w:sz w:val="20"/>
              </w:rPr>
              <w:t> </w:t>
            </w:r>
          </w:p>
        </w:tc>
        <w:tc>
          <w:tcPr>
            <w:tcW w:w="1648" w:type="dxa"/>
            <w:tcBorders>
              <w:top w:val="single" w:sz="4" w:space="0" w:color="auto"/>
              <w:left w:val="nil"/>
              <w:bottom w:val="double" w:sz="4" w:space="0" w:color="auto"/>
              <w:right w:val="nil"/>
            </w:tcBorders>
            <w:shd w:val="clear" w:color="auto" w:fill="auto"/>
            <w:noWrap/>
            <w:vAlign w:val="center"/>
          </w:tcPr>
          <w:p w14:paraId="1771CFFC" w14:textId="77777777" w:rsidR="007D7EEA" w:rsidRPr="00EB3FD2" w:rsidRDefault="00DD2A4D">
            <w:pPr>
              <w:spacing w:after="0" w:line="240" w:lineRule="auto"/>
              <w:jc w:val="right"/>
              <w:rPr>
                <w:rFonts w:ascii="Arial" w:hAnsi="Arial" w:cs="Arial"/>
                <w:b/>
                <w:bCs/>
                <w:sz w:val="20"/>
              </w:rPr>
            </w:pPr>
            <w:r w:rsidRPr="00EB3FD2">
              <w:rPr>
                <w:rFonts w:ascii="Arial" w:hAnsi="Arial" w:cs="Arial"/>
                <w:b/>
                <w:bCs/>
                <w:sz w:val="20"/>
              </w:rPr>
              <w:t xml:space="preserve">  P4,800,341 </w:t>
            </w:r>
          </w:p>
        </w:tc>
      </w:tr>
    </w:tbl>
    <w:p w14:paraId="593E59B9" w14:textId="77777777" w:rsidR="007D7EEA" w:rsidRDefault="00DD2A4D">
      <w:pPr>
        <w:spacing w:after="0" w:line="240" w:lineRule="auto"/>
        <w:ind w:left="630" w:right="27" w:firstLine="576"/>
        <w:rPr>
          <w:rFonts w:ascii="Arial" w:eastAsia="SimSun" w:hAnsi="Arial" w:cs="Arial"/>
          <w:i/>
          <w:sz w:val="18"/>
          <w:lang w:eastAsia="zh-CN"/>
        </w:rPr>
      </w:pPr>
      <w:r>
        <w:rPr>
          <w:rFonts w:ascii="Arial" w:eastAsia="SimSun" w:hAnsi="Arial" w:cs="Arial"/>
          <w:i/>
          <w:sz w:val="18"/>
          <w:lang w:eastAsia="zh-CN"/>
        </w:rPr>
        <w:t>*RVCP - Request for Voucher and Check Preparation</w:t>
      </w:r>
    </w:p>
    <w:p w14:paraId="63D38A9A" w14:textId="77777777" w:rsidR="00DF0D75" w:rsidRPr="00200B96" w:rsidRDefault="00DF0D75">
      <w:pPr>
        <w:spacing w:after="0" w:line="240" w:lineRule="auto"/>
        <w:ind w:left="576"/>
        <w:jc w:val="both"/>
        <w:rPr>
          <w:rFonts w:ascii="Arial" w:eastAsia="SimSun" w:hAnsi="Arial" w:cs="Arial"/>
          <w:i/>
          <w:lang w:eastAsia="zh-CN"/>
        </w:rPr>
      </w:pPr>
    </w:p>
    <w:p w14:paraId="7E978DEB" w14:textId="0462F812" w:rsidR="007D7EEA" w:rsidRPr="00200B96" w:rsidRDefault="00DD2A4D">
      <w:pPr>
        <w:spacing w:after="0" w:line="240" w:lineRule="auto"/>
        <w:ind w:left="576"/>
        <w:jc w:val="both"/>
        <w:rPr>
          <w:rFonts w:ascii="Arial" w:eastAsia="SimSun" w:hAnsi="Arial" w:cs="Arial"/>
          <w:i/>
          <w:lang w:eastAsia="zh-CN"/>
        </w:rPr>
      </w:pPr>
      <w:r w:rsidRPr="00200B96">
        <w:rPr>
          <w:rFonts w:ascii="Arial" w:eastAsia="SimSun" w:hAnsi="Arial" w:cs="Arial"/>
          <w:i/>
          <w:lang w:eastAsia="zh-CN"/>
        </w:rPr>
        <w:t>Presence of unadjusted item that was recorded twice with the same reference number</w:t>
      </w:r>
    </w:p>
    <w:p w14:paraId="172C5EF8" w14:textId="77777777" w:rsidR="007D7EEA" w:rsidRPr="00200B96" w:rsidRDefault="007D7EEA">
      <w:pPr>
        <w:spacing w:after="0" w:line="240" w:lineRule="auto"/>
        <w:ind w:left="720" w:right="4707"/>
        <w:jc w:val="both"/>
        <w:rPr>
          <w:rFonts w:ascii="Arial" w:eastAsia="SimSun" w:hAnsi="Arial" w:cs="Arial"/>
          <w:i/>
          <w:lang w:eastAsia="zh-CN"/>
        </w:rPr>
      </w:pPr>
    </w:p>
    <w:p w14:paraId="1C440778" w14:textId="20D8A0C6"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In the verification of the Summary of MDR, the Audit Team also noted that the amount of P1</w:t>
      </w:r>
      <w:r w:rsidR="005E2F43">
        <w:rPr>
          <w:rFonts w:ascii="Arial" w:eastAsia="SimSun" w:hAnsi="Arial" w:cs="Arial"/>
          <w:sz w:val="22"/>
          <w:szCs w:val="22"/>
          <w:lang w:eastAsia="zh-CN"/>
        </w:rPr>
        <w:t>.</w:t>
      </w:r>
      <w:r w:rsidRPr="00200B96">
        <w:rPr>
          <w:rFonts w:ascii="Arial" w:eastAsia="SimSun" w:hAnsi="Arial" w:cs="Arial"/>
          <w:sz w:val="22"/>
          <w:szCs w:val="22"/>
          <w:lang w:eastAsia="zh-CN"/>
        </w:rPr>
        <w:t>02</w:t>
      </w:r>
      <w:r w:rsidR="005E2F43">
        <w:rPr>
          <w:rFonts w:ascii="Arial" w:eastAsia="SimSun" w:hAnsi="Arial" w:cs="Arial"/>
          <w:sz w:val="22"/>
          <w:szCs w:val="22"/>
          <w:lang w:eastAsia="zh-CN"/>
        </w:rPr>
        <w:t>6 million</w:t>
      </w:r>
      <w:r w:rsidRPr="00200B96">
        <w:rPr>
          <w:rFonts w:ascii="Arial" w:eastAsia="SimSun" w:hAnsi="Arial" w:cs="Arial"/>
          <w:sz w:val="22"/>
          <w:szCs w:val="22"/>
          <w:lang w:eastAsia="zh-CN"/>
        </w:rPr>
        <w:t xml:space="preserve"> was recorded twice with the same reference number of RVCP No. 148604 for Block 22 Lot 7. </w:t>
      </w:r>
    </w:p>
    <w:p w14:paraId="78DF42FC" w14:textId="77777777" w:rsidR="007D7EEA" w:rsidRPr="00200B96" w:rsidRDefault="007D7EEA">
      <w:pPr>
        <w:spacing w:after="0" w:line="240" w:lineRule="auto"/>
        <w:ind w:left="720" w:right="27" w:firstLine="720"/>
        <w:jc w:val="both"/>
        <w:rPr>
          <w:rFonts w:ascii="Arial" w:eastAsia="SimSun" w:hAnsi="Arial" w:cs="Arial"/>
          <w:lang w:eastAsia="zh-CN"/>
        </w:rPr>
      </w:pPr>
    </w:p>
    <w:p w14:paraId="2819A6D3" w14:textId="77777777"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According to the Management, validation is still ongoing on some of the excluded items in the Summary of MDR submitted and on the item that was recorded twice.  There is no update on the status of such validation as at December 31, 2022 submitted to date. </w:t>
      </w:r>
    </w:p>
    <w:p w14:paraId="7B21A811" w14:textId="77777777" w:rsidR="007D7EEA" w:rsidRPr="00200B96" w:rsidRDefault="007D7EEA">
      <w:pPr>
        <w:spacing w:after="0" w:line="240" w:lineRule="auto"/>
        <w:ind w:left="720" w:right="4707"/>
        <w:jc w:val="both"/>
        <w:rPr>
          <w:rFonts w:ascii="Arial" w:eastAsia="SimSun" w:hAnsi="Arial" w:cs="Arial"/>
          <w:i/>
          <w:lang w:eastAsia="zh-CN"/>
        </w:rPr>
      </w:pPr>
    </w:p>
    <w:p w14:paraId="553995F3" w14:textId="77777777" w:rsidR="007D7EEA" w:rsidRPr="00200B96" w:rsidRDefault="00DD2A4D">
      <w:pPr>
        <w:spacing w:after="0" w:line="240" w:lineRule="auto"/>
        <w:ind w:left="576"/>
        <w:jc w:val="both"/>
        <w:rPr>
          <w:rFonts w:ascii="Arial" w:eastAsia="SimSun" w:hAnsi="Arial" w:cs="Arial"/>
          <w:i/>
          <w:lang w:eastAsia="zh-CN"/>
        </w:rPr>
      </w:pPr>
      <w:r w:rsidRPr="00200B96">
        <w:rPr>
          <w:rFonts w:ascii="Arial" w:eastAsia="SimSun" w:hAnsi="Arial" w:cs="Arial"/>
          <w:i/>
          <w:lang w:eastAsia="zh-CN"/>
        </w:rPr>
        <w:t>Deductions of refunds from the Summary of MDR but without supporting documents</w:t>
      </w:r>
    </w:p>
    <w:p w14:paraId="1D3A7C32" w14:textId="77777777" w:rsidR="007D7EEA" w:rsidRPr="00200B96" w:rsidRDefault="007D7EEA">
      <w:pPr>
        <w:spacing w:after="0" w:line="240" w:lineRule="auto"/>
        <w:ind w:right="4707"/>
        <w:jc w:val="both"/>
        <w:rPr>
          <w:rFonts w:ascii="Arial" w:eastAsia="SimSun" w:hAnsi="Arial" w:cs="Arial"/>
          <w:lang w:eastAsia="zh-CN"/>
        </w:rPr>
      </w:pPr>
    </w:p>
    <w:p w14:paraId="67BB59BC" w14:textId="028A1B7F"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The Management submitted two Official Receipts (ORs) to the Audit Team as proof of collection for refund from the Meralco.  However, the total of the OR submitted is only P5.412 million, while the declared refund based on the Summary of MDR provided in Table </w:t>
      </w:r>
      <w:r w:rsidR="00E4192B" w:rsidRPr="00200B96">
        <w:rPr>
          <w:rFonts w:ascii="Arial" w:eastAsia="SimSun" w:hAnsi="Arial" w:cs="Arial"/>
          <w:sz w:val="22"/>
          <w:szCs w:val="22"/>
          <w:lang w:eastAsia="zh-CN"/>
        </w:rPr>
        <w:t>10</w:t>
      </w:r>
      <w:r w:rsidRPr="00200B96">
        <w:rPr>
          <w:rFonts w:ascii="Arial" w:eastAsia="SimSun" w:hAnsi="Arial" w:cs="Arial"/>
          <w:sz w:val="22"/>
          <w:szCs w:val="22"/>
          <w:lang w:eastAsia="zh-CN"/>
        </w:rPr>
        <w:t xml:space="preserve">.1 shows that the total refunds from Meralco amounted to P7.815 million, with a difference of P2.403 million.  The Audit Team already requested from the Management the supporting documents for the said difference, but no documents were presented to date. Details of the ORs submitted is presented in Table </w:t>
      </w:r>
      <w:r w:rsidR="00E4192B" w:rsidRPr="00200B96">
        <w:rPr>
          <w:rFonts w:ascii="Arial" w:eastAsia="SimSun" w:hAnsi="Arial" w:cs="Arial"/>
          <w:sz w:val="22"/>
          <w:szCs w:val="22"/>
          <w:lang w:eastAsia="zh-CN"/>
        </w:rPr>
        <w:t>10</w:t>
      </w:r>
      <w:r w:rsidRPr="00200B96">
        <w:rPr>
          <w:rFonts w:ascii="Arial" w:eastAsia="SimSun" w:hAnsi="Arial" w:cs="Arial"/>
          <w:sz w:val="22"/>
          <w:szCs w:val="22"/>
          <w:lang w:eastAsia="zh-CN"/>
        </w:rPr>
        <w:t>.3.</w:t>
      </w:r>
    </w:p>
    <w:p w14:paraId="196E7DC1" w14:textId="77777777" w:rsidR="007D7EEA" w:rsidRPr="00200B96" w:rsidRDefault="007D7EEA">
      <w:pPr>
        <w:overflowPunct w:val="0"/>
        <w:autoSpaceDE w:val="0"/>
        <w:autoSpaceDN w:val="0"/>
        <w:adjustRightInd w:val="0"/>
        <w:spacing w:after="0" w:line="240" w:lineRule="auto"/>
        <w:ind w:right="2"/>
        <w:textAlignment w:val="baseline"/>
        <w:rPr>
          <w:rFonts w:ascii="Arial" w:eastAsia="SimSun" w:hAnsi="Arial" w:cs="Arial"/>
          <w:b/>
          <w:lang w:eastAsia="zh-CN"/>
        </w:rPr>
      </w:pPr>
    </w:p>
    <w:p w14:paraId="564C620E" w14:textId="77777777" w:rsidR="00C37AF7" w:rsidRDefault="00C37AF7">
      <w:pPr>
        <w:overflowPunct w:val="0"/>
        <w:autoSpaceDE w:val="0"/>
        <w:autoSpaceDN w:val="0"/>
        <w:adjustRightInd w:val="0"/>
        <w:spacing w:after="0" w:line="240" w:lineRule="auto"/>
        <w:ind w:left="1260" w:right="2"/>
        <w:jc w:val="center"/>
        <w:textAlignment w:val="baseline"/>
        <w:rPr>
          <w:rFonts w:ascii="Arial" w:eastAsia="SimSun" w:hAnsi="Arial" w:cs="Arial"/>
          <w:b/>
          <w:lang w:eastAsia="zh-CN"/>
        </w:rPr>
      </w:pPr>
    </w:p>
    <w:p w14:paraId="4B5A8A4D" w14:textId="77777777" w:rsidR="00C37AF7" w:rsidRDefault="00C37AF7">
      <w:pPr>
        <w:overflowPunct w:val="0"/>
        <w:autoSpaceDE w:val="0"/>
        <w:autoSpaceDN w:val="0"/>
        <w:adjustRightInd w:val="0"/>
        <w:spacing w:after="0" w:line="240" w:lineRule="auto"/>
        <w:ind w:left="1260" w:right="2"/>
        <w:jc w:val="center"/>
        <w:textAlignment w:val="baseline"/>
        <w:rPr>
          <w:rFonts w:ascii="Arial" w:eastAsia="SimSun" w:hAnsi="Arial" w:cs="Arial"/>
          <w:b/>
          <w:lang w:eastAsia="zh-CN"/>
        </w:rPr>
      </w:pPr>
    </w:p>
    <w:p w14:paraId="6B78964B" w14:textId="77777777" w:rsidR="00C37AF7" w:rsidRDefault="00C37AF7">
      <w:pPr>
        <w:overflowPunct w:val="0"/>
        <w:autoSpaceDE w:val="0"/>
        <w:autoSpaceDN w:val="0"/>
        <w:adjustRightInd w:val="0"/>
        <w:spacing w:after="0" w:line="240" w:lineRule="auto"/>
        <w:ind w:left="1260" w:right="2"/>
        <w:jc w:val="center"/>
        <w:textAlignment w:val="baseline"/>
        <w:rPr>
          <w:rFonts w:ascii="Arial" w:eastAsia="SimSun" w:hAnsi="Arial" w:cs="Arial"/>
          <w:b/>
          <w:lang w:eastAsia="zh-CN"/>
        </w:rPr>
      </w:pPr>
    </w:p>
    <w:p w14:paraId="0C2AB1C9" w14:textId="77777777" w:rsidR="00C37AF7" w:rsidRDefault="00C37AF7">
      <w:pPr>
        <w:overflowPunct w:val="0"/>
        <w:autoSpaceDE w:val="0"/>
        <w:autoSpaceDN w:val="0"/>
        <w:adjustRightInd w:val="0"/>
        <w:spacing w:after="0" w:line="240" w:lineRule="auto"/>
        <w:ind w:left="1260" w:right="2"/>
        <w:jc w:val="center"/>
        <w:textAlignment w:val="baseline"/>
        <w:rPr>
          <w:rFonts w:ascii="Arial" w:eastAsia="SimSun" w:hAnsi="Arial" w:cs="Arial"/>
          <w:b/>
          <w:lang w:eastAsia="zh-CN"/>
        </w:rPr>
      </w:pPr>
    </w:p>
    <w:p w14:paraId="3EDB23A3" w14:textId="23131D28" w:rsidR="007D7EEA" w:rsidRPr="00200B96" w:rsidRDefault="00DD2A4D">
      <w:pPr>
        <w:overflowPunct w:val="0"/>
        <w:autoSpaceDE w:val="0"/>
        <w:autoSpaceDN w:val="0"/>
        <w:adjustRightInd w:val="0"/>
        <w:spacing w:after="0" w:line="240" w:lineRule="auto"/>
        <w:ind w:left="1260" w:right="2"/>
        <w:jc w:val="center"/>
        <w:textAlignment w:val="baseline"/>
        <w:rPr>
          <w:rFonts w:ascii="Arial" w:eastAsia="SimSun" w:hAnsi="Arial" w:cs="Arial"/>
          <w:b/>
          <w:lang w:eastAsia="zh-CN"/>
        </w:rPr>
      </w:pPr>
      <w:r w:rsidRPr="00200B96">
        <w:rPr>
          <w:rFonts w:ascii="Arial" w:eastAsia="SimSun" w:hAnsi="Arial" w:cs="Arial"/>
          <w:b/>
          <w:lang w:eastAsia="zh-CN"/>
        </w:rPr>
        <w:lastRenderedPageBreak/>
        <w:t xml:space="preserve">Table </w:t>
      </w:r>
      <w:r w:rsidR="00E4192B" w:rsidRPr="00200B96">
        <w:rPr>
          <w:rFonts w:ascii="Arial" w:eastAsia="SimSun" w:hAnsi="Arial" w:cs="Arial"/>
          <w:b/>
          <w:lang w:eastAsia="zh-CN"/>
        </w:rPr>
        <w:t>10</w:t>
      </w:r>
      <w:r w:rsidRPr="00200B96">
        <w:rPr>
          <w:rFonts w:ascii="Arial" w:eastAsia="SimSun" w:hAnsi="Arial" w:cs="Arial"/>
          <w:b/>
          <w:lang w:eastAsia="zh-CN"/>
        </w:rPr>
        <w:t>.3 – Official Receipts Submitted</w:t>
      </w:r>
    </w:p>
    <w:p w14:paraId="77F30BD6" w14:textId="77777777" w:rsidR="007D7EEA" w:rsidRPr="00200B96" w:rsidRDefault="00DD2A4D">
      <w:pPr>
        <w:overflowPunct w:val="0"/>
        <w:autoSpaceDE w:val="0"/>
        <w:autoSpaceDN w:val="0"/>
        <w:adjustRightInd w:val="0"/>
        <w:spacing w:after="0" w:line="240" w:lineRule="auto"/>
        <w:ind w:left="1260" w:right="2"/>
        <w:jc w:val="center"/>
        <w:textAlignment w:val="baseline"/>
        <w:rPr>
          <w:rFonts w:ascii="Arial" w:eastAsia="SimSun" w:hAnsi="Arial" w:cs="Arial"/>
          <w:b/>
          <w:lang w:eastAsia="zh-CN"/>
        </w:rPr>
      </w:pPr>
      <w:r w:rsidRPr="00200B96">
        <w:rPr>
          <w:rFonts w:ascii="Arial" w:eastAsia="SimSun" w:hAnsi="Arial" w:cs="Arial"/>
          <w:b/>
          <w:lang w:eastAsia="zh-CN"/>
        </w:rPr>
        <w:t>As at December 31, 2022</w:t>
      </w:r>
    </w:p>
    <w:p w14:paraId="421A18F6" w14:textId="77777777" w:rsidR="007D7EEA" w:rsidRPr="00892A58" w:rsidRDefault="007D7EEA">
      <w:pPr>
        <w:overflowPunct w:val="0"/>
        <w:autoSpaceDE w:val="0"/>
        <w:autoSpaceDN w:val="0"/>
        <w:adjustRightInd w:val="0"/>
        <w:spacing w:after="0" w:line="240" w:lineRule="auto"/>
        <w:ind w:right="2"/>
        <w:jc w:val="center"/>
        <w:textAlignment w:val="baseline"/>
        <w:rPr>
          <w:rFonts w:ascii="Arial" w:eastAsia="SimSun" w:hAnsi="Arial" w:cs="Arial"/>
          <w:b/>
          <w:sz w:val="18"/>
          <w:lang w:eastAsia="zh-CN"/>
        </w:rPr>
      </w:pPr>
    </w:p>
    <w:tbl>
      <w:tblPr>
        <w:tblW w:w="7387" w:type="dxa"/>
        <w:tblInd w:w="1260" w:type="dxa"/>
        <w:tblLook w:val="04A0" w:firstRow="1" w:lastRow="0" w:firstColumn="1" w:lastColumn="0" w:noHBand="0" w:noVBand="1"/>
      </w:tblPr>
      <w:tblGrid>
        <w:gridCol w:w="1890"/>
        <w:gridCol w:w="2970"/>
        <w:gridCol w:w="2527"/>
      </w:tblGrid>
      <w:tr w:rsidR="007D7EEA" w:rsidRPr="00892A58" w14:paraId="2785E6F9" w14:textId="77777777">
        <w:trPr>
          <w:tblHeader/>
        </w:trPr>
        <w:tc>
          <w:tcPr>
            <w:tcW w:w="1890" w:type="dxa"/>
            <w:tcBorders>
              <w:top w:val="single" w:sz="8" w:space="0" w:color="auto"/>
              <w:left w:val="nil"/>
              <w:bottom w:val="single" w:sz="8" w:space="0" w:color="auto"/>
              <w:right w:val="nil"/>
            </w:tcBorders>
            <w:shd w:val="clear" w:color="auto" w:fill="auto"/>
            <w:noWrap/>
            <w:vAlign w:val="center"/>
          </w:tcPr>
          <w:p w14:paraId="7E3C77E5" w14:textId="77777777" w:rsidR="007D7EEA" w:rsidRPr="00892A58" w:rsidRDefault="00DD2A4D">
            <w:pPr>
              <w:spacing w:after="0" w:line="240" w:lineRule="auto"/>
              <w:rPr>
                <w:rFonts w:ascii="Arial" w:eastAsia="Times New Roman" w:hAnsi="Arial" w:cs="Arial"/>
                <w:b/>
                <w:bCs/>
                <w:color w:val="000000"/>
                <w:sz w:val="20"/>
                <w:szCs w:val="20"/>
                <w:lang w:val="en-PH" w:eastAsia="en-PH"/>
              </w:rPr>
            </w:pPr>
            <w:r w:rsidRPr="00892A58">
              <w:rPr>
                <w:rFonts w:ascii="Arial" w:eastAsia="Times New Roman" w:hAnsi="Arial" w:cs="Arial"/>
                <w:b/>
                <w:bCs/>
                <w:color w:val="000000"/>
                <w:sz w:val="20"/>
                <w:szCs w:val="20"/>
                <w:lang w:eastAsia="en-PH"/>
              </w:rPr>
              <w:t>OR No.</w:t>
            </w:r>
          </w:p>
        </w:tc>
        <w:tc>
          <w:tcPr>
            <w:tcW w:w="2970" w:type="dxa"/>
            <w:tcBorders>
              <w:top w:val="single" w:sz="8" w:space="0" w:color="auto"/>
              <w:left w:val="nil"/>
              <w:bottom w:val="single" w:sz="8" w:space="0" w:color="auto"/>
              <w:right w:val="nil"/>
            </w:tcBorders>
            <w:shd w:val="clear" w:color="auto" w:fill="auto"/>
            <w:noWrap/>
            <w:vAlign w:val="center"/>
          </w:tcPr>
          <w:p w14:paraId="70D086EC" w14:textId="77777777" w:rsidR="007D7EEA" w:rsidRPr="00892A58" w:rsidRDefault="00DD2A4D">
            <w:pPr>
              <w:spacing w:after="0" w:line="240" w:lineRule="auto"/>
              <w:jc w:val="center"/>
              <w:rPr>
                <w:rFonts w:ascii="Arial" w:eastAsia="Times New Roman" w:hAnsi="Arial" w:cs="Arial"/>
                <w:b/>
                <w:bCs/>
                <w:color w:val="000000"/>
                <w:sz w:val="20"/>
                <w:szCs w:val="20"/>
                <w:lang w:val="en-PH" w:eastAsia="en-PH"/>
              </w:rPr>
            </w:pPr>
            <w:r w:rsidRPr="00892A58">
              <w:rPr>
                <w:rFonts w:ascii="Arial" w:eastAsia="Times New Roman" w:hAnsi="Arial" w:cs="Arial"/>
                <w:b/>
                <w:bCs/>
                <w:color w:val="000000"/>
                <w:sz w:val="20"/>
                <w:szCs w:val="20"/>
                <w:lang w:eastAsia="en-PH"/>
              </w:rPr>
              <w:t>Date</w:t>
            </w:r>
          </w:p>
        </w:tc>
        <w:tc>
          <w:tcPr>
            <w:tcW w:w="2527" w:type="dxa"/>
            <w:tcBorders>
              <w:top w:val="single" w:sz="8" w:space="0" w:color="auto"/>
              <w:left w:val="nil"/>
              <w:bottom w:val="single" w:sz="8" w:space="0" w:color="auto"/>
              <w:right w:val="nil"/>
            </w:tcBorders>
            <w:shd w:val="clear" w:color="auto" w:fill="auto"/>
            <w:noWrap/>
            <w:vAlign w:val="center"/>
          </w:tcPr>
          <w:p w14:paraId="0AD4F9F5" w14:textId="77777777" w:rsidR="007D7EEA" w:rsidRPr="00892A58" w:rsidRDefault="00DD2A4D">
            <w:pPr>
              <w:spacing w:after="0" w:line="240" w:lineRule="auto"/>
              <w:ind w:left="1037"/>
              <w:jc w:val="center"/>
              <w:rPr>
                <w:rFonts w:ascii="Arial" w:eastAsia="Times New Roman" w:hAnsi="Arial" w:cs="Arial"/>
                <w:b/>
                <w:bCs/>
                <w:color w:val="000000"/>
                <w:sz w:val="20"/>
                <w:szCs w:val="20"/>
                <w:lang w:val="en-PH" w:eastAsia="en-PH"/>
              </w:rPr>
            </w:pPr>
            <w:r w:rsidRPr="00892A58">
              <w:rPr>
                <w:rFonts w:ascii="Arial" w:eastAsia="Times New Roman" w:hAnsi="Arial" w:cs="Arial"/>
                <w:b/>
                <w:bCs/>
                <w:color w:val="000000"/>
                <w:sz w:val="20"/>
                <w:szCs w:val="20"/>
                <w:lang w:eastAsia="en-PH"/>
              </w:rPr>
              <w:t>Amount</w:t>
            </w:r>
          </w:p>
        </w:tc>
      </w:tr>
      <w:tr w:rsidR="007D7EEA" w:rsidRPr="00892A58" w14:paraId="0D3E6005" w14:textId="77777777">
        <w:tc>
          <w:tcPr>
            <w:tcW w:w="1890" w:type="dxa"/>
            <w:tcBorders>
              <w:top w:val="nil"/>
              <w:left w:val="nil"/>
              <w:right w:val="nil"/>
            </w:tcBorders>
            <w:shd w:val="clear" w:color="auto" w:fill="auto"/>
            <w:noWrap/>
            <w:vAlign w:val="center"/>
          </w:tcPr>
          <w:p w14:paraId="56FAB66C" w14:textId="77777777" w:rsidR="007D7EEA" w:rsidRPr="00892A58" w:rsidRDefault="00DD2A4D">
            <w:pPr>
              <w:spacing w:after="0" w:line="240" w:lineRule="auto"/>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66321A</w:t>
            </w:r>
          </w:p>
        </w:tc>
        <w:tc>
          <w:tcPr>
            <w:tcW w:w="2970" w:type="dxa"/>
            <w:tcBorders>
              <w:top w:val="nil"/>
              <w:left w:val="nil"/>
              <w:right w:val="nil"/>
            </w:tcBorders>
            <w:shd w:val="clear" w:color="auto" w:fill="auto"/>
            <w:noWrap/>
            <w:vAlign w:val="center"/>
          </w:tcPr>
          <w:p w14:paraId="6B353083" w14:textId="77777777" w:rsidR="007D7EEA" w:rsidRPr="00892A58" w:rsidRDefault="00DD2A4D">
            <w:pPr>
              <w:spacing w:after="0" w:line="240" w:lineRule="auto"/>
              <w:jc w:val="center"/>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August 24, 2021</w:t>
            </w:r>
          </w:p>
        </w:tc>
        <w:tc>
          <w:tcPr>
            <w:tcW w:w="2527" w:type="dxa"/>
            <w:tcBorders>
              <w:top w:val="nil"/>
              <w:left w:val="nil"/>
              <w:right w:val="nil"/>
            </w:tcBorders>
            <w:shd w:val="clear" w:color="auto" w:fill="auto"/>
            <w:noWrap/>
            <w:vAlign w:val="center"/>
          </w:tcPr>
          <w:p w14:paraId="72930547" w14:textId="77777777" w:rsidR="007D7EEA" w:rsidRPr="00892A58" w:rsidRDefault="00DD2A4D">
            <w:pPr>
              <w:spacing w:after="0" w:line="240" w:lineRule="auto"/>
              <w:jc w:val="right"/>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 xml:space="preserve"> P 4,251,576 </w:t>
            </w:r>
          </w:p>
        </w:tc>
      </w:tr>
      <w:tr w:rsidR="007D7EEA" w:rsidRPr="00892A58" w14:paraId="5C252CC4" w14:textId="77777777">
        <w:tc>
          <w:tcPr>
            <w:tcW w:w="1890" w:type="dxa"/>
            <w:tcBorders>
              <w:top w:val="nil"/>
              <w:left w:val="nil"/>
              <w:bottom w:val="single" w:sz="4" w:space="0" w:color="auto"/>
              <w:right w:val="nil"/>
            </w:tcBorders>
            <w:shd w:val="clear" w:color="auto" w:fill="auto"/>
            <w:noWrap/>
            <w:vAlign w:val="center"/>
          </w:tcPr>
          <w:p w14:paraId="2CF65099" w14:textId="77777777" w:rsidR="007D7EEA" w:rsidRPr="00892A58" w:rsidRDefault="00DD2A4D">
            <w:pPr>
              <w:spacing w:after="0" w:line="240" w:lineRule="auto"/>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58226A</w:t>
            </w:r>
          </w:p>
        </w:tc>
        <w:tc>
          <w:tcPr>
            <w:tcW w:w="2970" w:type="dxa"/>
            <w:tcBorders>
              <w:top w:val="nil"/>
              <w:left w:val="nil"/>
              <w:bottom w:val="single" w:sz="4" w:space="0" w:color="auto"/>
              <w:right w:val="nil"/>
            </w:tcBorders>
            <w:shd w:val="clear" w:color="auto" w:fill="auto"/>
            <w:noWrap/>
            <w:vAlign w:val="center"/>
          </w:tcPr>
          <w:p w14:paraId="007EBA94" w14:textId="77777777" w:rsidR="007D7EEA" w:rsidRPr="00892A58" w:rsidRDefault="00DD2A4D">
            <w:pPr>
              <w:spacing w:after="0" w:line="240" w:lineRule="auto"/>
              <w:jc w:val="center"/>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July 22, 2019</w:t>
            </w:r>
          </w:p>
        </w:tc>
        <w:tc>
          <w:tcPr>
            <w:tcW w:w="2527" w:type="dxa"/>
            <w:tcBorders>
              <w:top w:val="nil"/>
              <w:left w:val="nil"/>
              <w:bottom w:val="single" w:sz="4" w:space="0" w:color="auto"/>
              <w:right w:val="nil"/>
            </w:tcBorders>
            <w:shd w:val="clear" w:color="auto" w:fill="auto"/>
            <w:noWrap/>
            <w:vAlign w:val="center"/>
          </w:tcPr>
          <w:p w14:paraId="18C86DB3" w14:textId="77777777" w:rsidR="007D7EEA" w:rsidRPr="00892A58" w:rsidRDefault="00DD2A4D">
            <w:pPr>
              <w:spacing w:after="0" w:line="240" w:lineRule="auto"/>
              <w:jc w:val="right"/>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1,160,172</w:t>
            </w:r>
          </w:p>
        </w:tc>
      </w:tr>
      <w:tr w:rsidR="007D7EEA" w:rsidRPr="00892A58" w14:paraId="198A2266" w14:textId="77777777">
        <w:trPr>
          <w:trHeight w:val="317"/>
        </w:trPr>
        <w:tc>
          <w:tcPr>
            <w:tcW w:w="1890" w:type="dxa"/>
            <w:tcBorders>
              <w:top w:val="single" w:sz="4" w:space="0" w:color="auto"/>
              <w:left w:val="nil"/>
              <w:bottom w:val="double" w:sz="4" w:space="0" w:color="auto"/>
              <w:right w:val="nil"/>
            </w:tcBorders>
            <w:shd w:val="clear" w:color="auto" w:fill="auto"/>
            <w:noWrap/>
            <w:vAlign w:val="center"/>
          </w:tcPr>
          <w:p w14:paraId="19333E26" w14:textId="77777777" w:rsidR="007D7EEA" w:rsidRPr="00892A58" w:rsidRDefault="00DD2A4D">
            <w:pPr>
              <w:spacing w:after="0" w:line="240" w:lineRule="auto"/>
              <w:rPr>
                <w:rFonts w:ascii="Arial" w:eastAsia="Times New Roman" w:hAnsi="Arial" w:cs="Arial"/>
                <w:b/>
                <w:bCs/>
                <w:color w:val="000000"/>
                <w:sz w:val="20"/>
                <w:szCs w:val="20"/>
                <w:lang w:val="en-PH" w:eastAsia="en-PH"/>
              </w:rPr>
            </w:pPr>
            <w:r w:rsidRPr="00892A58">
              <w:rPr>
                <w:rFonts w:ascii="Arial" w:eastAsia="Times New Roman" w:hAnsi="Arial" w:cs="Arial"/>
                <w:b/>
                <w:bCs/>
                <w:color w:val="000000"/>
                <w:sz w:val="20"/>
                <w:szCs w:val="20"/>
                <w:lang w:eastAsia="en-PH"/>
              </w:rPr>
              <w:t>Total</w:t>
            </w:r>
          </w:p>
        </w:tc>
        <w:tc>
          <w:tcPr>
            <w:tcW w:w="2970" w:type="dxa"/>
            <w:tcBorders>
              <w:top w:val="single" w:sz="4" w:space="0" w:color="auto"/>
              <w:left w:val="nil"/>
              <w:bottom w:val="double" w:sz="4" w:space="0" w:color="auto"/>
              <w:right w:val="nil"/>
            </w:tcBorders>
            <w:shd w:val="clear" w:color="auto" w:fill="auto"/>
            <w:noWrap/>
            <w:vAlign w:val="center"/>
          </w:tcPr>
          <w:p w14:paraId="5DE3F8FE" w14:textId="77777777" w:rsidR="007D7EEA" w:rsidRPr="00892A58" w:rsidRDefault="00DD2A4D">
            <w:pPr>
              <w:spacing w:after="0" w:line="240" w:lineRule="auto"/>
              <w:rPr>
                <w:rFonts w:ascii="Arial" w:eastAsia="Times New Roman" w:hAnsi="Arial" w:cs="Arial"/>
                <w:color w:val="000000"/>
                <w:sz w:val="20"/>
                <w:szCs w:val="20"/>
                <w:lang w:val="en-PH" w:eastAsia="en-PH"/>
              </w:rPr>
            </w:pPr>
            <w:r w:rsidRPr="00892A58">
              <w:rPr>
                <w:rFonts w:ascii="Arial" w:eastAsia="Times New Roman" w:hAnsi="Arial" w:cs="Arial"/>
                <w:color w:val="000000"/>
                <w:sz w:val="20"/>
                <w:szCs w:val="20"/>
                <w:lang w:eastAsia="en-PH"/>
              </w:rPr>
              <w:t> </w:t>
            </w:r>
          </w:p>
        </w:tc>
        <w:tc>
          <w:tcPr>
            <w:tcW w:w="2527" w:type="dxa"/>
            <w:tcBorders>
              <w:top w:val="single" w:sz="4" w:space="0" w:color="auto"/>
              <w:left w:val="nil"/>
              <w:bottom w:val="double" w:sz="4" w:space="0" w:color="auto"/>
              <w:right w:val="nil"/>
            </w:tcBorders>
            <w:shd w:val="clear" w:color="auto" w:fill="auto"/>
            <w:noWrap/>
            <w:vAlign w:val="center"/>
          </w:tcPr>
          <w:p w14:paraId="0DD4032A" w14:textId="77777777" w:rsidR="007D7EEA" w:rsidRPr="00892A58" w:rsidRDefault="00DD2A4D">
            <w:pPr>
              <w:spacing w:after="0" w:line="240" w:lineRule="auto"/>
              <w:jc w:val="right"/>
              <w:rPr>
                <w:rFonts w:ascii="Arial" w:eastAsia="Times New Roman" w:hAnsi="Arial" w:cs="Arial"/>
                <w:b/>
                <w:bCs/>
                <w:color w:val="000000"/>
                <w:sz w:val="20"/>
                <w:szCs w:val="20"/>
                <w:lang w:val="en-PH" w:eastAsia="en-PH"/>
              </w:rPr>
            </w:pPr>
            <w:r w:rsidRPr="00892A58">
              <w:rPr>
                <w:rFonts w:ascii="Arial" w:eastAsia="Times New Roman" w:hAnsi="Arial" w:cs="Arial"/>
                <w:b/>
                <w:bCs/>
                <w:color w:val="000000"/>
                <w:sz w:val="20"/>
                <w:szCs w:val="20"/>
                <w:lang w:eastAsia="en-PH"/>
              </w:rPr>
              <w:t xml:space="preserve"> P 5,411,748 </w:t>
            </w:r>
          </w:p>
        </w:tc>
      </w:tr>
    </w:tbl>
    <w:p w14:paraId="5F75335D" w14:textId="77777777" w:rsidR="00892A58" w:rsidRDefault="00892A58">
      <w:pPr>
        <w:spacing w:after="0" w:line="240" w:lineRule="auto"/>
        <w:ind w:left="576"/>
        <w:jc w:val="both"/>
        <w:rPr>
          <w:rFonts w:ascii="Arial" w:eastAsia="SimSun" w:hAnsi="Arial" w:cs="Arial"/>
          <w:i/>
          <w:lang w:eastAsia="zh-CN"/>
        </w:rPr>
      </w:pPr>
    </w:p>
    <w:p w14:paraId="050B5102" w14:textId="53B4F058" w:rsidR="007D7EEA" w:rsidRPr="00200B96" w:rsidRDefault="00DD2A4D">
      <w:pPr>
        <w:spacing w:after="0" w:line="240" w:lineRule="auto"/>
        <w:ind w:left="576"/>
        <w:jc w:val="both"/>
        <w:rPr>
          <w:rFonts w:ascii="Arial" w:eastAsia="SimSun" w:hAnsi="Arial" w:cs="Arial"/>
          <w:i/>
          <w:lang w:eastAsia="zh-CN"/>
        </w:rPr>
      </w:pPr>
      <w:r w:rsidRPr="00200B96">
        <w:rPr>
          <w:rFonts w:ascii="Arial" w:eastAsia="SimSun" w:hAnsi="Arial" w:cs="Arial"/>
          <w:i/>
          <w:lang w:eastAsia="zh-CN"/>
        </w:rPr>
        <w:t xml:space="preserve">Offsets </w:t>
      </w:r>
      <w:bookmarkStart w:id="10" w:name="_Hlk127973959"/>
      <w:r w:rsidRPr="00200B96">
        <w:rPr>
          <w:rFonts w:ascii="Arial" w:eastAsia="SimSun" w:hAnsi="Arial" w:cs="Arial"/>
          <w:i/>
          <w:lang w:eastAsia="zh-CN"/>
        </w:rPr>
        <w:t>recorded in the SL but not included in the Summary of MDR</w:t>
      </w:r>
      <w:bookmarkEnd w:id="10"/>
    </w:p>
    <w:p w14:paraId="1E2F7A8B" w14:textId="77777777" w:rsidR="007D7EEA" w:rsidRPr="00200B96" w:rsidRDefault="007D7EEA">
      <w:pPr>
        <w:spacing w:after="0" w:line="240" w:lineRule="auto"/>
        <w:ind w:right="4707"/>
        <w:jc w:val="both"/>
        <w:rPr>
          <w:rFonts w:ascii="Arial" w:eastAsia="SimSun" w:hAnsi="Arial" w:cs="Arial"/>
          <w:i/>
          <w:lang w:eastAsia="zh-CN"/>
        </w:rPr>
      </w:pPr>
    </w:p>
    <w:p w14:paraId="1E7CDE8B" w14:textId="2123B8A0" w:rsidR="007D7EEA"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As earlier mentioned, the contract agreement of the AFPRSBS with the Meralco also specified that the Meralco shall have the right to offset the amount of refund of the balance thereof against the unpaid electric bills of the AFPRSBS which are already due and demandable. </w:t>
      </w:r>
    </w:p>
    <w:p w14:paraId="726EA7C4" w14:textId="77777777" w:rsidR="00282549" w:rsidRPr="00200B96" w:rsidRDefault="00282549" w:rsidP="00282549">
      <w:pPr>
        <w:pStyle w:val="NormalWeb"/>
        <w:spacing w:before="0" w:beforeAutospacing="0" w:after="0" w:afterAutospacing="0"/>
        <w:ind w:left="1267"/>
        <w:jc w:val="both"/>
        <w:rPr>
          <w:rFonts w:ascii="Arial" w:eastAsia="SimSun" w:hAnsi="Arial" w:cs="Arial"/>
          <w:sz w:val="22"/>
          <w:szCs w:val="22"/>
          <w:lang w:eastAsia="zh-CN"/>
        </w:rPr>
      </w:pPr>
    </w:p>
    <w:p w14:paraId="3756C1B6" w14:textId="19AB2CC6" w:rsidR="007D7EEA" w:rsidRPr="00200B96"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200B96">
        <w:rPr>
          <w:rFonts w:ascii="Arial" w:eastAsia="SimSun" w:hAnsi="Arial" w:cs="Arial"/>
          <w:sz w:val="22"/>
          <w:szCs w:val="22"/>
          <w:lang w:eastAsia="zh-CN"/>
        </w:rPr>
        <w:t xml:space="preserve">Review of SL of the AR – Others, where the deposits and/or advances to Meralco are recorded showed that a total of P6.053 million were credited against the account.  The Audit Team selected three items with the highest value as samples and inquired with the Management regarding the nature of the accounts recorded.  The Management admitted that those items are bill deposits which were offsets against the monthly billings of Meralco.  Likewise, these items were not included in the Summary of MDR and no documents were submitted to support the offsets made. Details are presented in Table </w:t>
      </w:r>
      <w:r w:rsidR="00E4192B" w:rsidRPr="00200B96">
        <w:rPr>
          <w:rFonts w:ascii="Arial" w:eastAsia="SimSun" w:hAnsi="Arial" w:cs="Arial"/>
          <w:sz w:val="22"/>
          <w:szCs w:val="22"/>
          <w:lang w:eastAsia="zh-CN"/>
        </w:rPr>
        <w:t>10</w:t>
      </w:r>
      <w:r w:rsidRPr="00200B96">
        <w:rPr>
          <w:rFonts w:ascii="Arial" w:eastAsia="SimSun" w:hAnsi="Arial" w:cs="Arial"/>
          <w:sz w:val="22"/>
          <w:szCs w:val="22"/>
          <w:lang w:eastAsia="zh-CN"/>
        </w:rPr>
        <w:t>.4.</w:t>
      </w:r>
    </w:p>
    <w:p w14:paraId="320531C7" w14:textId="77777777" w:rsidR="00DF0D75" w:rsidRPr="00200B96" w:rsidRDefault="00DF0D75">
      <w:pPr>
        <w:pStyle w:val="ListParagraph"/>
        <w:ind w:firstLine="720"/>
        <w:jc w:val="both"/>
        <w:rPr>
          <w:rFonts w:ascii="Arial" w:eastAsia="SimSun" w:hAnsi="Arial" w:cs="Arial"/>
          <w:sz w:val="22"/>
          <w:szCs w:val="22"/>
          <w:lang w:eastAsia="zh-CN"/>
        </w:rPr>
      </w:pPr>
    </w:p>
    <w:p w14:paraId="67E8C37D" w14:textId="281DA319" w:rsidR="007D7EEA" w:rsidRPr="00200B96" w:rsidRDefault="00DD2A4D">
      <w:pPr>
        <w:pStyle w:val="ListParagraph"/>
        <w:ind w:left="1260"/>
        <w:jc w:val="center"/>
        <w:rPr>
          <w:rFonts w:ascii="Arial" w:eastAsia="SimSun" w:hAnsi="Arial" w:cs="Arial"/>
          <w:b/>
          <w:sz w:val="22"/>
          <w:szCs w:val="22"/>
          <w:lang w:eastAsia="zh-CN"/>
        </w:rPr>
      </w:pPr>
      <w:r w:rsidRPr="00200B96">
        <w:rPr>
          <w:rFonts w:ascii="Arial" w:eastAsia="SimSun" w:hAnsi="Arial" w:cs="Arial"/>
          <w:b/>
          <w:sz w:val="22"/>
          <w:szCs w:val="22"/>
          <w:lang w:eastAsia="zh-CN"/>
        </w:rPr>
        <w:t xml:space="preserve">Table </w:t>
      </w:r>
      <w:r w:rsidR="00E4192B" w:rsidRPr="00200B96">
        <w:rPr>
          <w:rFonts w:ascii="Arial" w:eastAsia="SimSun" w:hAnsi="Arial" w:cs="Arial"/>
          <w:b/>
          <w:sz w:val="22"/>
          <w:szCs w:val="22"/>
          <w:lang w:eastAsia="zh-CN"/>
        </w:rPr>
        <w:t>10</w:t>
      </w:r>
      <w:r w:rsidRPr="00200B96">
        <w:rPr>
          <w:rFonts w:ascii="Arial" w:eastAsia="SimSun" w:hAnsi="Arial" w:cs="Arial"/>
          <w:b/>
          <w:sz w:val="22"/>
          <w:szCs w:val="22"/>
          <w:lang w:eastAsia="zh-CN"/>
        </w:rPr>
        <w:t xml:space="preserve">.4 – Offsets recorded in the SL but not included </w:t>
      </w:r>
    </w:p>
    <w:p w14:paraId="67A08DD1" w14:textId="77777777" w:rsidR="007D7EEA" w:rsidRPr="00200B96" w:rsidRDefault="00DD2A4D">
      <w:pPr>
        <w:pStyle w:val="ListParagraph"/>
        <w:ind w:left="1260"/>
        <w:jc w:val="center"/>
        <w:rPr>
          <w:rFonts w:ascii="Arial" w:eastAsia="SimSun" w:hAnsi="Arial" w:cs="Arial"/>
          <w:b/>
          <w:sz w:val="22"/>
          <w:szCs w:val="22"/>
          <w:lang w:eastAsia="zh-CN"/>
        </w:rPr>
      </w:pPr>
      <w:r w:rsidRPr="00200B96">
        <w:rPr>
          <w:rFonts w:ascii="Arial" w:eastAsia="SimSun" w:hAnsi="Arial" w:cs="Arial"/>
          <w:b/>
          <w:sz w:val="22"/>
          <w:szCs w:val="22"/>
          <w:lang w:eastAsia="zh-CN"/>
        </w:rPr>
        <w:t>in the Summary of MDR</w:t>
      </w:r>
    </w:p>
    <w:p w14:paraId="156D6AFD" w14:textId="77777777" w:rsidR="007D7EEA" w:rsidRPr="00200B96" w:rsidRDefault="00DD2A4D">
      <w:pPr>
        <w:pStyle w:val="ListParagraph"/>
        <w:ind w:left="1260"/>
        <w:jc w:val="center"/>
        <w:rPr>
          <w:rFonts w:ascii="Arial" w:eastAsia="SimSun" w:hAnsi="Arial" w:cs="Arial"/>
          <w:b/>
          <w:sz w:val="22"/>
          <w:szCs w:val="22"/>
          <w:lang w:eastAsia="zh-CN"/>
        </w:rPr>
      </w:pPr>
      <w:r w:rsidRPr="00200B96">
        <w:rPr>
          <w:rFonts w:ascii="Arial" w:eastAsia="SimSun" w:hAnsi="Arial" w:cs="Arial"/>
          <w:b/>
          <w:sz w:val="22"/>
          <w:szCs w:val="22"/>
          <w:lang w:eastAsia="zh-CN"/>
        </w:rPr>
        <w:t>From CYs 2016 to 2018</w:t>
      </w:r>
    </w:p>
    <w:p w14:paraId="21AE1A25" w14:textId="77777777" w:rsidR="007D7EEA" w:rsidRPr="00200B96" w:rsidRDefault="007D7EEA">
      <w:pPr>
        <w:pStyle w:val="ListParagraph"/>
        <w:jc w:val="center"/>
        <w:rPr>
          <w:rFonts w:ascii="Arial" w:eastAsia="SimSun" w:hAnsi="Arial" w:cs="Arial"/>
          <w:sz w:val="22"/>
          <w:szCs w:val="22"/>
          <w:lang w:eastAsia="zh-CN"/>
        </w:rPr>
      </w:pPr>
    </w:p>
    <w:tbl>
      <w:tblPr>
        <w:tblW w:w="0" w:type="auto"/>
        <w:tblInd w:w="1260" w:type="dxa"/>
        <w:tblLayout w:type="fixed"/>
        <w:tblLook w:val="04A0" w:firstRow="1" w:lastRow="0" w:firstColumn="1" w:lastColumn="0" w:noHBand="0" w:noVBand="1"/>
      </w:tblPr>
      <w:tblGrid>
        <w:gridCol w:w="983"/>
        <w:gridCol w:w="5227"/>
        <w:gridCol w:w="1170"/>
      </w:tblGrid>
      <w:tr w:rsidR="007D7EEA" w14:paraId="4401DFB1" w14:textId="77777777">
        <w:tc>
          <w:tcPr>
            <w:tcW w:w="983" w:type="dxa"/>
            <w:tcBorders>
              <w:top w:val="single" w:sz="8" w:space="0" w:color="auto"/>
              <w:left w:val="nil"/>
              <w:bottom w:val="single" w:sz="8" w:space="0" w:color="auto"/>
              <w:right w:val="nil"/>
            </w:tcBorders>
            <w:shd w:val="clear" w:color="auto" w:fill="auto"/>
            <w:noWrap/>
            <w:vAlign w:val="center"/>
          </w:tcPr>
          <w:p w14:paraId="2F2DB3B1"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Ref no.</w:t>
            </w:r>
          </w:p>
        </w:tc>
        <w:tc>
          <w:tcPr>
            <w:tcW w:w="5227" w:type="dxa"/>
            <w:tcBorders>
              <w:top w:val="single" w:sz="8" w:space="0" w:color="auto"/>
              <w:left w:val="nil"/>
              <w:bottom w:val="single" w:sz="8" w:space="0" w:color="auto"/>
              <w:right w:val="nil"/>
            </w:tcBorders>
            <w:shd w:val="clear" w:color="auto" w:fill="auto"/>
            <w:vAlign w:val="center"/>
          </w:tcPr>
          <w:p w14:paraId="07535443"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Particulars</w:t>
            </w:r>
          </w:p>
        </w:tc>
        <w:tc>
          <w:tcPr>
            <w:tcW w:w="1170" w:type="dxa"/>
            <w:tcBorders>
              <w:top w:val="single" w:sz="8" w:space="0" w:color="auto"/>
              <w:left w:val="nil"/>
              <w:bottom w:val="single" w:sz="8" w:space="0" w:color="auto"/>
              <w:right w:val="nil"/>
            </w:tcBorders>
            <w:shd w:val="clear" w:color="auto" w:fill="auto"/>
            <w:noWrap/>
            <w:vAlign w:val="center"/>
          </w:tcPr>
          <w:p w14:paraId="22D44258"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Amount</w:t>
            </w:r>
          </w:p>
        </w:tc>
      </w:tr>
      <w:tr w:rsidR="007D7EEA" w14:paraId="440C33FD" w14:textId="77777777">
        <w:tc>
          <w:tcPr>
            <w:tcW w:w="983" w:type="dxa"/>
            <w:tcBorders>
              <w:top w:val="nil"/>
              <w:left w:val="nil"/>
              <w:bottom w:val="nil"/>
              <w:right w:val="nil"/>
            </w:tcBorders>
            <w:shd w:val="clear" w:color="auto" w:fill="auto"/>
            <w:noWrap/>
            <w:vAlign w:val="center"/>
          </w:tcPr>
          <w:p w14:paraId="16EF6C35"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NI 133079</w:t>
            </w:r>
          </w:p>
        </w:tc>
        <w:tc>
          <w:tcPr>
            <w:tcW w:w="5227" w:type="dxa"/>
            <w:tcBorders>
              <w:top w:val="nil"/>
              <w:left w:val="nil"/>
              <w:bottom w:val="nil"/>
              <w:right w:val="nil"/>
            </w:tcBorders>
            <w:shd w:val="clear" w:color="auto" w:fill="auto"/>
            <w:vAlign w:val="center"/>
          </w:tcPr>
          <w:p w14:paraId="7A16FE19" w14:textId="77777777" w:rsidR="007D7EEA" w:rsidRDefault="00DD2A4D">
            <w:pPr>
              <w:spacing w:after="0" w:line="240" w:lineRule="auto"/>
              <w:ind w:left="288" w:right="-101" w:hanging="288"/>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xml:space="preserve">Payment of electricity consumption for the period </w:t>
            </w:r>
            <w:r>
              <w:rPr>
                <w:rFonts w:ascii="Arial" w:eastAsia="Times New Roman" w:hAnsi="Arial" w:cs="Arial"/>
                <w:color w:val="000000"/>
                <w:sz w:val="20"/>
                <w:szCs w:val="20"/>
                <w:lang w:eastAsia="en-PH"/>
              </w:rPr>
              <w:br/>
              <w:t>July 23, 2016 to August 22, 2016</w:t>
            </w:r>
          </w:p>
        </w:tc>
        <w:tc>
          <w:tcPr>
            <w:tcW w:w="1170" w:type="dxa"/>
            <w:tcBorders>
              <w:top w:val="nil"/>
              <w:left w:val="nil"/>
              <w:bottom w:val="nil"/>
              <w:right w:val="nil"/>
            </w:tcBorders>
            <w:shd w:val="clear" w:color="auto" w:fill="auto"/>
            <w:noWrap/>
            <w:vAlign w:val="bottom"/>
          </w:tcPr>
          <w:p w14:paraId="5F1F04E8" w14:textId="77777777" w:rsidR="007D7EEA" w:rsidRDefault="00DD2A4D">
            <w:pPr>
              <w:spacing w:after="0" w:line="240" w:lineRule="auto"/>
              <w:ind w:left="-114"/>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41,003</w:t>
            </w:r>
          </w:p>
        </w:tc>
      </w:tr>
      <w:tr w:rsidR="007D7EEA" w14:paraId="78D5D5CA" w14:textId="77777777" w:rsidTr="00E3744D">
        <w:tc>
          <w:tcPr>
            <w:tcW w:w="983" w:type="dxa"/>
            <w:tcBorders>
              <w:top w:val="nil"/>
              <w:left w:val="nil"/>
              <w:bottom w:val="nil"/>
              <w:right w:val="nil"/>
            </w:tcBorders>
            <w:shd w:val="clear" w:color="auto" w:fill="auto"/>
            <w:vAlign w:val="center"/>
          </w:tcPr>
          <w:p w14:paraId="2333467B"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NI 140669</w:t>
            </w:r>
          </w:p>
        </w:tc>
        <w:tc>
          <w:tcPr>
            <w:tcW w:w="5227" w:type="dxa"/>
            <w:tcBorders>
              <w:top w:val="nil"/>
              <w:left w:val="nil"/>
              <w:bottom w:val="nil"/>
              <w:right w:val="nil"/>
            </w:tcBorders>
            <w:shd w:val="clear" w:color="auto" w:fill="auto"/>
            <w:vAlign w:val="center"/>
          </w:tcPr>
          <w:p w14:paraId="0123A0CC" w14:textId="77777777" w:rsidR="007D7EEA" w:rsidRDefault="00DD2A4D">
            <w:pPr>
              <w:spacing w:after="0" w:line="240" w:lineRule="auto"/>
              <w:ind w:left="288" w:right="-101" w:hanging="288"/>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Industrial Park Management Office (IPMO) electric charges for the period of June 16, 2017 to July 15, 2017</w:t>
            </w:r>
          </w:p>
        </w:tc>
        <w:tc>
          <w:tcPr>
            <w:tcW w:w="1170" w:type="dxa"/>
            <w:tcBorders>
              <w:top w:val="nil"/>
              <w:left w:val="nil"/>
              <w:bottom w:val="nil"/>
              <w:right w:val="nil"/>
            </w:tcBorders>
            <w:shd w:val="clear" w:color="auto" w:fill="auto"/>
            <w:vAlign w:val="bottom"/>
          </w:tcPr>
          <w:p w14:paraId="4EDC69D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40,087</w:t>
            </w:r>
          </w:p>
        </w:tc>
      </w:tr>
      <w:tr w:rsidR="007D7EEA" w14:paraId="619B6773" w14:textId="77777777">
        <w:tc>
          <w:tcPr>
            <w:tcW w:w="983" w:type="dxa"/>
            <w:tcBorders>
              <w:top w:val="nil"/>
              <w:left w:val="nil"/>
              <w:bottom w:val="single" w:sz="8" w:space="0" w:color="auto"/>
              <w:right w:val="nil"/>
            </w:tcBorders>
            <w:shd w:val="clear" w:color="auto" w:fill="auto"/>
            <w:noWrap/>
            <w:vAlign w:val="center"/>
          </w:tcPr>
          <w:p w14:paraId="3E77ACE1"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NI 144218</w:t>
            </w:r>
          </w:p>
        </w:tc>
        <w:tc>
          <w:tcPr>
            <w:tcW w:w="5227" w:type="dxa"/>
            <w:tcBorders>
              <w:top w:val="nil"/>
              <w:left w:val="nil"/>
              <w:bottom w:val="single" w:sz="8" w:space="0" w:color="auto"/>
              <w:right w:val="nil"/>
            </w:tcBorders>
            <w:shd w:val="clear" w:color="auto" w:fill="auto"/>
            <w:noWrap/>
            <w:vAlign w:val="center"/>
          </w:tcPr>
          <w:p w14:paraId="10300F61" w14:textId="77777777" w:rsidR="007D7EEA" w:rsidRDefault="00DD2A4D">
            <w:pPr>
              <w:spacing w:after="0" w:line="240" w:lineRule="auto"/>
              <w:ind w:left="288" w:right="-101" w:hanging="288"/>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IPMO electric charges for the period December 16, 2017 to January 15, 2018</w:t>
            </w:r>
          </w:p>
        </w:tc>
        <w:tc>
          <w:tcPr>
            <w:tcW w:w="1170" w:type="dxa"/>
            <w:tcBorders>
              <w:top w:val="nil"/>
              <w:left w:val="nil"/>
              <w:bottom w:val="single" w:sz="8" w:space="0" w:color="auto"/>
              <w:right w:val="nil"/>
            </w:tcBorders>
            <w:shd w:val="clear" w:color="auto" w:fill="auto"/>
            <w:noWrap/>
            <w:vAlign w:val="bottom"/>
          </w:tcPr>
          <w:p w14:paraId="1ECAB556"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38,604</w:t>
            </w:r>
          </w:p>
        </w:tc>
      </w:tr>
      <w:tr w:rsidR="007D7EEA" w14:paraId="53629F68" w14:textId="77777777">
        <w:trPr>
          <w:trHeight w:val="317"/>
        </w:trPr>
        <w:tc>
          <w:tcPr>
            <w:tcW w:w="983" w:type="dxa"/>
            <w:tcBorders>
              <w:top w:val="nil"/>
              <w:left w:val="nil"/>
              <w:bottom w:val="double" w:sz="6" w:space="0" w:color="auto"/>
              <w:right w:val="nil"/>
            </w:tcBorders>
            <w:shd w:val="clear" w:color="auto" w:fill="auto"/>
            <w:noWrap/>
            <w:vAlign w:val="center"/>
          </w:tcPr>
          <w:p w14:paraId="21DCA45C" w14:textId="77777777" w:rsidR="007D7EEA" w:rsidRDefault="00DD2A4D">
            <w:pPr>
              <w:spacing w:after="0" w:line="240" w:lineRule="auto"/>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Total</w:t>
            </w:r>
          </w:p>
        </w:tc>
        <w:tc>
          <w:tcPr>
            <w:tcW w:w="5227" w:type="dxa"/>
            <w:tcBorders>
              <w:top w:val="nil"/>
              <w:left w:val="nil"/>
              <w:bottom w:val="double" w:sz="6" w:space="0" w:color="auto"/>
              <w:right w:val="nil"/>
            </w:tcBorders>
            <w:shd w:val="clear" w:color="auto" w:fill="auto"/>
            <w:noWrap/>
            <w:vAlign w:val="center"/>
          </w:tcPr>
          <w:p w14:paraId="289A2162"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w:t>
            </w:r>
          </w:p>
        </w:tc>
        <w:tc>
          <w:tcPr>
            <w:tcW w:w="1170" w:type="dxa"/>
            <w:tcBorders>
              <w:top w:val="nil"/>
              <w:left w:val="nil"/>
              <w:bottom w:val="double" w:sz="6" w:space="0" w:color="auto"/>
              <w:right w:val="nil"/>
            </w:tcBorders>
            <w:shd w:val="clear" w:color="auto" w:fill="auto"/>
            <w:noWrap/>
            <w:vAlign w:val="center"/>
          </w:tcPr>
          <w:p w14:paraId="3BFF7CC7" w14:textId="77777777" w:rsidR="007D7EEA" w:rsidRDefault="00DD2A4D">
            <w:pPr>
              <w:spacing w:after="0" w:line="240" w:lineRule="auto"/>
              <w:ind w:left="-11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119,694</w:t>
            </w:r>
          </w:p>
        </w:tc>
      </w:tr>
    </w:tbl>
    <w:p w14:paraId="098A2CB4" w14:textId="77777777" w:rsidR="007D7EEA" w:rsidRPr="0096065B" w:rsidRDefault="007D7EEA" w:rsidP="0096065B">
      <w:pPr>
        <w:pStyle w:val="ListParagraph"/>
        <w:ind w:firstLine="720"/>
        <w:jc w:val="both"/>
        <w:rPr>
          <w:rFonts w:ascii="Arial" w:eastAsia="SimSun" w:hAnsi="Arial" w:cs="Arial"/>
          <w:sz w:val="22"/>
          <w:szCs w:val="22"/>
          <w:lang w:eastAsia="zh-CN"/>
        </w:rPr>
      </w:pPr>
    </w:p>
    <w:p w14:paraId="14E1B9A7"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eastAsia="SimSun" w:hAnsi="Arial" w:cs="Arial"/>
          <w:sz w:val="22"/>
          <w:szCs w:val="22"/>
          <w:lang w:eastAsia="zh-CN"/>
        </w:rPr>
      </w:pPr>
      <w:r w:rsidRPr="0096065B">
        <w:rPr>
          <w:rFonts w:ascii="Arial" w:eastAsia="SimSun" w:hAnsi="Arial" w:cs="Arial"/>
          <w:sz w:val="22"/>
          <w:szCs w:val="22"/>
          <w:lang w:eastAsia="zh-CN"/>
        </w:rPr>
        <w:t xml:space="preserve">In view of the foregoing, the </w:t>
      </w:r>
      <w:bookmarkStart w:id="11" w:name="_Hlk127970781"/>
      <w:r w:rsidR="00431EA2" w:rsidRPr="0096065B">
        <w:rPr>
          <w:rFonts w:ascii="Arial" w:eastAsia="SimSun" w:hAnsi="Arial" w:cs="Arial"/>
          <w:sz w:val="22"/>
          <w:szCs w:val="22"/>
          <w:lang w:eastAsia="zh-CN"/>
        </w:rPr>
        <w:t>a</w:t>
      </w:r>
      <w:r w:rsidRPr="0096065B">
        <w:rPr>
          <w:rFonts w:ascii="Arial" w:eastAsia="SimSun" w:hAnsi="Arial" w:cs="Arial"/>
          <w:sz w:val="22"/>
          <w:szCs w:val="22"/>
          <w:lang w:eastAsia="zh-CN"/>
        </w:rPr>
        <w:t xml:space="preserve">ccuracy of the Summary of </w:t>
      </w:r>
      <w:bookmarkEnd w:id="11"/>
      <w:r w:rsidRPr="0096065B">
        <w:rPr>
          <w:rFonts w:ascii="Arial" w:eastAsia="SimSun" w:hAnsi="Arial" w:cs="Arial"/>
          <w:sz w:val="22"/>
          <w:szCs w:val="22"/>
          <w:lang w:eastAsia="zh-CN"/>
        </w:rPr>
        <w:t>MDR provided by the Management could not be relied upon as there are some items included in the AO in CY 2014 AAR that are no longer included in the submitted Summary of MDR, presence of unadjusted item that was recorded twice, deductions of refunds without supporting documents</w:t>
      </w:r>
      <w:r w:rsidRPr="0096065B">
        <w:rPr>
          <w:sz w:val="22"/>
          <w:szCs w:val="22"/>
        </w:rPr>
        <w:t xml:space="preserve"> </w:t>
      </w:r>
      <w:r w:rsidRPr="0096065B">
        <w:rPr>
          <w:rFonts w:ascii="Arial" w:eastAsia="SimSun" w:hAnsi="Arial" w:cs="Arial"/>
          <w:sz w:val="22"/>
          <w:szCs w:val="22"/>
          <w:lang w:eastAsia="zh-CN"/>
        </w:rPr>
        <w:t>and offsets recorded in the SL but not included in the Summary of MDR.</w:t>
      </w:r>
    </w:p>
    <w:p w14:paraId="329C015A" w14:textId="77777777" w:rsidR="007D7EEA" w:rsidRPr="0096065B" w:rsidRDefault="007D7EEA" w:rsidP="0096065B">
      <w:pPr>
        <w:pStyle w:val="NormalWeb"/>
        <w:spacing w:before="0" w:beforeAutospacing="0" w:after="0" w:afterAutospacing="0"/>
        <w:ind w:left="792"/>
        <w:jc w:val="both"/>
        <w:rPr>
          <w:rFonts w:ascii="Arial" w:eastAsia="SimSun" w:hAnsi="Arial" w:cs="Arial"/>
          <w:b/>
          <w:sz w:val="22"/>
          <w:szCs w:val="22"/>
          <w:lang w:eastAsia="zh-CN"/>
        </w:rPr>
      </w:pPr>
    </w:p>
    <w:p w14:paraId="25ECB0B0" w14:textId="3A5C4F5B" w:rsidR="007D7EEA" w:rsidRPr="0096065B" w:rsidRDefault="00DD2A4D" w:rsidP="00306C61">
      <w:pPr>
        <w:pStyle w:val="NormalWeb"/>
        <w:numPr>
          <w:ilvl w:val="0"/>
          <w:numId w:val="90"/>
        </w:numPr>
        <w:spacing w:before="0" w:beforeAutospacing="0" w:after="0" w:afterAutospacing="0"/>
        <w:ind w:left="1267" w:hanging="691"/>
        <w:jc w:val="both"/>
        <w:rPr>
          <w:rFonts w:ascii="Arial" w:eastAsia="SimSun" w:hAnsi="Arial" w:cs="Arial"/>
          <w:b/>
          <w:sz w:val="22"/>
          <w:szCs w:val="22"/>
          <w:lang w:eastAsia="zh-CN"/>
        </w:rPr>
      </w:pPr>
      <w:r w:rsidRPr="0096065B">
        <w:rPr>
          <w:rFonts w:ascii="Arial" w:eastAsia="SimSun" w:hAnsi="Arial" w:cs="Arial"/>
          <w:b/>
          <w:sz w:val="22"/>
          <w:szCs w:val="22"/>
          <w:lang w:eastAsia="zh-CN"/>
        </w:rPr>
        <w:t xml:space="preserve">We reiterated with modifications our PY’s </w:t>
      </w:r>
      <w:r w:rsidR="00E74758" w:rsidRPr="0096065B">
        <w:rPr>
          <w:rFonts w:ascii="Arial" w:eastAsia="SimSun" w:hAnsi="Arial" w:cs="Arial"/>
          <w:b/>
          <w:sz w:val="22"/>
          <w:szCs w:val="22"/>
          <w:lang w:eastAsia="zh-CN"/>
        </w:rPr>
        <w:t xml:space="preserve">audit </w:t>
      </w:r>
      <w:r w:rsidRPr="0096065B">
        <w:rPr>
          <w:rFonts w:ascii="Arial" w:eastAsia="SimSun" w:hAnsi="Arial" w:cs="Arial"/>
          <w:b/>
          <w:sz w:val="22"/>
          <w:szCs w:val="22"/>
          <w:lang w:eastAsia="zh-CN"/>
        </w:rPr>
        <w:t>recommendations that Management:</w:t>
      </w:r>
    </w:p>
    <w:p w14:paraId="0443255C" w14:textId="77777777" w:rsidR="007D7EEA" w:rsidRPr="0096065B" w:rsidRDefault="007D7EEA" w:rsidP="0096065B">
      <w:pPr>
        <w:spacing w:after="0" w:line="240" w:lineRule="auto"/>
        <w:ind w:left="709" w:firstLine="720"/>
        <w:jc w:val="both"/>
        <w:rPr>
          <w:rFonts w:ascii="Arial" w:eastAsia="SimSun" w:hAnsi="Arial" w:cs="Arial"/>
          <w:b/>
          <w:lang w:eastAsia="zh-CN"/>
        </w:rPr>
      </w:pPr>
    </w:p>
    <w:p w14:paraId="1EFCF099" w14:textId="025D3931" w:rsidR="007D7EEA" w:rsidRPr="0096065B" w:rsidRDefault="00295E58" w:rsidP="0096065B">
      <w:pPr>
        <w:pStyle w:val="ListParagraph"/>
        <w:numPr>
          <w:ilvl w:val="0"/>
          <w:numId w:val="35"/>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 xml:space="preserve">Retrieve/produce all documents relative to the advances and/or deposits made to Meralco and make personal representation with </w:t>
      </w:r>
      <w:r w:rsidRPr="0096065B">
        <w:rPr>
          <w:rFonts w:ascii="Arial" w:eastAsia="SimSun" w:hAnsi="Arial" w:cs="Arial"/>
          <w:b/>
          <w:sz w:val="22"/>
          <w:szCs w:val="22"/>
          <w:lang w:eastAsia="zh-CN"/>
        </w:rPr>
        <w:lastRenderedPageBreak/>
        <w:t xml:space="preserve">Meralco for the </w:t>
      </w:r>
      <w:r w:rsidR="00DD2A4D" w:rsidRPr="0096065B">
        <w:rPr>
          <w:rFonts w:ascii="Arial" w:eastAsia="SimSun" w:hAnsi="Arial" w:cs="Arial"/>
          <w:b/>
          <w:sz w:val="22"/>
          <w:szCs w:val="22"/>
          <w:lang w:eastAsia="zh-CN"/>
        </w:rPr>
        <w:t>status of service connection for each project completed to determine the propriety of a refund; and</w:t>
      </w:r>
    </w:p>
    <w:p w14:paraId="68A6DD92" w14:textId="77777777" w:rsidR="007D7EEA" w:rsidRPr="0096065B" w:rsidRDefault="007D7EEA" w:rsidP="0096065B">
      <w:pPr>
        <w:pStyle w:val="ListParagraph"/>
        <w:ind w:left="1170"/>
        <w:jc w:val="both"/>
        <w:rPr>
          <w:rFonts w:ascii="Arial" w:eastAsia="SimSun" w:hAnsi="Arial" w:cs="Arial"/>
          <w:b/>
          <w:sz w:val="22"/>
          <w:szCs w:val="22"/>
          <w:lang w:eastAsia="zh-CN"/>
        </w:rPr>
      </w:pPr>
    </w:p>
    <w:p w14:paraId="648F0886" w14:textId="2069A953" w:rsidR="007D7EEA" w:rsidRPr="0096065B" w:rsidRDefault="00DD2A4D" w:rsidP="0096065B">
      <w:pPr>
        <w:pStyle w:val="ListParagraph"/>
        <w:numPr>
          <w:ilvl w:val="0"/>
          <w:numId w:val="35"/>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 xml:space="preserve">Provide the Audit Team of the supporting documents for </w:t>
      </w:r>
      <w:r w:rsidR="00295E58" w:rsidRPr="0096065B">
        <w:rPr>
          <w:rFonts w:ascii="Arial" w:eastAsia="SimSun" w:hAnsi="Arial" w:cs="Arial"/>
          <w:b/>
          <w:sz w:val="22"/>
          <w:szCs w:val="22"/>
          <w:lang w:eastAsia="zh-CN"/>
        </w:rPr>
        <w:t xml:space="preserve">any </w:t>
      </w:r>
      <w:r w:rsidRPr="0096065B">
        <w:rPr>
          <w:rFonts w:ascii="Arial" w:eastAsia="SimSun" w:hAnsi="Arial" w:cs="Arial"/>
          <w:b/>
          <w:sz w:val="22"/>
          <w:szCs w:val="22"/>
          <w:lang w:eastAsia="zh-CN"/>
        </w:rPr>
        <w:t>offsets made in CY 2014 and PYs, if any.</w:t>
      </w:r>
    </w:p>
    <w:p w14:paraId="7D5E2508" w14:textId="77777777" w:rsidR="00282549" w:rsidRPr="0096065B" w:rsidRDefault="00282549" w:rsidP="0096065B">
      <w:pPr>
        <w:spacing w:after="0" w:line="240" w:lineRule="auto"/>
        <w:jc w:val="both"/>
        <w:rPr>
          <w:rFonts w:ascii="Arial" w:eastAsia="SimSun" w:hAnsi="Arial" w:cs="Arial"/>
          <w:b/>
          <w:lang w:eastAsia="zh-CN"/>
        </w:rPr>
      </w:pPr>
    </w:p>
    <w:p w14:paraId="5EE85AC1" w14:textId="77777777" w:rsidR="007D7EEA" w:rsidRPr="0096065B" w:rsidRDefault="00DD2A4D" w:rsidP="00306C61">
      <w:pPr>
        <w:pStyle w:val="NormalWeb"/>
        <w:numPr>
          <w:ilvl w:val="0"/>
          <w:numId w:val="90"/>
        </w:numPr>
        <w:spacing w:before="0" w:beforeAutospacing="0" w:after="0" w:afterAutospacing="0"/>
        <w:ind w:left="1267" w:hanging="691"/>
        <w:jc w:val="both"/>
        <w:rPr>
          <w:rFonts w:ascii="Arial" w:eastAsia="SimSun" w:hAnsi="Arial" w:cs="Arial"/>
          <w:b/>
          <w:sz w:val="22"/>
          <w:szCs w:val="22"/>
          <w:lang w:eastAsia="zh-CN"/>
        </w:rPr>
      </w:pPr>
      <w:r w:rsidRPr="0096065B">
        <w:rPr>
          <w:rFonts w:ascii="Arial" w:eastAsia="SimSun" w:hAnsi="Arial" w:cs="Arial"/>
          <w:b/>
          <w:sz w:val="22"/>
          <w:szCs w:val="22"/>
          <w:lang w:eastAsia="zh-CN"/>
        </w:rPr>
        <w:t>We further recommended that Management:</w:t>
      </w:r>
    </w:p>
    <w:p w14:paraId="12EE8392" w14:textId="77777777" w:rsidR="007D7EEA" w:rsidRPr="0096065B" w:rsidRDefault="007D7EEA" w:rsidP="0096065B">
      <w:pPr>
        <w:spacing w:after="0" w:line="240" w:lineRule="auto"/>
        <w:ind w:left="720" w:firstLine="720"/>
        <w:jc w:val="both"/>
        <w:rPr>
          <w:rFonts w:ascii="Arial" w:eastAsia="SimSun" w:hAnsi="Arial" w:cs="Arial"/>
          <w:b/>
          <w:lang w:eastAsia="zh-CN"/>
        </w:rPr>
      </w:pPr>
    </w:p>
    <w:p w14:paraId="633A2944" w14:textId="77777777" w:rsidR="007D7EEA" w:rsidRPr="0096065B" w:rsidRDefault="00DD2A4D" w:rsidP="0096065B">
      <w:pPr>
        <w:pStyle w:val="ListParagraph"/>
        <w:numPr>
          <w:ilvl w:val="0"/>
          <w:numId w:val="36"/>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 xml:space="preserve">Expedite validation of the Summary of MDR to determine the reasons for the exclusion of some items in the list </w:t>
      </w:r>
      <w:r w:rsidRPr="0096065B">
        <w:rPr>
          <w:rFonts w:ascii="Arial" w:hAnsi="Arial" w:cs="Arial"/>
          <w:b/>
          <w:color w:val="000000"/>
          <w:sz w:val="22"/>
          <w:szCs w:val="22"/>
        </w:rPr>
        <w:t>of those included in the CY 2014 AAR</w:t>
      </w:r>
      <w:r w:rsidRPr="0096065B">
        <w:rPr>
          <w:rFonts w:ascii="Arial" w:eastAsia="SimSun" w:hAnsi="Arial" w:cs="Arial"/>
          <w:b/>
          <w:sz w:val="22"/>
          <w:szCs w:val="22"/>
          <w:lang w:eastAsia="zh-CN"/>
        </w:rPr>
        <w:t>;</w:t>
      </w:r>
    </w:p>
    <w:p w14:paraId="494DFC81" w14:textId="77777777" w:rsidR="007D7EEA" w:rsidRPr="0096065B" w:rsidRDefault="007D7EEA" w:rsidP="0096065B">
      <w:pPr>
        <w:pStyle w:val="ListParagraph"/>
        <w:ind w:left="1170"/>
        <w:jc w:val="both"/>
        <w:rPr>
          <w:rFonts w:ascii="Arial" w:eastAsia="SimSun" w:hAnsi="Arial" w:cs="Arial"/>
          <w:b/>
          <w:sz w:val="22"/>
          <w:szCs w:val="22"/>
          <w:lang w:eastAsia="zh-CN"/>
        </w:rPr>
      </w:pPr>
    </w:p>
    <w:p w14:paraId="4FDCC2CB" w14:textId="77777777" w:rsidR="007D7EEA" w:rsidRPr="0096065B" w:rsidRDefault="00DD2A4D" w:rsidP="0096065B">
      <w:pPr>
        <w:pStyle w:val="ListParagraph"/>
        <w:numPr>
          <w:ilvl w:val="0"/>
          <w:numId w:val="36"/>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 xml:space="preserve">Adjust immediately the item that was recorded twice with the same reference number; </w:t>
      </w:r>
    </w:p>
    <w:p w14:paraId="6329CF18" w14:textId="77777777" w:rsidR="007D7EEA" w:rsidRPr="0096065B" w:rsidRDefault="007D7EEA" w:rsidP="0096065B">
      <w:pPr>
        <w:pStyle w:val="ListParagraph"/>
        <w:ind w:left="1170"/>
        <w:jc w:val="both"/>
        <w:rPr>
          <w:rFonts w:ascii="Arial" w:eastAsia="SimSun" w:hAnsi="Arial" w:cs="Arial"/>
          <w:b/>
          <w:sz w:val="22"/>
          <w:szCs w:val="22"/>
          <w:lang w:eastAsia="zh-CN"/>
        </w:rPr>
      </w:pPr>
    </w:p>
    <w:p w14:paraId="55FAB464" w14:textId="77777777" w:rsidR="007D7EEA" w:rsidRPr="0096065B" w:rsidRDefault="00DD2A4D" w:rsidP="0096065B">
      <w:pPr>
        <w:pStyle w:val="ListParagraph"/>
        <w:numPr>
          <w:ilvl w:val="0"/>
          <w:numId w:val="36"/>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 xml:space="preserve">Submit the ORs and/or other documents to support the amount of P2.403 million which allegedly have been refunded by Meralco; </w:t>
      </w:r>
    </w:p>
    <w:p w14:paraId="0DE75705" w14:textId="77777777" w:rsidR="007D7EEA" w:rsidRPr="0096065B" w:rsidRDefault="007D7EEA" w:rsidP="0096065B">
      <w:pPr>
        <w:pStyle w:val="ListParagraph"/>
        <w:ind w:left="1170"/>
        <w:rPr>
          <w:rFonts w:ascii="Arial" w:eastAsia="SimSun" w:hAnsi="Arial" w:cs="Arial"/>
          <w:b/>
          <w:sz w:val="22"/>
          <w:szCs w:val="22"/>
          <w:lang w:eastAsia="zh-CN"/>
        </w:rPr>
      </w:pPr>
    </w:p>
    <w:p w14:paraId="7F020380" w14:textId="77777777" w:rsidR="007D7EEA" w:rsidRPr="0096065B" w:rsidRDefault="00DD2A4D" w:rsidP="0096065B">
      <w:pPr>
        <w:pStyle w:val="ListParagraph"/>
        <w:numPr>
          <w:ilvl w:val="0"/>
          <w:numId w:val="36"/>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Explain why offsets were recorded in the SL but not included in the Summary of MDR; and</w:t>
      </w:r>
    </w:p>
    <w:p w14:paraId="0B4D378B" w14:textId="77777777" w:rsidR="007D7EEA" w:rsidRPr="0096065B" w:rsidRDefault="007D7EEA" w:rsidP="0096065B">
      <w:pPr>
        <w:pStyle w:val="ListParagraph"/>
        <w:ind w:left="1170"/>
        <w:rPr>
          <w:rFonts w:ascii="Arial" w:eastAsia="SimSun" w:hAnsi="Arial" w:cs="Arial"/>
          <w:b/>
          <w:sz w:val="22"/>
          <w:szCs w:val="22"/>
          <w:lang w:eastAsia="zh-CN"/>
        </w:rPr>
      </w:pPr>
    </w:p>
    <w:p w14:paraId="2C5894A8" w14:textId="77777777" w:rsidR="007D7EEA" w:rsidRPr="0096065B" w:rsidRDefault="00DD2A4D" w:rsidP="0096065B">
      <w:pPr>
        <w:pStyle w:val="ListParagraph"/>
        <w:numPr>
          <w:ilvl w:val="0"/>
          <w:numId w:val="36"/>
        </w:numPr>
        <w:ind w:left="1656"/>
        <w:jc w:val="both"/>
        <w:rPr>
          <w:rFonts w:ascii="Arial" w:eastAsia="SimSun" w:hAnsi="Arial" w:cs="Arial"/>
          <w:b/>
          <w:sz w:val="22"/>
          <w:szCs w:val="22"/>
          <w:lang w:eastAsia="zh-CN"/>
        </w:rPr>
      </w:pPr>
      <w:r w:rsidRPr="0096065B">
        <w:rPr>
          <w:rFonts w:ascii="Arial" w:eastAsia="SimSun" w:hAnsi="Arial" w:cs="Arial"/>
          <w:b/>
          <w:sz w:val="22"/>
          <w:szCs w:val="22"/>
          <w:lang w:eastAsia="zh-CN"/>
        </w:rPr>
        <w:t>Determine if there are other offsets made against unpaid electric bills.</w:t>
      </w:r>
    </w:p>
    <w:p w14:paraId="5D4BBD9B" w14:textId="77777777" w:rsidR="007D7EEA" w:rsidRPr="0096065B" w:rsidRDefault="007D7EEA" w:rsidP="0096065B">
      <w:pPr>
        <w:pStyle w:val="ListParagraph"/>
        <w:ind w:left="1656"/>
        <w:jc w:val="both"/>
        <w:rPr>
          <w:rFonts w:ascii="Arial" w:eastAsia="SimSun" w:hAnsi="Arial" w:cs="Arial"/>
          <w:b/>
          <w:sz w:val="22"/>
          <w:szCs w:val="22"/>
          <w:lang w:eastAsia="zh-CN"/>
        </w:rPr>
      </w:pPr>
    </w:p>
    <w:p w14:paraId="3DB5D593" w14:textId="4D67CC31" w:rsidR="007D7EEA" w:rsidRPr="0096065B" w:rsidRDefault="00DD2A4D" w:rsidP="00306C61">
      <w:pPr>
        <w:pStyle w:val="NormalWeb"/>
        <w:numPr>
          <w:ilvl w:val="0"/>
          <w:numId w:val="90"/>
        </w:numPr>
        <w:spacing w:before="0" w:beforeAutospacing="0" w:after="0" w:afterAutospacing="0"/>
        <w:ind w:left="1267" w:hanging="691"/>
        <w:jc w:val="both"/>
        <w:rPr>
          <w:rFonts w:ascii="Arial" w:eastAsia="SimSun" w:hAnsi="Arial" w:cs="Arial"/>
          <w:sz w:val="22"/>
          <w:szCs w:val="22"/>
          <w:lang w:eastAsia="zh-CN"/>
        </w:rPr>
      </w:pPr>
      <w:r w:rsidRPr="0096065B">
        <w:rPr>
          <w:rFonts w:ascii="Arial" w:eastAsia="SimSun" w:hAnsi="Arial" w:cs="Arial"/>
          <w:sz w:val="22"/>
          <w:szCs w:val="22"/>
          <w:lang w:eastAsia="zh-CN"/>
        </w:rPr>
        <w:t xml:space="preserve">The Management commented that the reconciliation with the Meralco for the refund claims of AFPRSBS is a continuing activity.  The </w:t>
      </w:r>
      <w:r w:rsidR="000C5F71">
        <w:rPr>
          <w:rFonts w:ascii="Arial" w:eastAsia="SimSun" w:hAnsi="Arial" w:cs="Arial"/>
          <w:sz w:val="22"/>
          <w:szCs w:val="22"/>
          <w:lang w:eastAsia="zh-CN"/>
        </w:rPr>
        <w:t>AFPRSBS</w:t>
      </w:r>
      <w:r w:rsidRPr="0096065B">
        <w:rPr>
          <w:rFonts w:ascii="Arial" w:eastAsia="SimSun" w:hAnsi="Arial" w:cs="Arial"/>
          <w:sz w:val="22"/>
          <w:szCs w:val="22"/>
          <w:lang w:eastAsia="zh-CN"/>
        </w:rPr>
        <w:t xml:space="preserve"> is in constant coordination with Meralco to determine the status of service connection for each completed project and for the collection of additional refunds that are already due to AFPRSBS.  Likewise, the validation of the Summary of MDR is still ongoing to identify the reasons for the exclusion of some items in the list.  The schedule will be revised accordingly depending on the result of the reconciliation.</w:t>
      </w:r>
    </w:p>
    <w:p w14:paraId="03CF4252" w14:textId="77777777" w:rsidR="007D7EEA" w:rsidRPr="0096065B" w:rsidRDefault="007D7EEA" w:rsidP="0096065B">
      <w:pPr>
        <w:pStyle w:val="NormalWeb"/>
        <w:spacing w:before="0" w:beforeAutospacing="0" w:after="0" w:afterAutospacing="0"/>
        <w:ind w:left="1260"/>
        <w:jc w:val="both"/>
        <w:rPr>
          <w:rFonts w:ascii="Arial" w:eastAsia="SimSun" w:hAnsi="Arial" w:cs="Arial"/>
          <w:sz w:val="22"/>
          <w:szCs w:val="22"/>
          <w:lang w:eastAsia="zh-CN"/>
        </w:rPr>
      </w:pPr>
    </w:p>
    <w:p w14:paraId="412FF611" w14:textId="734BAD22" w:rsidR="007D7EEA" w:rsidRPr="0096065B" w:rsidRDefault="00DD2A4D" w:rsidP="00306C61">
      <w:pPr>
        <w:pStyle w:val="NormalWeb"/>
        <w:numPr>
          <w:ilvl w:val="0"/>
          <w:numId w:val="90"/>
        </w:numPr>
        <w:spacing w:before="0" w:beforeAutospacing="0" w:after="0" w:afterAutospacing="0"/>
        <w:ind w:left="1267" w:hanging="691"/>
        <w:jc w:val="both"/>
        <w:rPr>
          <w:rFonts w:ascii="Arial" w:eastAsia="SimSun" w:hAnsi="Arial" w:cs="Arial"/>
          <w:bCs/>
          <w:iCs/>
          <w:sz w:val="22"/>
          <w:szCs w:val="22"/>
          <w:lang w:eastAsia="zh-CN"/>
        </w:rPr>
      </w:pPr>
      <w:r w:rsidRPr="0096065B">
        <w:rPr>
          <w:rFonts w:ascii="Arial" w:eastAsia="SimSun" w:hAnsi="Arial" w:cs="Arial"/>
          <w:bCs/>
          <w:iCs/>
          <w:sz w:val="22"/>
          <w:szCs w:val="22"/>
          <w:lang w:eastAsia="zh-CN"/>
        </w:rPr>
        <w:t xml:space="preserve">Moreover, the item or transaction that was recorded twice under RVCP No. 148604 </w:t>
      </w:r>
      <w:r w:rsidRPr="0096065B">
        <w:rPr>
          <w:rFonts w:ascii="Arial" w:eastAsia="SimSun" w:hAnsi="Arial" w:cs="Arial"/>
          <w:sz w:val="22"/>
          <w:szCs w:val="22"/>
          <w:lang w:eastAsia="zh-CN"/>
        </w:rPr>
        <w:t>for</w:t>
      </w:r>
      <w:r w:rsidRPr="0096065B">
        <w:rPr>
          <w:rFonts w:ascii="Arial" w:eastAsia="SimSun" w:hAnsi="Arial" w:cs="Arial"/>
          <w:bCs/>
          <w:iCs/>
          <w:sz w:val="22"/>
          <w:szCs w:val="22"/>
          <w:lang w:eastAsia="zh-CN"/>
        </w:rPr>
        <w:t xml:space="preserve"> Block 22 Lot 7 amounting to P1</w:t>
      </w:r>
      <w:r w:rsidR="005E2F43">
        <w:rPr>
          <w:rFonts w:ascii="Arial" w:eastAsia="SimSun" w:hAnsi="Arial" w:cs="Arial"/>
          <w:bCs/>
          <w:iCs/>
          <w:sz w:val="22"/>
          <w:szCs w:val="22"/>
          <w:lang w:eastAsia="zh-CN"/>
        </w:rPr>
        <w:t>.</w:t>
      </w:r>
      <w:r w:rsidRPr="0096065B">
        <w:rPr>
          <w:rFonts w:ascii="Arial" w:eastAsia="SimSun" w:hAnsi="Arial" w:cs="Arial"/>
          <w:bCs/>
          <w:iCs/>
          <w:sz w:val="22"/>
          <w:szCs w:val="22"/>
          <w:lang w:eastAsia="zh-CN"/>
        </w:rPr>
        <w:t>02</w:t>
      </w:r>
      <w:r w:rsidR="005E2F43">
        <w:rPr>
          <w:rFonts w:ascii="Arial" w:eastAsia="SimSun" w:hAnsi="Arial" w:cs="Arial"/>
          <w:bCs/>
          <w:iCs/>
          <w:sz w:val="22"/>
          <w:szCs w:val="22"/>
          <w:lang w:eastAsia="zh-CN"/>
        </w:rPr>
        <w:t>6 million</w:t>
      </w:r>
      <w:r w:rsidRPr="0096065B">
        <w:rPr>
          <w:rFonts w:ascii="Arial" w:eastAsia="SimSun" w:hAnsi="Arial" w:cs="Arial"/>
          <w:bCs/>
          <w:iCs/>
          <w:sz w:val="22"/>
          <w:szCs w:val="22"/>
          <w:lang w:eastAsia="zh-CN"/>
        </w:rPr>
        <w:t xml:space="preserve"> was already corrected/excluded in the Summary of MDR. The exclusion of the same, however, does not require any adjustment in AFPRSBS’ books since it was only in the Summary of MDR that the same was included twice.  In addition, the </w:t>
      </w:r>
      <w:r w:rsidR="000C5F71">
        <w:rPr>
          <w:rFonts w:ascii="Arial" w:eastAsia="SimSun" w:hAnsi="Arial" w:cs="Arial"/>
          <w:bCs/>
          <w:iCs/>
          <w:sz w:val="22"/>
          <w:szCs w:val="22"/>
          <w:lang w:eastAsia="zh-CN"/>
        </w:rPr>
        <w:t>AFPRSBS</w:t>
      </w:r>
      <w:r w:rsidRPr="0096065B">
        <w:rPr>
          <w:rFonts w:ascii="Arial" w:eastAsia="SimSun" w:hAnsi="Arial" w:cs="Arial"/>
          <w:bCs/>
          <w:iCs/>
          <w:sz w:val="22"/>
          <w:szCs w:val="22"/>
          <w:lang w:eastAsia="zh-CN"/>
        </w:rPr>
        <w:t xml:space="preserve"> had already identified the ORs corresponding to refunds amounting to P0.510 million out of the P2.403 million without proofs of collection.  These pertain to refunds for the Riviera, Villa Segovia and Villa De Toledo projects. The </w:t>
      </w:r>
      <w:r w:rsidR="000C5F71">
        <w:rPr>
          <w:rFonts w:ascii="Arial" w:eastAsia="SimSun" w:hAnsi="Arial" w:cs="Arial"/>
          <w:bCs/>
          <w:iCs/>
          <w:sz w:val="22"/>
          <w:szCs w:val="22"/>
          <w:lang w:eastAsia="zh-CN"/>
        </w:rPr>
        <w:t>AFPRSBS</w:t>
      </w:r>
      <w:r w:rsidRPr="0096065B">
        <w:rPr>
          <w:rFonts w:ascii="Arial" w:eastAsia="SimSun" w:hAnsi="Arial" w:cs="Arial"/>
          <w:bCs/>
          <w:iCs/>
          <w:sz w:val="22"/>
          <w:szCs w:val="22"/>
          <w:lang w:eastAsia="zh-CN"/>
        </w:rPr>
        <w:t xml:space="preserve"> is still tracing the ORs and supporting documents for the remaining balance of P1.893 million.    </w:t>
      </w:r>
    </w:p>
    <w:p w14:paraId="67FFBF71" w14:textId="77777777" w:rsidR="007D7EEA" w:rsidRPr="0096065B" w:rsidRDefault="007D7EEA" w:rsidP="0096065B">
      <w:pPr>
        <w:pStyle w:val="NormalWeb"/>
        <w:spacing w:before="0" w:beforeAutospacing="0" w:after="0" w:afterAutospacing="0"/>
        <w:ind w:left="1260"/>
        <w:jc w:val="both"/>
        <w:rPr>
          <w:rFonts w:ascii="Arial" w:eastAsia="SimSun" w:hAnsi="Arial" w:cs="Arial"/>
          <w:bCs/>
          <w:iCs/>
          <w:sz w:val="22"/>
          <w:szCs w:val="22"/>
          <w:lang w:eastAsia="zh-CN"/>
        </w:rPr>
      </w:pPr>
    </w:p>
    <w:p w14:paraId="59604703" w14:textId="4724A36F" w:rsidR="007D7EEA" w:rsidRPr="0096065B" w:rsidRDefault="00DD2A4D" w:rsidP="00306C61">
      <w:pPr>
        <w:pStyle w:val="NormalWeb"/>
        <w:numPr>
          <w:ilvl w:val="0"/>
          <w:numId w:val="90"/>
        </w:numPr>
        <w:spacing w:before="0" w:beforeAutospacing="0" w:after="0" w:afterAutospacing="0"/>
        <w:ind w:left="1267" w:hanging="691"/>
        <w:jc w:val="both"/>
        <w:rPr>
          <w:rFonts w:ascii="Arial" w:eastAsia="SimSun" w:hAnsi="Arial" w:cs="Arial"/>
          <w:bCs/>
          <w:iCs/>
          <w:sz w:val="22"/>
          <w:szCs w:val="22"/>
          <w:lang w:eastAsia="zh-CN"/>
        </w:rPr>
      </w:pPr>
      <w:r w:rsidRPr="0096065B">
        <w:rPr>
          <w:rFonts w:ascii="Arial" w:eastAsia="SimSun" w:hAnsi="Arial" w:cs="Arial"/>
          <w:bCs/>
          <w:iCs/>
          <w:sz w:val="22"/>
          <w:szCs w:val="22"/>
          <w:lang w:eastAsia="zh-CN"/>
        </w:rPr>
        <w:t xml:space="preserve">As to the offsets recorded in the SL but not included in the Summary of MDR, the Management commented that from CYs 2016 to 2018, a total refund of P119,694 as presented in Table </w:t>
      </w:r>
      <w:r w:rsidR="0096065B">
        <w:rPr>
          <w:rFonts w:ascii="Arial" w:eastAsia="SimSun" w:hAnsi="Arial" w:cs="Arial"/>
          <w:bCs/>
          <w:iCs/>
          <w:sz w:val="22"/>
          <w:szCs w:val="22"/>
          <w:lang w:eastAsia="zh-CN"/>
        </w:rPr>
        <w:t>10</w:t>
      </w:r>
      <w:r w:rsidRPr="0096065B">
        <w:rPr>
          <w:rFonts w:ascii="Arial" w:eastAsia="SimSun" w:hAnsi="Arial" w:cs="Arial"/>
          <w:bCs/>
          <w:iCs/>
          <w:sz w:val="22"/>
          <w:szCs w:val="22"/>
          <w:lang w:eastAsia="zh-CN"/>
        </w:rPr>
        <w:t xml:space="preserve">.4 were </w:t>
      </w:r>
      <w:r w:rsidRPr="0096065B">
        <w:rPr>
          <w:rFonts w:ascii="Arial" w:eastAsia="SimSun" w:hAnsi="Arial" w:cs="Arial"/>
          <w:sz w:val="22"/>
          <w:szCs w:val="22"/>
          <w:lang w:eastAsia="zh-CN"/>
        </w:rPr>
        <w:t>deducted</w:t>
      </w:r>
      <w:r w:rsidRPr="0096065B">
        <w:rPr>
          <w:rFonts w:ascii="Arial" w:eastAsia="SimSun" w:hAnsi="Arial" w:cs="Arial"/>
          <w:bCs/>
          <w:iCs/>
          <w:sz w:val="22"/>
          <w:szCs w:val="22"/>
          <w:lang w:eastAsia="zh-CN"/>
        </w:rPr>
        <w:t xml:space="preserve"> by Meralco from its monthly billings for the AFPRSBS Office and IPMO. These were not recorded as deductions in the Summary of MDR since the schedule covers only the deposits and refunds made for the Riviera, Villa Segovia and Villa De Toledo projects.</w:t>
      </w:r>
    </w:p>
    <w:p w14:paraId="5D912CAF" w14:textId="77777777" w:rsidR="007D7EEA" w:rsidRPr="0096065B" w:rsidRDefault="007D7EEA" w:rsidP="0096065B">
      <w:pPr>
        <w:pStyle w:val="NormalWeb"/>
        <w:spacing w:before="0" w:beforeAutospacing="0" w:after="0" w:afterAutospacing="0"/>
        <w:ind w:left="1260"/>
        <w:jc w:val="both"/>
        <w:rPr>
          <w:rFonts w:ascii="Arial" w:eastAsia="SimSun" w:hAnsi="Arial" w:cs="Arial"/>
          <w:bCs/>
          <w:iCs/>
          <w:sz w:val="22"/>
          <w:szCs w:val="22"/>
          <w:lang w:eastAsia="zh-CN"/>
        </w:rPr>
      </w:pPr>
    </w:p>
    <w:p w14:paraId="256C1350" w14:textId="411B99C4" w:rsidR="007D7EEA" w:rsidRPr="0096065B" w:rsidRDefault="00DD2A4D" w:rsidP="00306C61">
      <w:pPr>
        <w:pStyle w:val="NormalWeb"/>
        <w:numPr>
          <w:ilvl w:val="0"/>
          <w:numId w:val="90"/>
        </w:numPr>
        <w:spacing w:before="0" w:beforeAutospacing="0" w:after="0" w:afterAutospacing="0"/>
        <w:ind w:left="1267" w:hanging="691"/>
        <w:jc w:val="both"/>
        <w:rPr>
          <w:rFonts w:ascii="Arial" w:eastAsia="SimSun" w:hAnsi="Arial" w:cs="Arial"/>
          <w:bCs/>
          <w:iCs/>
          <w:sz w:val="22"/>
          <w:szCs w:val="22"/>
          <w:lang w:eastAsia="zh-CN"/>
        </w:rPr>
      </w:pPr>
      <w:r w:rsidRPr="0096065B">
        <w:rPr>
          <w:rFonts w:ascii="Arial" w:eastAsia="SimSun" w:hAnsi="Arial" w:cs="Arial"/>
          <w:bCs/>
          <w:iCs/>
          <w:sz w:val="22"/>
          <w:szCs w:val="22"/>
          <w:lang w:eastAsia="zh-CN"/>
        </w:rPr>
        <w:t xml:space="preserve">Nevertheless, the </w:t>
      </w:r>
      <w:r w:rsidR="000C5F71">
        <w:rPr>
          <w:rFonts w:ascii="Arial" w:eastAsia="SimSun" w:hAnsi="Arial" w:cs="Arial"/>
          <w:bCs/>
          <w:iCs/>
          <w:sz w:val="22"/>
          <w:szCs w:val="22"/>
          <w:lang w:eastAsia="zh-CN"/>
        </w:rPr>
        <w:t>AFPRSBS</w:t>
      </w:r>
      <w:r w:rsidRPr="0096065B">
        <w:rPr>
          <w:rFonts w:ascii="Arial" w:eastAsia="SimSun" w:hAnsi="Arial" w:cs="Arial"/>
          <w:bCs/>
          <w:iCs/>
          <w:sz w:val="22"/>
          <w:szCs w:val="22"/>
          <w:lang w:eastAsia="zh-CN"/>
        </w:rPr>
        <w:t xml:space="preserve"> will endeavor to reconcile all the deposits and refunds with Meralco including offsets made, if any, to determine the correct balance of the refunds that are still due to the </w:t>
      </w:r>
      <w:r w:rsidR="000C5F71">
        <w:rPr>
          <w:rFonts w:ascii="Arial" w:eastAsia="SimSun" w:hAnsi="Arial" w:cs="Arial"/>
          <w:bCs/>
          <w:iCs/>
          <w:sz w:val="22"/>
          <w:szCs w:val="22"/>
          <w:lang w:eastAsia="zh-CN"/>
        </w:rPr>
        <w:t>AFPRSBS</w:t>
      </w:r>
      <w:r w:rsidRPr="0096065B">
        <w:rPr>
          <w:rFonts w:ascii="Arial" w:eastAsia="SimSun" w:hAnsi="Arial" w:cs="Arial"/>
          <w:bCs/>
          <w:iCs/>
          <w:sz w:val="22"/>
          <w:szCs w:val="22"/>
          <w:lang w:eastAsia="zh-CN"/>
        </w:rPr>
        <w:t>.</w:t>
      </w:r>
    </w:p>
    <w:p w14:paraId="3E2DA075" w14:textId="77777777" w:rsidR="007D7EEA" w:rsidRPr="0096065B" w:rsidRDefault="007D7EEA" w:rsidP="0096065B">
      <w:pPr>
        <w:pStyle w:val="NormalWeb"/>
        <w:spacing w:before="0" w:beforeAutospacing="0" w:after="0" w:afterAutospacing="0"/>
        <w:ind w:left="1260"/>
        <w:jc w:val="both"/>
        <w:rPr>
          <w:rFonts w:ascii="Arial" w:eastAsia="SimSun" w:hAnsi="Arial" w:cs="Arial"/>
          <w:bCs/>
          <w:iCs/>
          <w:sz w:val="22"/>
          <w:szCs w:val="22"/>
          <w:lang w:eastAsia="zh-CN"/>
        </w:rPr>
      </w:pPr>
    </w:p>
    <w:p w14:paraId="77716B69" w14:textId="77777777" w:rsidR="007D7EEA" w:rsidRPr="0096065B" w:rsidRDefault="00DD2A4D" w:rsidP="00306C61">
      <w:pPr>
        <w:pStyle w:val="NormalWeb"/>
        <w:numPr>
          <w:ilvl w:val="0"/>
          <w:numId w:val="90"/>
        </w:numPr>
        <w:spacing w:before="0" w:beforeAutospacing="0" w:after="0" w:afterAutospacing="0"/>
        <w:ind w:left="1267" w:hanging="691"/>
        <w:jc w:val="both"/>
        <w:rPr>
          <w:rFonts w:ascii="Arial" w:hAnsi="Arial" w:cs="Arial"/>
          <w:sz w:val="22"/>
          <w:szCs w:val="22"/>
        </w:rPr>
      </w:pPr>
      <w:r w:rsidRPr="0096065B">
        <w:rPr>
          <w:rFonts w:ascii="Arial" w:eastAsia="SimSun" w:hAnsi="Arial" w:cs="Arial"/>
          <w:bCs/>
          <w:iCs/>
          <w:sz w:val="22"/>
          <w:szCs w:val="22"/>
          <w:lang w:eastAsia="zh-CN"/>
        </w:rPr>
        <w:t>As</w:t>
      </w:r>
      <w:r w:rsidRPr="0096065B">
        <w:rPr>
          <w:rFonts w:ascii="Arial" w:hAnsi="Arial" w:cs="Arial"/>
          <w:sz w:val="22"/>
          <w:szCs w:val="22"/>
        </w:rPr>
        <w:t xml:space="preserve"> a rejoinder, the </w:t>
      </w:r>
      <w:r w:rsidRPr="0096065B">
        <w:rPr>
          <w:rFonts w:ascii="Arial" w:eastAsia="SimSun" w:hAnsi="Arial" w:cs="Arial"/>
          <w:bCs/>
          <w:iCs/>
          <w:sz w:val="22"/>
          <w:szCs w:val="22"/>
          <w:lang w:eastAsia="zh-CN"/>
        </w:rPr>
        <w:t>Audit</w:t>
      </w:r>
      <w:r w:rsidRPr="0096065B">
        <w:rPr>
          <w:rFonts w:ascii="Arial" w:hAnsi="Arial" w:cs="Arial"/>
          <w:sz w:val="22"/>
          <w:szCs w:val="22"/>
        </w:rPr>
        <w:t xml:space="preserve"> Team acknowledges the efforts of the Management to continuously reconcile the noted variance. However, we would like to emphasize that Management should submit to the team the supporting documents of the above-mentioned recorded offsets and alleged refunds </w:t>
      </w:r>
      <w:r w:rsidRPr="00306C61">
        <w:rPr>
          <w:rFonts w:ascii="Arial" w:eastAsia="SimSun" w:hAnsi="Arial" w:cs="Arial"/>
          <w:bCs/>
          <w:iCs/>
          <w:sz w:val="22"/>
          <w:szCs w:val="22"/>
          <w:lang w:eastAsia="zh-CN"/>
        </w:rPr>
        <w:t>from</w:t>
      </w:r>
      <w:r w:rsidRPr="0096065B">
        <w:rPr>
          <w:rFonts w:ascii="Arial" w:hAnsi="Arial" w:cs="Arial"/>
          <w:sz w:val="22"/>
          <w:szCs w:val="22"/>
        </w:rPr>
        <w:t xml:space="preserve"> the Meralco for validation. On the other hand, the offsets that are recorded in the SL should also be considered in the summary of the MDR to reflect the actual/accurate amount recorded as advances to Meralco. </w:t>
      </w:r>
    </w:p>
    <w:p w14:paraId="5532A337" w14:textId="77777777" w:rsidR="007D7EEA" w:rsidRPr="0096065B" w:rsidRDefault="007D7EEA" w:rsidP="0096065B">
      <w:pPr>
        <w:pStyle w:val="NormalWeb"/>
        <w:spacing w:before="0" w:beforeAutospacing="0" w:after="0" w:afterAutospacing="0"/>
        <w:ind w:left="1260"/>
        <w:jc w:val="both"/>
        <w:rPr>
          <w:rFonts w:ascii="Arial" w:hAnsi="Arial" w:cs="Arial"/>
          <w:sz w:val="22"/>
          <w:szCs w:val="22"/>
        </w:rPr>
      </w:pPr>
    </w:p>
    <w:p w14:paraId="12AC496E" w14:textId="77777777" w:rsidR="007D7EEA" w:rsidRPr="0096065B" w:rsidRDefault="00DD2A4D" w:rsidP="00306C61">
      <w:pPr>
        <w:pStyle w:val="NormalWeb"/>
        <w:numPr>
          <w:ilvl w:val="0"/>
          <w:numId w:val="90"/>
        </w:numPr>
        <w:spacing w:before="0" w:beforeAutospacing="0" w:after="0" w:afterAutospacing="0"/>
        <w:ind w:left="1267" w:hanging="691"/>
        <w:jc w:val="both"/>
        <w:rPr>
          <w:rFonts w:ascii="Arial" w:hAnsi="Arial" w:cs="Arial"/>
          <w:sz w:val="22"/>
          <w:szCs w:val="22"/>
        </w:rPr>
      </w:pPr>
      <w:r w:rsidRPr="00306C61">
        <w:rPr>
          <w:rFonts w:ascii="Arial" w:eastAsia="SimSun" w:hAnsi="Arial" w:cs="Arial"/>
          <w:bCs/>
          <w:iCs/>
          <w:sz w:val="22"/>
          <w:szCs w:val="22"/>
          <w:lang w:eastAsia="zh-CN"/>
        </w:rPr>
        <w:t>Likewise</w:t>
      </w:r>
      <w:r w:rsidRPr="0096065B">
        <w:rPr>
          <w:rFonts w:ascii="Arial" w:hAnsi="Arial" w:cs="Arial"/>
          <w:sz w:val="22"/>
          <w:szCs w:val="22"/>
        </w:rPr>
        <w:t xml:space="preserve">, the Audit Team will closely monitor and evaluate the </w:t>
      </w:r>
      <w:r w:rsidRPr="0096065B">
        <w:rPr>
          <w:rFonts w:ascii="Arial" w:eastAsia="SimSun" w:hAnsi="Arial" w:cs="Arial"/>
          <w:bCs/>
          <w:iCs/>
          <w:sz w:val="22"/>
          <w:szCs w:val="22"/>
          <w:lang w:eastAsia="zh-CN"/>
        </w:rPr>
        <w:t>Management’s</w:t>
      </w:r>
      <w:r w:rsidRPr="0096065B">
        <w:rPr>
          <w:rFonts w:ascii="Arial" w:hAnsi="Arial" w:cs="Arial"/>
          <w:sz w:val="22"/>
          <w:szCs w:val="22"/>
        </w:rPr>
        <w:t xml:space="preserve"> </w:t>
      </w:r>
      <w:r w:rsidRPr="0096065B">
        <w:rPr>
          <w:rFonts w:ascii="Arial" w:eastAsia="SimSun" w:hAnsi="Arial" w:cs="Arial"/>
          <w:bCs/>
          <w:iCs/>
          <w:sz w:val="22"/>
          <w:szCs w:val="22"/>
          <w:lang w:eastAsia="zh-CN"/>
        </w:rPr>
        <w:t>action</w:t>
      </w:r>
      <w:r w:rsidRPr="0096065B">
        <w:rPr>
          <w:rFonts w:ascii="Arial" w:hAnsi="Arial" w:cs="Arial"/>
          <w:sz w:val="22"/>
          <w:szCs w:val="22"/>
        </w:rPr>
        <w:t xml:space="preserve"> and submission of documents accordingly to ascertain the actual amount that should be refunded by the Meralco.</w:t>
      </w:r>
    </w:p>
    <w:p w14:paraId="7689A945" w14:textId="77777777" w:rsidR="007D7EEA" w:rsidRPr="0096065B" w:rsidRDefault="007D7EEA" w:rsidP="0096065B">
      <w:pPr>
        <w:pStyle w:val="NormalWeb"/>
        <w:spacing w:before="0" w:beforeAutospacing="0" w:after="0" w:afterAutospacing="0"/>
        <w:ind w:left="1260"/>
        <w:jc w:val="both"/>
        <w:rPr>
          <w:rFonts w:ascii="Arial" w:eastAsia="SimSun" w:hAnsi="Arial" w:cs="Arial"/>
          <w:bCs/>
          <w:iCs/>
          <w:sz w:val="22"/>
          <w:szCs w:val="22"/>
          <w:lang w:eastAsia="zh-CN"/>
        </w:rPr>
      </w:pPr>
    </w:p>
    <w:p w14:paraId="1A2FB1A2" w14:textId="77777777" w:rsidR="007D7EEA" w:rsidRPr="0096065B" w:rsidRDefault="007D7EEA" w:rsidP="0096065B">
      <w:pPr>
        <w:pStyle w:val="NormalWeb"/>
        <w:spacing w:before="0" w:beforeAutospacing="0" w:after="0" w:afterAutospacing="0"/>
        <w:ind w:left="360"/>
        <w:jc w:val="both"/>
        <w:rPr>
          <w:rFonts w:ascii="Arial" w:hAnsi="Arial" w:cs="Arial"/>
          <w:b/>
          <w:sz w:val="22"/>
          <w:szCs w:val="22"/>
        </w:rPr>
      </w:pPr>
    </w:p>
    <w:p w14:paraId="32BE472E"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sz w:val="22"/>
          <w:szCs w:val="22"/>
        </w:rPr>
        <w:t xml:space="preserve">The timely abolition/liquidation of the AFPRSBS pursuant to MO No. 90 did not push through as expected as there was delay brought about by the absence of: a) IRR issued by the GCG; b) updated winding down/LP as approved by the GCG; c) clearance from the GCG to dispose major assets through public bidding; and d) cut-off date to close the books of accounts and material misstatements of the various account balances in the FS.  Likewise, </w:t>
      </w:r>
      <w:bookmarkStart w:id="12" w:name="_Hlk129352657"/>
      <w:r w:rsidRPr="0096065B">
        <w:rPr>
          <w:rFonts w:ascii="Arial" w:hAnsi="Arial" w:cs="Arial"/>
          <w:b/>
          <w:sz w:val="22"/>
          <w:szCs w:val="22"/>
        </w:rPr>
        <w:t>the 2018 approved LP was</w:t>
      </w:r>
      <w:r w:rsidRPr="0096065B">
        <w:rPr>
          <w:rFonts w:ascii="Arial" w:hAnsi="Arial" w:cs="Arial"/>
          <w:b/>
          <w:bCs/>
          <w:sz w:val="22"/>
          <w:szCs w:val="22"/>
        </w:rPr>
        <w:t xml:space="preserve"> not strictly implemented and closely monitored</w:t>
      </w:r>
      <w:bookmarkEnd w:id="12"/>
      <w:r w:rsidRPr="0096065B">
        <w:rPr>
          <w:rFonts w:ascii="Arial" w:hAnsi="Arial" w:cs="Arial"/>
          <w:b/>
          <w:sz w:val="22"/>
          <w:szCs w:val="22"/>
        </w:rPr>
        <w:t>. Consequently, the delay in the liquidation process is not in accordance with the public policy considerations for the abolition of GOCCs under Section 4.2 of GCG MC No. 2015-03 vis-à-vis RA No. 10149.</w:t>
      </w:r>
    </w:p>
    <w:p w14:paraId="48BD7372" w14:textId="77777777" w:rsidR="007D7EEA" w:rsidRPr="0096065B" w:rsidRDefault="007D7EEA" w:rsidP="0096065B">
      <w:pPr>
        <w:pStyle w:val="NormalWeb"/>
        <w:spacing w:before="0" w:beforeAutospacing="0" w:after="0" w:afterAutospacing="0"/>
        <w:ind w:left="360"/>
        <w:jc w:val="both"/>
        <w:rPr>
          <w:rFonts w:ascii="Arial" w:hAnsi="Arial" w:cs="Arial"/>
          <w:b/>
          <w:sz w:val="22"/>
          <w:szCs w:val="22"/>
        </w:rPr>
      </w:pPr>
    </w:p>
    <w:p w14:paraId="2702BE0C"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96065B">
        <w:rPr>
          <w:rFonts w:ascii="Arial" w:hAnsi="Arial" w:cs="Arial"/>
          <w:sz w:val="22"/>
          <w:szCs w:val="22"/>
        </w:rPr>
        <w:t>Sections</w:t>
      </w:r>
      <w:r w:rsidRPr="0096065B">
        <w:rPr>
          <w:rFonts w:ascii="Arial" w:hAnsi="Arial" w:cs="Arial"/>
          <w:sz w:val="22"/>
          <w:szCs w:val="22"/>
          <w:lang w:eastAsia="en-PH"/>
        </w:rPr>
        <w:t xml:space="preserve"> 4.1 and 4.2 of GCG MC No. 2015-03 dated April 8, 2015, provide:</w:t>
      </w:r>
    </w:p>
    <w:p w14:paraId="2F419FD6" w14:textId="77777777" w:rsidR="007D7EEA" w:rsidRPr="0096065B" w:rsidRDefault="007D7EEA" w:rsidP="0096065B">
      <w:pPr>
        <w:spacing w:line="240" w:lineRule="auto"/>
        <w:ind w:firstLine="720"/>
        <w:contextualSpacing/>
        <w:jc w:val="both"/>
        <w:rPr>
          <w:rFonts w:ascii="Arial" w:hAnsi="Arial" w:cs="Arial"/>
          <w:lang w:eastAsia="en-PH"/>
        </w:rPr>
      </w:pPr>
    </w:p>
    <w:p w14:paraId="039DA78B" w14:textId="77777777" w:rsidR="007D7EEA" w:rsidRPr="0096065B" w:rsidRDefault="00DD2A4D" w:rsidP="0096065B">
      <w:pPr>
        <w:spacing w:after="0" w:line="240" w:lineRule="auto"/>
        <w:ind w:left="1728" w:right="432"/>
        <w:contextualSpacing/>
        <w:jc w:val="both"/>
        <w:rPr>
          <w:rFonts w:ascii="Arial" w:hAnsi="Arial" w:cs="Arial"/>
          <w:i/>
          <w:iCs/>
          <w:lang w:eastAsia="en-PH"/>
        </w:rPr>
      </w:pPr>
      <w:r w:rsidRPr="0096065B">
        <w:rPr>
          <w:rFonts w:ascii="Arial" w:hAnsi="Arial" w:cs="Arial"/>
          <w:i/>
          <w:iCs/>
          <w:lang w:eastAsia="en-PH"/>
        </w:rPr>
        <w:t xml:space="preserve">4.1 Coverage of "Abolition". </w:t>
      </w:r>
      <w:r w:rsidRPr="0096065B">
        <w:rPr>
          <w:rFonts w:ascii="Arial" w:hAnsi="Arial" w:cs="Arial"/>
          <w:i/>
        </w:rPr>
        <w:t>–</w:t>
      </w:r>
      <w:r w:rsidRPr="0096065B">
        <w:rPr>
          <w:rFonts w:ascii="Arial" w:hAnsi="Arial" w:cs="Arial"/>
          <w:i/>
          <w:iCs/>
          <w:lang w:eastAsia="en-PH"/>
        </w:rPr>
        <w:t xml:space="preserve"> "Abolition" under Section 5(a) of R.A. No. 10149 is a generic term that lawfully covers the following legal processes:</w:t>
      </w:r>
    </w:p>
    <w:p w14:paraId="523127F5" w14:textId="77777777" w:rsidR="007D7EEA" w:rsidRPr="0096065B" w:rsidRDefault="007D7EEA" w:rsidP="0096065B">
      <w:pPr>
        <w:pStyle w:val="ListParagraph"/>
        <w:ind w:left="1170" w:right="432"/>
        <w:jc w:val="both"/>
        <w:rPr>
          <w:rFonts w:ascii="Arial" w:hAnsi="Arial" w:cs="Arial"/>
          <w:i/>
          <w:sz w:val="22"/>
          <w:szCs w:val="22"/>
        </w:rPr>
      </w:pPr>
    </w:p>
    <w:p w14:paraId="42D6BF24" w14:textId="77777777" w:rsidR="007D7EEA" w:rsidRPr="0096065B" w:rsidRDefault="00DD2A4D" w:rsidP="0096065B">
      <w:pPr>
        <w:pStyle w:val="ListParagraph"/>
        <w:ind w:left="1728" w:right="432"/>
        <w:contextualSpacing/>
        <w:jc w:val="both"/>
        <w:rPr>
          <w:rFonts w:ascii="Arial" w:hAnsi="Arial" w:cs="Arial"/>
          <w:i/>
          <w:sz w:val="22"/>
          <w:szCs w:val="22"/>
        </w:rPr>
      </w:pPr>
      <w:r w:rsidRPr="0096065B">
        <w:rPr>
          <w:rFonts w:ascii="Arial" w:hAnsi="Arial" w:cs="Arial"/>
          <w:i/>
          <w:sz w:val="22"/>
          <w:szCs w:val="22"/>
        </w:rPr>
        <w:t>Xxx</w:t>
      </w:r>
    </w:p>
    <w:p w14:paraId="436F9973" w14:textId="77777777" w:rsidR="007D7EEA" w:rsidRPr="0096065B" w:rsidRDefault="007D7EEA" w:rsidP="0096065B">
      <w:pPr>
        <w:pStyle w:val="ListParagraph"/>
        <w:ind w:left="1728" w:right="432"/>
        <w:jc w:val="both"/>
        <w:rPr>
          <w:rFonts w:ascii="Arial" w:hAnsi="Arial" w:cs="Arial"/>
          <w:i/>
          <w:sz w:val="22"/>
          <w:szCs w:val="22"/>
        </w:rPr>
      </w:pPr>
    </w:p>
    <w:p w14:paraId="2B5EB4A9" w14:textId="77777777" w:rsidR="007D7EEA" w:rsidRPr="0096065B" w:rsidRDefault="00DD2A4D" w:rsidP="0096065B">
      <w:pPr>
        <w:pStyle w:val="ListParagraph"/>
        <w:numPr>
          <w:ilvl w:val="3"/>
          <w:numId w:val="15"/>
        </w:numPr>
        <w:ind w:left="2088" w:right="432"/>
        <w:contextualSpacing/>
        <w:jc w:val="both"/>
        <w:rPr>
          <w:rFonts w:ascii="Arial" w:hAnsi="Arial" w:cs="Arial"/>
          <w:i/>
          <w:sz w:val="22"/>
          <w:szCs w:val="22"/>
        </w:rPr>
      </w:pPr>
      <w:r w:rsidRPr="0096065B">
        <w:rPr>
          <w:rFonts w:ascii="Arial" w:hAnsi="Arial" w:cs="Arial"/>
          <w:i/>
          <w:sz w:val="22"/>
          <w:szCs w:val="22"/>
        </w:rPr>
        <w:t xml:space="preserve">Liquidation, which takes place immediately after dissolution and involves, but is not limited to, the settlement and adjustment of claims against the GOCC, payment of its just debts, and collecting all that is due the corporation. </w:t>
      </w:r>
      <w:r w:rsidRPr="0096065B">
        <w:rPr>
          <w:rFonts w:ascii="Arial" w:hAnsi="Arial" w:cs="Arial"/>
          <w:b/>
          <w:i/>
          <w:sz w:val="22"/>
          <w:szCs w:val="22"/>
        </w:rPr>
        <w:t>In no case shall the period of Liquidation of a GOCC exceed three (3) years pursuant to the Corporation Code.</w:t>
      </w:r>
      <w:r w:rsidRPr="0096065B">
        <w:rPr>
          <w:rFonts w:ascii="Arial" w:hAnsi="Arial" w:cs="Arial"/>
          <w:i/>
          <w:sz w:val="22"/>
          <w:szCs w:val="22"/>
        </w:rPr>
        <w:t xml:space="preserve"> </w:t>
      </w:r>
    </w:p>
    <w:p w14:paraId="6B456FBD" w14:textId="77777777" w:rsidR="007D7EEA" w:rsidRPr="0096065B" w:rsidRDefault="007D7EEA" w:rsidP="0096065B">
      <w:pPr>
        <w:spacing w:after="0" w:line="240" w:lineRule="auto"/>
        <w:ind w:left="1728" w:right="432" w:firstLine="720"/>
        <w:contextualSpacing/>
        <w:jc w:val="both"/>
        <w:rPr>
          <w:rFonts w:ascii="Arial" w:hAnsi="Arial" w:cs="Arial"/>
          <w:lang w:eastAsia="en-PH"/>
        </w:rPr>
      </w:pPr>
    </w:p>
    <w:p w14:paraId="61DC9647" w14:textId="77777777" w:rsidR="007D7EEA" w:rsidRPr="0096065B" w:rsidRDefault="00DD2A4D" w:rsidP="0096065B">
      <w:pPr>
        <w:spacing w:line="240" w:lineRule="auto"/>
        <w:ind w:left="1872" w:right="432"/>
        <w:contextualSpacing/>
        <w:jc w:val="both"/>
        <w:rPr>
          <w:rFonts w:ascii="Arial" w:hAnsi="Arial" w:cs="Arial"/>
          <w:lang w:eastAsia="en-PH"/>
        </w:rPr>
      </w:pPr>
      <w:r w:rsidRPr="0096065B">
        <w:rPr>
          <w:rFonts w:ascii="Arial" w:hAnsi="Arial" w:cs="Arial"/>
          <w:i/>
        </w:rPr>
        <w:t>Xxx</w:t>
      </w:r>
    </w:p>
    <w:p w14:paraId="667DFBEE" w14:textId="77777777" w:rsidR="007D7EEA" w:rsidRPr="0096065B" w:rsidRDefault="007D7EEA" w:rsidP="0096065B">
      <w:pPr>
        <w:spacing w:after="0" w:line="240" w:lineRule="auto"/>
        <w:ind w:left="1728" w:right="432" w:firstLine="720"/>
        <w:contextualSpacing/>
        <w:jc w:val="both"/>
        <w:rPr>
          <w:rFonts w:ascii="Arial" w:hAnsi="Arial" w:cs="Arial"/>
          <w:lang w:eastAsia="en-PH"/>
        </w:rPr>
      </w:pPr>
    </w:p>
    <w:p w14:paraId="0A36C702" w14:textId="77777777" w:rsidR="007D7EEA" w:rsidRPr="0096065B" w:rsidRDefault="00DD2A4D" w:rsidP="0096065B">
      <w:pPr>
        <w:spacing w:line="240" w:lineRule="auto"/>
        <w:ind w:left="1728" w:right="432"/>
        <w:contextualSpacing/>
        <w:jc w:val="both"/>
        <w:rPr>
          <w:rFonts w:ascii="Arial" w:hAnsi="Arial" w:cs="Arial"/>
          <w:i/>
          <w:iCs/>
          <w:lang w:eastAsia="en-PH"/>
        </w:rPr>
      </w:pPr>
      <w:r w:rsidRPr="0096065B">
        <w:rPr>
          <w:rFonts w:ascii="Arial" w:hAnsi="Arial" w:cs="Arial"/>
          <w:i/>
          <w:iCs/>
          <w:lang w:eastAsia="en-PH"/>
        </w:rPr>
        <w:t xml:space="preserve">4.2 </w:t>
      </w:r>
      <w:r w:rsidRPr="0096065B">
        <w:rPr>
          <w:rFonts w:ascii="Arial" w:hAnsi="Arial" w:cs="Arial"/>
          <w:b/>
          <w:bCs/>
          <w:i/>
          <w:iCs/>
          <w:lang w:eastAsia="en-PH"/>
        </w:rPr>
        <w:t>Public Policy Considerations for the Abolition of GOCCs</w:t>
      </w:r>
      <w:r w:rsidRPr="0096065B">
        <w:rPr>
          <w:rFonts w:ascii="Arial" w:hAnsi="Arial" w:cs="Arial"/>
          <w:i/>
          <w:iCs/>
          <w:lang w:eastAsia="en-PH"/>
        </w:rPr>
        <w:t xml:space="preserve"> – The abolition of GOCCs under RA No. 10149 shall be pursued consistent with the following policies:</w:t>
      </w:r>
    </w:p>
    <w:p w14:paraId="727D60A1" w14:textId="77777777" w:rsidR="007D7EEA" w:rsidRPr="0096065B" w:rsidRDefault="007D7EEA" w:rsidP="0096065B">
      <w:pPr>
        <w:spacing w:after="0" w:line="240" w:lineRule="auto"/>
        <w:ind w:left="1080" w:right="432"/>
        <w:contextualSpacing/>
        <w:jc w:val="both"/>
        <w:rPr>
          <w:rFonts w:ascii="Arial" w:hAnsi="Arial" w:cs="Arial"/>
          <w:i/>
          <w:iCs/>
          <w:lang w:eastAsia="en-PH"/>
        </w:rPr>
      </w:pPr>
    </w:p>
    <w:p w14:paraId="4EF0F693" w14:textId="77777777" w:rsidR="007D7EEA" w:rsidRPr="0096065B" w:rsidRDefault="00DD2A4D" w:rsidP="0096065B">
      <w:pPr>
        <w:pStyle w:val="ListParagraph"/>
        <w:numPr>
          <w:ilvl w:val="0"/>
          <w:numId w:val="37"/>
        </w:numPr>
        <w:ind w:left="2088" w:right="432"/>
        <w:contextualSpacing/>
        <w:jc w:val="both"/>
        <w:rPr>
          <w:rFonts w:ascii="Arial" w:hAnsi="Arial" w:cs="Arial"/>
          <w:i/>
          <w:iCs/>
          <w:sz w:val="22"/>
          <w:szCs w:val="22"/>
          <w:lang w:eastAsia="en-PH"/>
        </w:rPr>
      </w:pPr>
      <w:r w:rsidRPr="0096065B">
        <w:rPr>
          <w:rFonts w:ascii="Arial" w:hAnsi="Arial" w:cs="Arial"/>
          <w:i/>
          <w:iCs/>
          <w:sz w:val="22"/>
          <w:szCs w:val="22"/>
          <w:lang w:eastAsia="en-PH"/>
        </w:rPr>
        <w:lastRenderedPageBreak/>
        <w:t>Safeguarding the Public Purpose of Public Funds/Properties – The manner of abolition of every GOCC shall be pursued in a manner that preserves the value of its assets and business enterprise that would provide for the highest possible liquidation value to cover the legitimate interests of all stakeholders, and allow the public service interests to be pursued in the agency that will take-over the abolished GOCC's social development functions.</w:t>
      </w:r>
    </w:p>
    <w:p w14:paraId="0D30496F" w14:textId="77777777" w:rsidR="007D7EEA" w:rsidRPr="0096065B" w:rsidRDefault="007D7EEA" w:rsidP="0096065B">
      <w:pPr>
        <w:spacing w:after="0" w:line="240" w:lineRule="auto"/>
        <w:ind w:right="432" w:firstLine="720"/>
        <w:contextualSpacing/>
        <w:jc w:val="both"/>
        <w:rPr>
          <w:rFonts w:ascii="Arial" w:hAnsi="Arial" w:cs="Arial"/>
          <w:lang w:eastAsia="en-PH"/>
        </w:rPr>
      </w:pPr>
    </w:p>
    <w:p w14:paraId="107DED9C" w14:textId="77777777" w:rsidR="007D7EEA" w:rsidRPr="0096065B" w:rsidRDefault="00DD2A4D" w:rsidP="0096065B">
      <w:pPr>
        <w:pStyle w:val="ListParagraph"/>
        <w:numPr>
          <w:ilvl w:val="0"/>
          <w:numId w:val="37"/>
        </w:numPr>
        <w:ind w:left="2088" w:right="432"/>
        <w:contextualSpacing/>
        <w:jc w:val="both"/>
        <w:rPr>
          <w:rFonts w:ascii="Arial" w:hAnsi="Arial" w:cs="Arial"/>
          <w:i/>
          <w:iCs/>
          <w:sz w:val="22"/>
          <w:szCs w:val="22"/>
          <w:lang w:eastAsia="en-PH"/>
        </w:rPr>
      </w:pPr>
      <w:r w:rsidRPr="0096065B">
        <w:rPr>
          <w:rFonts w:ascii="Arial" w:hAnsi="Arial" w:cs="Arial"/>
          <w:i/>
          <w:iCs/>
          <w:sz w:val="22"/>
          <w:szCs w:val="22"/>
          <w:lang w:eastAsia="en-PH"/>
        </w:rPr>
        <w:t>Safeguarding the Civil Service /interests and Employees' Entitlement to Reasonable Separation Benefits. - The civil service rights of employees in GOCCs which have been approved for abolition, as well as providing for the separation pay to which they may be entitled, shall be one of the highest considerations in pursuing the liquidation process of an abolished GOCC.</w:t>
      </w:r>
    </w:p>
    <w:p w14:paraId="4A113BAF" w14:textId="77777777" w:rsidR="007D7EEA" w:rsidRPr="0096065B" w:rsidRDefault="007D7EEA" w:rsidP="0096065B">
      <w:pPr>
        <w:pStyle w:val="ListParagraph"/>
        <w:ind w:left="1728" w:right="432"/>
        <w:rPr>
          <w:rFonts w:ascii="Arial" w:hAnsi="Arial" w:cs="Arial"/>
          <w:i/>
          <w:iCs/>
          <w:sz w:val="22"/>
          <w:szCs w:val="22"/>
          <w:lang w:eastAsia="en-PH"/>
        </w:rPr>
      </w:pPr>
    </w:p>
    <w:p w14:paraId="122B8364" w14:textId="77777777" w:rsidR="007D7EEA" w:rsidRPr="0096065B" w:rsidRDefault="00DD2A4D" w:rsidP="0096065B">
      <w:pPr>
        <w:pStyle w:val="ListParagraph"/>
        <w:numPr>
          <w:ilvl w:val="0"/>
          <w:numId w:val="37"/>
        </w:numPr>
        <w:ind w:left="2088" w:right="432"/>
        <w:contextualSpacing/>
        <w:jc w:val="both"/>
        <w:rPr>
          <w:rFonts w:ascii="Arial" w:hAnsi="Arial" w:cs="Arial"/>
          <w:i/>
          <w:iCs/>
          <w:sz w:val="22"/>
          <w:szCs w:val="22"/>
          <w:lang w:eastAsia="en-PH"/>
        </w:rPr>
      </w:pPr>
      <w:r w:rsidRPr="0096065B">
        <w:rPr>
          <w:rFonts w:ascii="Arial" w:hAnsi="Arial" w:cs="Arial"/>
          <w:i/>
          <w:iCs/>
          <w:sz w:val="22"/>
          <w:szCs w:val="22"/>
          <w:lang w:eastAsia="en-PH"/>
        </w:rPr>
        <w:t xml:space="preserve">Safeguarding the Priority Claims of Legitimate Creditors of GOCCS. - The liquidation of a GOCC that has been approved for abolition shall be undertaken in full consideration of the security and property rights of legitimate creditors. </w:t>
      </w:r>
      <w:r w:rsidRPr="0096065B">
        <w:rPr>
          <w:rFonts w:ascii="Arial" w:hAnsi="Arial" w:cs="Arial"/>
          <w:sz w:val="22"/>
          <w:szCs w:val="22"/>
          <w:lang w:eastAsia="en-PH"/>
        </w:rPr>
        <w:t>(Emphasis Supplied)</w:t>
      </w:r>
    </w:p>
    <w:p w14:paraId="2A5C4C80" w14:textId="77777777" w:rsidR="007D7EEA" w:rsidRPr="0096065B" w:rsidRDefault="007D7EEA" w:rsidP="0096065B">
      <w:pPr>
        <w:pStyle w:val="ListParagraph"/>
        <w:ind w:left="2088" w:right="432"/>
        <w:contextualSpacing/>
        <w:jc w:val="both"/>
        <w:rPr>
          <w:rFonts w:ascii="Arial" w:hAnsi="Arial" w:cs="Arial"/>
          <w:i/>
          <w:iCs/>
          <w:sz w:val="22"/>
          <w:szCs w:val="22"/>
          <w:lang w:eastAsia="en-PH"/>
        </w:rPr>
      </w:pPr>
    </w:p>
    <w:p w14:paraId="31EF94AE"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lang w:eastAsia="en-PH"/>
        </w:rPr>
      </w:pPr>
      <w:r w:rsidRPr="0096065B">
        <w:rPr>
          <w:rFonts w:ascii="Arial" w:hAnsi="Arial" w:cs="Arial"/>
          <w:sz w:val="22"/>
          <w:szCs w:val="22"/>
          <w:lang w:eastAsia="en-PH"/>
        </w:rPr>
        <w:t>Sections 3 and 6 of MO No. 90 provide:</w:t>
      </w:r>
    </w:p>
    <w:p w14:paraId="4F27AA4E" w14:textId="77777777" w:rsidR="007D7EEA" w:rsidRPr="0096065B" w:rsidRDefault="007D7EEA" w:rsidP="0096065B">
      <w:pPr>
        <w:spacing w:line="240" w:lineRule="auto"/>
        <w:ind w:firstLine="810"/>
        <w:contextualSpacing/>
        <w:jc w:val="both"/>
        <w:rPr>
          <w:rFonts w:ascii="Arial" w:hAnsi="Arial" w:cs="Arial"/>
          <w:lang w:eastAsia="en-PH"/>
        </w:rPr>
      </w:pPr>
    </w:p>
    <w:p w14:paraId="3FBD5D09"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Section 3. Winding down and Liquidation – The AFPRSBS Board shall act as a Board of Liquidators, subject to oversight by the Governance Commission, and is hereby directed to:</w:t>
      </w:r>
    </w:p>
    <w:p w14:paraId="5EA6EEEB" w14:textId="77777777" w:rsidR="007D7EEA" w:rsidRPr="0096065B" w:rsidRDefault="007D7EEA" w:rsidP="0096065B">
      <w:pPr>
        <w:spacing w:line="240" w:lineRule="auto"/>
        <w:ind w:right="432" w:firstLine="810"/>
        <w:contextualSpacing/>
        <w:jc w:val="both"/>
        <w:rPr>
          <w:rFonts w:ascii="Arial" w:hAnsi="Arial" w:cs="Arial"/>
          <w:i/>
          <w:lang w:eastAsia="en-PH"/>
        </w:rPr>
      </w:pPr>
    </w:p>
    <w:p w14:paraId="4528A69B"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Xxx</w:t>
      </w:r>
    </w:p>
    <w:p w14:paraId="438C5E1A" w14:textId="77777777" w:rsidR="007D7EEA" w:rsidRPr="0096065B" w:rsidRDefault="007D7EEA" w:rsidP="0096065B">
      <w:pPr>
        <w:spacing w:line="240" w:lineRule="auto"/>
        <w:ind w:right="432" w:firstLine="1350"/>
        <w:contextualSpacing/>
        <w:jc w:val="both"/>
        <w:rPr>
          <w:rFonts w:ascii="Arial" w:hAnsi="Arial" w:cs="Arial"/>
          <w:i/>
          <w:lang w:eastAsia="en-PH"/>
        </w:rPr>
      </w:pPr>
    </w:p>
    <w:p w14:paraId="7B02E475"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 xml:space="preserve">c. </w:t>
      </w:r>
      <w:r w:rsidRPr="0096065B">
        <w:rPr>
          <w:rFonts w:ascii="Arial" w:hAnsi="Arial" w:cs="Arial"/>
          <w:b/>
          <w:i/>
          <w:lang w:eastAsia="en-PH"/>
        </w:rPr>
        <w:t>Collect all indebtedness due to the AFP-RSBS;</w:t>
      </w:r>
    </w:p>
    <w:p w14:paraId="3903549D" w14:textId="77777777" w:rsidR="007D7EEA" w:rsidRPr="0096065B" w:rsidRDefault="007D7EEA" w:rsidP="0096065B">
      <w:pPr>
        <w:spacing w:line="240" w:lineRule="auto"/>
        <w:ind w:left="1584" w:right="432"/>
        <w:contextualSpacing/>
        <w:jc w:val="both"/>
        <w:rPr>
          <w:rFonts w:ascii="Arial" w:hAnsi="Arial" w:cs="Arial"/>
          <w:i/>
          <w:lang w:eastAsia="en-PH"/>
        </w:rPr>
      </w:pPr>
    </w:p>
    <w:p w14:paraId="4FD1EB78"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d. Continue a corporate operating budget for the purpose of the following:</w:t>
      </w:r>
    </w:p>
    <w:p w14:paraId="43432BAB" w14:textId="77777777" w:rsidR="007D7EEA" w:rsidRPr="0096065B" w:rsidRDefault="007D7EEA" w:rsidP="0096065B">
      <w:pPr>
        <w:spacing w:line="240" w:lineRule="auto"/>
        <w:ind w:left="1350" w:right="432"/>
        <w:contextualSpacing/>
        <w:jc w:val="both"/>
        <w:rPr>
          <w:rFonts w:ascii="Arial" w:hAnsi="Arial" w:cs="Arial"/>
          <w:i/>
          <w:lang w:eastAsia="en-PH"/>
        </w:rPr>
      </w:pPr>
    </w:p>
    <w:p w14:paraId="02EF0722"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1.) Continuation of leasing services, for the purpose of preservation of its assets;</w:t>
      </w:r>
    </w:p>
    <w:p w14:paraId="26F145D2" w14:textId="77777777" w:rsidR="007D7EEA" w:rsidRPr="0096065B" w:rsidRDefault="007D7EEA" w:rsidP="0096065B">
      <w:pPr>
        <w:spacing w:line="240" w:lineRule="auto"/>
        <w:ind w:left="1728" w:right="432"/>
        <w:contextualSpacing/>
        <w:jc w:val="both"/>
        <w:rPr>
          <w:rFonts w:ascii="Arial" w:hAnsi="Arial" w:cs="Arial"/>
          <w:i/>
          <w:lang w:eastAsia="en-PH"/>
        </w:rPr>
      </w:pPr>
    </w:p>
    <w:p w14:paraId="1110520D"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2.) Collection of all indebtedness;</w:t>
      </w:r>
    </w:p>
    <w:p w14:paraId="3A286F26" w14:textId="77777777" w:rsidR="007D7EEA" w:rsidRPr="0096065B" w:rsidRDefault="007D7EEA" w:rsidP="0096065B">
      <w:pPr>
        <w:spacing w:line="240" w:lineRule="auto"/>
        <w:ind w:left="1728" w:right="432"/>
        <w:contextualSpacing/>
        <w:jc w:val="both"/>
        <w:rPr>
          <w:rFonts w:ascii="Arial" w:hAnsi="Arial" w:cs="Arial"/>
          <w:i/>
          <w:lang w:eastAsia="en-PH"/>
        </w:rPr>
      </w:pPr>
    </w:p>
    <w:p w14:paraId="3C3CE803"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3.) Release of penalties to loans and inter-company receivables due to AFP-RSBS, provided it is not manifestly prejudicial to the government, and in compliance with existing auditing rules and regulations;</w:t>
      </w:r>
    </w:p>
    <w:p w14:paraId="079D8174" w14:textId="77777777" w:rsidR="007D7EEA" w:rsidRPr="0096065B" w:rsidRDefault="007D7EEA" w:rsidP="0096065B">
      <w:pPr>
        <w:spacing w:line="240" w:lineRule="auto"/>
        <w:ind w:left="1728" w:right="432"/>
        <w:contextualSpacing/>
        <w:jc w:val="both"/>
        <w:rPr>
          <w:rFonts w:ascii="Arial" w:hAnsi="Arial" w:cs="Arial"/>
          <w:i/>
          <w:lang w:eastAsia="en-PH"/>
        </w:rPr>
      </w:pPr>
    </w:p>
    <w:p w14:paraId="407BE1C2"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 xml:space="preserve">4.) </w:t>
      </w:r>
      <w:r w:rsidRPr="0096065B">
        <w:rPr>
          <w:rFonts w:ascii="Arial" w:hAnsi="Arial" w:cs="Arial"/>
          <w:b/>
          <w:i/>
          <w:lang w:eastAsia="en-PH"/>
        </w:rPr>
        <w:t>Refund of AFP-RSBS members’ contributions as they fall due</w:t>
      </w:r>
      <w:r w:rsidRPr="0096065B">
        <w:rPr>
          <w:rFonts w:ascii="Arial" w:hAnsi="Arial" w:cs="Arial"/>
          <w:i/>
          <w:lang w:eastAsia="en-PH"/>
        </w:rPr>
        <w:t>; and</w:t>
      </w:r>
    </w:p>
    <w:p w14:paraId="6B90A62B" w14:textId="77777777" w:rsidR="007D7EEA" w:rsidRPr="0096065B" w:rsidRDefault="007D7EEA" w:rsidP="0096065B">
      <w:pPr>
        <w:spacing w:line="240" w:lineRule="auto"/>
        <w:ind w:left="1890" w:right="432"/>
        <w:contextualSpacing/>
        <w:jc w:val="both"/>
        <w:rPr>
          <w:rFonts w:ascii="Arial" w:hAnsi="Arial" w:cs="Arial"/>
          <w:i/>
          <w:lang w:eastAsia="en-PH"/>
        </w:rPr>
      </w:pPr>
    </w:p>
    <w:p w14:paraId="27439F88" w14:textId="77777777" w:rsidR="007D7EEA" w:rsidRPr="0096065B" w:rsidRDefault="00DD2A4D" w:rsidP="0096065B">
      <w:pPr>
        <w:spacing w:after="0" w:line="240" w:lineRule="auto"/>
        <w:ind w:left="1872" w:right="432"/>
        <w:contextualSpacing/>
        <w:jc w:val="both"/>
        <w:rPr>
          <w:rFonts w:ascii="Arial" w:hAnsi="Arial" w:cs="Arial"/>
          <w:i/>
          <w:lang w:eastAsia="en-PH"/>
        </w:rPr>
      </w:pPr>
      <w:r w:rsidRPr="0096065B">
        <w:rPr>
          <w:rFonts w:ascii="Arial" w:hAnsi="Arial" w:cs="Arial"/>
          <w:i/>
          <w:lang w:eastAsia="en-PH"/>
        </w:rPr>
        <w:t xml:space="preserve">5.) Servicing of existing Membership Loan Programs; </w:t>
      </w:r>
    </w:p>
    <w:p w14:paraId="684BEB10" w14:textId="77777777" w:rsidR="007D7EEA" w:rsidRPr="0096065B" w:rsidRDefault="007D7EEA" w:rsidP="0096065B">
      <w:pPr>
        <w:spacing w:line="240" w:lineRule="auto"/>
        <w:ind w:left="1872" w:right="432"/>
        <w:contextualSpacing/>
        <w:jc w:val="both"/>
        <w:rPr>
          <w:rFonts w:ascii="Arial" w:hAnsi="Arial" w:cs="Arial"/>
          <w:i/>
          <w:lang w:eastAsia="en-PH"/>
        </w:rPr>
      </w:pPr>
    </w:p>
    <w:p w14:paraId="4385A9AB"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lastRenderedPageBreak/>
        <w:t>e. For its Board of Trustees to act as Board of Liquidators, who shall recommend to the GCG dispositive actions for its subsidiaries and affiliates;</w:t>
      </w:r>
    </w:p>
    <w:p w14:paraId="79CACB53" w14:textId="77777777" w:rsidR="007D7EEA" w:rsidRPr="0096065B" w:rsidRDefault="007D7EEA" w:rsidP="0096065B">
      <w:pPr>
        <w:spacing w:line="240" w:lineRule="auto"/>
        <w:ind w:left="720" w:right="432"/>
        <w:contextualSpacing/>
        <w:jc w:val="both"/>
        <w:rPr>
          <w:rFonts w:ascii="Arial" w:hAnsi="Arial" w:cs="Arial"/>
          <w:i/>
          <w:lang w:eastAsia="en-PH"/>
        </w:rPr>
      </w:pPr>
    </w:p>
    <w:p w14:paraId="73E736EB"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f. Enter contracts for the following purpose:</w:t>
      </w:r>
    </w:p>
    <w:p w14:paraId="0832DAAC" w14:textId="77777777" w:rsidR="007D7EEA" w:rsidRPr="0096065B" w:rsidRDefault="007D7EEA" w:rsidP="0096065B">
      <w:pPr>
        <w:spacing w:line="240" w:lineRule="auto"/>
        <w:ind w:left="720" w:right="432"/>
        <w:contextualSpacing/>
        <w:jc w:val="both"/>
        <w:rPr>
          <w:rFonts w:ascii="Arial" w:hAnsi="Arial" w:cs="Arial"/>
          <w:i/>
          <w:lang w:eastAsia="en-PH"/>
        </w:rPr>
      </w:pPr>
    </w:p>
    <w:p w14:paraId="21FBB15B"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 xml:space="preserve">1. </w:t>
      </w:r>
      <w:r w:rsidRPr="0096065B">
        <w:rPr>
          <w:rFonts w:ascii="Arial" w:hAnsi="Arial" w:cs="Arial"/>
          <w:b/>
          <w:i/>
          <w:lang w:eastAsia="en-PH"/>
        </w:rPr>
        <w:t>Sell all its real estate assets, such as, but not limited to, subdivision lots, house and lots, memorial lots, raw lands and all acquired assets</w:t>
      </w:r>
      <w:r w:rsidRPr="0096065B">
        <w:rPr>
          <w:rFonts w:ascii="Arial" w:hAnsi="Arial" w:cs="Arial"/>
          <w:i/>
          <w:lang w:eastAsia="en-PH"/>
        </w:rPr>
        <w:t xml:space="preserve"> in accordance with the existing internal policies of AFP-RSBS;</w:t>
      </w:r>
    </w:p>
    <w:p w14:paraId="4FCFC4BA" w14:textId="77777777" w:rsidR="007D7EEA" w:rsidRPr="0096065B" w:rsidRDefault="007D7EEA" w:rsidP="0096065B">
      <w:pPr>
        <w:spacing w:line="240" w:lineRule="auto"/>
        <w:ind w:left="1890" w:right="432"/>
        <w:contextualSpacing/>
        <w:jc w:val="both"/>
        <w:rPr>
          <w:rFonts w:ascii="Arial" w:hAnsi="Arial" w:cs="Arial"/>
          <w:i/>
          <w:lang w:eastAsia="en-PH"/>
        </w:rPr>
      </w:pPr>
    </w:p>
    <w:p w14:paraId="70BAF726" w14:textId="77777777" w:rsidR="007D7EEA" w:rsidRPr="0096065B" w:rsidRDefault="00DD2A4D" w:rsidP="0096065B">
      <w:pPr>
        <w:spacing w:after="0" w:line="240" w:lineRule="auto"/>
        <w:ind w:left="1890" w:right="432"/>
        <w:contextualSpacing/>
        <w:jc w:val="both"/>
        <w:rPr>
          <w:rFonts w:ascii="Arial" w:hAnsi="Arial" w:cs="Arial"/>
          <w:i/>
          <w:lang w:eastAsia="en-PH"/>
        </w:rPr>
      </w:pPr>
      <w:r w:rsidRPr="0096065B">
        <w:rPr>
          <w:rFonts w:ascii="Arial" w:hAnsi="Arial" w:cs="Arial"/>
          <w:i/>
          <w:lang w:eastAsia="en-PH"/>
        </w:rPr>
        <w:t>2. Sell its golf and country club shares, and all other personal properties;</w:t>
      </w:r>
    </w:p>
    <w:p w14:paraId="4FA85601" w14:textId="77777777" w:rsidR="007D7EEA" w:rsidRPr="0096065B" w:rsidRDefault="007D7EEA" w:rsidP="0096065B">
      <w:pPr>
        <w:spacing w:line="240" w:lineRule="auto"/>
        <w:ind w:left="1890" w:right="432"/>
        <w:contextualSpacing/>
        <w:jc w:val="both"/>
        <w:rPr>
          <w:rFonts w:ascii="Arial" w:hAnsi="Arial" w:cs="Arial"/>
          <w:i/>
          <w:lang w:eastAsia="en-PH"/>
        </w:rPr>
      </w:pPr>
    </w:p>
    <w:p w14:paraId="07F83F1B"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3. Manage, preserve and maintain its buildings, facilities and equipment in line with the winding down activities;</w:t>
      </w:r>
    </w:p>
    <w:p w14:paraId="5999A102" w14:textId="77777777" w:rsidR="007D7EEA" w:rsidRPr="0096065B" w:rsidRDefault="007D7EEA" w:rsidP="0096065B">
      <w:pPr>
        <w:spacing w:line="240" w:lineRule="auto"/>
        <w:ind w:left="1890" w:right="432"/>
        <w:contextualSpacing/>
        <w:jc w:val="both"/>
        <w:rPr>
          <w:rFonts w:ascii="Arial" w:hAnsi="Arial" w:cs="Arial"/>
          <w:i/>
          <w:lang w:eastAsia="en-PH"/>
        </w:rPr>
      </w:pPr>
    </w:p>
    <w:p w14:paraId="75C2BE63"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4. Complete deliverables to subdivisions, and turn over completed subdivisions to LGUs and homeowners association; and</w:t>
      </w:r>
    </w:p>
    <w:p w14:paraId="4B0ED50C" w14:textId="77777777" w:rsidR="007D7EEA" w:rsidRPr="0096065B" w:rsidRDefault="007D7EEA" w:rsidP="0096065B">
      <w:pPr>
        <w:spacing w:line="240" w:lineRule="auto"/>
        <w:ind w:left="1890" w:right="432"/>
        <w:contextualSpacing/>
        <w:jc w:val="both"/>
        <w:rPr>
          <w:rFonts w:ascii="Arial" w:hAnsi="Arial" w:cs="Arial"/>
          <w:i/>
          <w:lang w:eastAsia="en-PH"/>
        </w:rPr>
      </w:pPr>
    </w:p>
    <w:p w14:paraId="13101B95" w14:textId="77777777" w:rsidR="007D7EEA" w:rsidRPr="0096065B" w:rsidRDefault="00DD2A4D" w:rsidP="0096065B">
      <w:pPr>
        <w:spacing w:line="240" w:lineRule="auto"/>
        <w:ind w:left="1890" w:right="432"/>
        <w:contextualSpacing/>
        <w:jc w:val="both"/>
        <w:rPr>
          <w:rFonts w:ascii="Arial" w:hAnsi="Arial" w:cs="Arial"/>
          <w:i/>
          <w:lang w:eastAsia="en-PH"/>
        </w:rPr>
      </w:pPr>
      <w:r w:rsidRPr="0096065B">
        <w:rPr>
          <w:rFonts w:ascii="Arial" w:hAnsi="Arial" w:cs="Arial"/>
          <w:i/>
          <w:lang w:eastAsia="en-PH"/>
        </w:rPr>
        <w:t>5. Maintenance and preservation of existing projects and properties, including security services, insurance, etc.</w:t>
      </w:r>
    </w:p>
    <w:p w14:paraId="6BFEDE05" w14:textId="77777777" w:rsidR="007D7EEA" w:rsidRPr="0096065B" w:rsidRDefault="007D7EEA" w:rsidP="0096065B">
      <w:pPr>
        <w:spacing w:after="0" w:line="240" w:lineRule="auto"/>
        <w:ind w:right="432"/>
        <w:contextualSpacing/>
        <w:jc w:val="both"/>
        <w:rPr>
          <w:rFonts w:ascii="Arial" w:hAnsi="Arial" w:cs="Arial"/>
          <w:i/>
          <w:lang w:eastAsia="en-PH"/>
        </w:rPr>
      </w:pPr>
    </w:p>
    <w:p w14:paraId="2B985D2E"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Xxx</w:t>
      </w:r>
    </w:p>
    <w:p w14:paraId="0F3B6ED4" w14:textId="77777777" w:rsidR="007D7EEA" w:rsidRPr="0096065B" w:rsidRDefault="007D7EEA" w:rsidP="0096065B">
      <w:pPr>
        <w:spacing w:line="240" w:lineRule="auto"/>
        <w:ind w:right="432"/>
        <w:contextualSpacing/>
        <w:jc w:val="both"/>
        <w:rPr>
          <w:rFonts w:ascii="Arial" w:hAnsi="Arial" w:cs="Arial"/>
          <w:i/>
          <w:lang w:eastAsia="en-PH"/>
        </w:rPr>
      </w:pPr>
    </w:p>
    <w:p w14:paraId="76176892"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The foregoing are without prejudice to supplemental guidelines from the Governance Commission in implementing this Order.</w:t>
      </w:r>
    </w:p>
    <w:p w14:paraId="7B1393A9" w14:textId="77777777" w:rsidR="007D7EEA" w:rsidRPr="0096065B" w:rsidRDefault="00DD2A4D" w:rsidP="0096065B">
      <w:pPr>
        <w:spacing w:line="240" w:lineRule="auto"/>
        <w:ind w:left="1008" w:right="432" w:firstLine="720"/>
        <w:contextualSpacing/>
        <w:jc w:val="both"/>
        <w:rPr>
          <w:rFonts w:ascii="Arial" w:hAnsi="Arial" w:cs="Arial"/>
          <w:lang w:eastAsia="en-PH"/>
        </w:rPr>
      </w:pPr>
      <w:r w:rsidRPr="0096065B">
        <w:rPr>
          <w:rFonts w:ascii="Arial" w:hAnsi="Arial" w:cs="Arial"/>
          <w:lang w:eastAsia="en-PH"/>
        </w:rPr>
        <w:t>(Emphasis Supplied)</w:t>
      </w:r>
    </w:p>
    <w:p w14:paraId="3914A684" w14:textId="77777777" w:rsidR="007D7EEA" w:rsidRPr="0096065B" w:rsidRDefault="007D7EEA" w:rsidP="0096065B">
      <w:pPr>
        <w:spacing w:after="0" w:line="240" w:lineRule="auto"/>
        <w:ind w:left="1728" w:right="432"/>
        <w:contextualSpacing/>
        <w:jc w:val="both"/>
        <w:rPr>
          <w:rFonts w:ascii="Arial" w:hAnsi="Arial" w:cs="Arial"/>
          <w:lang w:eastAsia="en-PH"/>
        </w:rPr>
      </w:pPr>
    </w:p>
    <w:p w14:paraId="6844F3FC" w14:textId="1A26FBA6" w:rsidR="007D7EEA" w:rsidRDefault="00DD2A4D" w:rsidP="0096065B">
      <w:pPr>
        <w:spacing w:after="0" w:line="240" w:lineRule="auto"/>
        <w:ind w:left="1728" w:right="432"/>
        <w:contextualSpacing/>
        <w:jc w:val="both"/>
        <w:rPr>
          <w:rFonts w:ascii="Arial" w:hAnsi="Arial" w:cs="Arial"/>
          <w:i/>
          <w:lang w:eastAsia="en-PH"/>
        </w:rPr>
      </w:pPr>
      <w:r w:rsidRPr="0096065B">
        <w:rPr>
          <w:rFonts w:ascii="Arial" w:hAnsi="Arial" w:cs="Arial"/>
          <w:i/>
          <w:lang w:eastAsia="en-PH"/>
        </w:rPr>
        <w:t xml:space="preserve">Xxx </w:t>
      </w:r>
    </w:p>
    <w:p w14:paraId="6490C314" w14:textId="77777777" w:rsidR="00282549" w:rsidRPr="0096065B" w:rsidRDefault="00282549" w:rsidP="0096065B">
      <w:pPr>
        <w:spacing w:after="0" w:line="240" w:lineRule="auto"/>
        <w:ind w:left="1728" w:right="432"/>
        <w:contextualSpacing/>
        <w:jc w:val="both"/>
        <w:rPr>
          <w:rFonts w:ascii="Arial" w:hAnsi="Arial" w:cs="Arial"/>
          <w:i/>
          <w:lang w:eastAsia="en-PH"/>
        </w:rPr>
      </w:pPr>
    </w:p>
    <w:p w14:paraId="3851092D" w14:textId="77777777" w:rsidR="007D7EEA" w:rsidRPr="0096065B" w:rsidRDefault="00DD2A4D" w:rsidP="0096065B">
      <w:pPr>
        <w:spacing w:after="0" w:line="240" w:lineRule="auto"/>
        <w:ind w:left="1710" w:right="432"/>
        <w:contextualSpacing/>
        <w:jc w:val="both"/>
        <w:rPr>
          <w:rFonts w:ascii="Arial" w:hAnsi="Arial" w:cs="Arial"/>
          <w:i/>
          <w:lang w:eastAsia="en-PH"/>
        </w:rPr>
      </w:pPr>
      <w:r w:rsidRPr="0096065B">
        <w:rPr>
          <w:rFonts w:ascii="Arial" w:hAnsi="Arial" w:cs="Arial"/>
          <w:i/>
          <w:lang w:eastAsia="en-PH"/>
        </w:rPr>
        <w:t xml:space="preserve">Section 6. Implementing Guidelines – </w:t>
      </w:r>
      <w:bookmarkStart w:id="13" w:name="_Hlk129349289"/>
      <w:r w:rsidRPr="0096065B">
        <w:rPr>
          <w:rFonts w:ascii="Arial" w:hAnsi="Arial" w:cs="Arial"/>
          <w:i/>
          <w:lang w:eastAsia="en-PH"/>
        </w:rPr>
        <w:t>The Governance Commission shall issue such implementing rules and regulations as may be necessary to supplement this Order.</w:t>
      </w:r>
      <w:bookmarkEnd w:id="13"/>
    </w:p>
    <w:p w14:paraId="17D9DC24" w14:textId="77777777" w:rsidR="007D7EEA" w:rsidRPr="0096065B" w:rsidRDefault="007D7EEA" w:rsidP="0096065B">
      <w:pPr>
        <w:spacing w:after="0" w:line="240" w:lineRule="auto"/>
        <w:ind w:left="1710" w:right="432"/>
        <w:contextualSpacing/>
        <w:jc w:val="both"/>
        <w:rPr>
          <w:rFonts w:ascii="Arial" w:hAnsi="Arial" w:cs="Arial"/>
          <w:i/>
          <w:lang w:eastAsia="en-PH"/>
        </w:rPr>
      </w:pPr>
    </w:p>
    <w:p w14:paraId="1BDF0DEC"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Audit Team noted that the entire liquidation process of the AFPRSBS was not timely met and the delay is brought about by the several factors/reasons, as discussed below:</w:t>
      </w:r>
    </w:p>
    <w:p w14:paraId="5725DD17" w14:textId="77777777" w:rsidR="007D7EEA" w:rsidRPr="0096065B" w:rsidRDefault="007D7EEA" w:rsidP="0096065B">
      <w:pPr>
        <w:spacing w:after="0" w:line="240" w:lineRule="auto"/>
        <w:ind w:firstLine="720"/>
        <w:jc w:val="both"/>
        <w:rPr>
          <w:rFonts w:ascii="Arial" w:hAnsi="Arial" w:cs="Arial"/>
        </w:rPr>
      </w:pPr>
    </w:p>
    <w:p w14:paraId="629FAAB2" w14:textId="77777777" w:rsidR="007D7EEA" w:rsidRPr="0096065B" w:rsidRDefault="00DD2A4D" w:rsidP="0096065B">
      <w:pPr>
        <w:spacing w:after="0" w:line="240" w:lineRule="auto"/>
        <w:ind w:left="576"/>
        <w:jc w:val="both"/>
        <w:rPr>
          <w:rFonts w:ascii="Arial" w:hAnsi="Arial" w:cs="Arial"/>
          <w:i/>
        </w:rPr>
      </w:pPr>
      <w:r w:rsidRPr="0096065B">
        <w:rPr>
          <w:rFonts w:ascii="Arial" w:hAnsi="Arial" w:cs="Arial"/>
          <w:i/>
        </w:rPr>
        <w:t>Absence of IRR issued by the GCG</w:t>
      </w:r>
    </w:p>
    <w:p w14:paraId="22646BB9" w14:textId="77777777" w:rsidR="007D7EEA" w:rsidRPr="0096065B" w:rsidRDefault="007D7EEA" w:rsidP="0096065B">
      <w:pPr>
        <w:spacing w:after="0" w:line="240" w:lineRule="auto"/>
        <w:ind w:right="5341"/>
        <w:jc w:val="both"/>
        <w:rPr>
          <w:rFonts w:ascii="Arial" w:hAnsi="Arial" w:cs="Arial"/>
          <w:i/>
        </w:rPr>
      </w:pPr>
    </w:p>
    <w:p w14:paraId="018551C2"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As specified in Section 6 of MO No. 90, the GCG shall issue such IRR as may be necessary to supplement this Order.  However, the Audit Team noted that from the time when such Order took effect in 2016, no IRR has been issued by the GCG to implement the provisions stated in the said Order.</w:t>
      </w:r>
    </w:p>
    <w:p w14:paraId="729E1FC5" w14:textId="77777777" w:rsidR="007D7EEA" w:rsidRPr="0096065B" w:rsidRDefault="007D7EEA" w:rsidP="0096065B">
      <w:pPr>
        <w:pStyle w:val="NormalWeb"/>
        <w:spacing w:before="0" w:beforeAutospacing="0" w:after="0" w:afterAutospacing="0"/>
        <w:ind w:left="1260"/>
        <w:jc w:val="both"/>
        <w:rPr>
          <w:rFonts w:ascii="Arial" w:hAnsi="Arial" w:cs="Arial"/>
          <w:sz w:val="22"/>
          <w:szCs w:val="22"/>
        </w:rPr>
      </w:pPr>
    </w:p>
    <w:p w14:paraId="3735AD6C"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Inquiry with Management disclosed that one of the reasons for non-issuance of the IRR is that the MO No. 90 does not mandatorily require the GCG to issue an IRR since as expressly provided in the said MO, the GCG shall only issue such IRR as it may deem necessary to supplement the said Order.</w:t>
      </w:r>
    </w:p>
    <w:p w14:paraId="214AD9FC" w14:textId="77777777" w:rsidR="007D7EEA" w:rsidRPr="0096065B" w:rsidRDefault="007D7EEA" w:rsidP="0096065B">
      <w:pPr>
        <w:spacing w:after="0" w:line="240" w:lineRule="auto"/>
        <w:ind w:firstLine="720"/>
        <w:contextualSpacing/>
        <w:jc w:val="both"/>
        <w:rPr>
          <w:rFonts w:ascii="Arial" w:hAnsi="Arial" w:cs="Arial"/>
        </w:rPr>
      </w:pPr>
    </w:p>
    <w:p w14:paraId="4F99528A"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lastRenderedPageBreak/>
        <w:t>However, the Audit Team would like to emphasize the importance of IRR which is to prescribe the procedures and guidelines for the implementation of MO No. 90 to facilitate the compliance and achieve its objectives.</w:t>
      </w:r>
    </w:p>
    <w:p w14:paraId="4800689A" w14:textId="77777777" w:rsidR="007D7EEA" w:rsidRPr="0096065B" w:rsidRDefault="007D7EEA" w:rsidP="0096065B">
      <w:pPr>
        <w:spacing w:after="0" w:line="240" w:lineRule="auto"/>
        <w:ind w:firstLine="720"/>
        <w:contextualSpacing/>
        <w:jc w:val="both"/>
        <w:rPr>
          <w:rFonts w:ascii="Arial" w:hAnsi="Arial" w:cs="Arial"/>
        </w:rPr>
      </w:pPr>
    </w:p>
    <w:p w14:paraId="1E7AFAB4" w14:textId="4DF7F272" w:rsidR="007D7EEA" w:rsidRPr="00692F75" w:rsidRDefault="00DD2A4D" w:rsidP="00772A40">
      <w:pPr>
        <w:pStyle w:val="NormalWeb"/>
        <w:numPr>
          <w:ilvl w:val="1"/>
          <w:numId w:val="3"/>
        </w:numPr>
        <w:spacing w:before="0" w:beforeAutospacing="0" w:after="0" w:afterAutospacing="0"/>
        <w:ind w:left="1267" w:hanging="691"/>
        <w:jc w:val="both"/>
        <w:rPr>
          <w:rFonts w:ascii="Arial" w:hAnsi="Arial" w:cs="Arial"/>
          <w:sz w:val="22"/>
          <w:szCs w:val="22"/>
        </w:rPr>
      </w:pPr>
      <w:r w:rsidRPr="00692F75">
        <w:rPr>
          <w:rFonts w:ascii="Arial" w:hAnsi="Arial" w:cs="Arial"/>
          <w:sz w:val="22"/>
          <w:szCs w:val="22"/>
        </w:rPr>
        <w:t>As stated in MO No. 90, the actions of the AFPRSBS BOL and the AFPRSBS Management are only limited as to those expressly provided therein.</w:t>
      </w:r>
      <w:r w:rsidR="00692F75">
        <w:rPr>
          <w:rFonts w:ascii="Arial" w:hAnsi="Arial" w:cs="Arial"/>
          <w:sz w:val="22"/>
          <w:szCs w:val="22"/>
        </w:rPr>
        <w:t xml:space="preserve"> </w:t>
      </w:r>
      <w:r w:rsidRPr="00692F75">
        <w:rPr>
          <w:rFonts w:ascii="Arial" w:hAnsi="Arial" w:cs="Arial"/>
          <w:sz w:val="22"/>
          <w:szCs w:val="22"/>
        </w:rPr>
        <w:t>The issuance of the IRR is within the jurisdiction of the GCG based on MO No. 90.  While the said MO provides that GCG will issue such IRR as may be necessary to supplement the subject Order, the Audit Team opined that there is already a need to issue the IRR due the considerable length of time in the delay of the abolition/liquidation.  The absence of such IRR greatly affected the expeditious abolition/liquidation of the AFPRSBS.</w:t>
      </w:r>
    </w:p>
    <w:p w14:paraId="6EF07B6B" w14:textId="77777777" w:rsidR="007D7EEA" w:rsidRPr="0096065B" w:rsidRDefault="007D7EEA" w:rsidP="0096065B">
      <w:pPr>
        <w:spacing w:after="0" w:line="240" w:lineRule="auto"/>
        <w:ind w:right="5341"/>
        <w:jc w:val="both"/>
        <w:rPr>
          <w:rFonts w:ascii="Arial" w:hAnsi="Arial" w:cs="Arial"/>
          <w:i/>
        </w:rPr>
      </w:pPr>
    </w:p>
    <w:p w14:paraId="1ABBA246" w14:textId="77777777" w:rsidR="007D7EEA" w:rsidRPr="0096065B" w:rsidRDefault="00DD2A4D" w:rsidP="0096065B">
      <w:pPr>
        <w:spacing w:after="0" w:line="240" w:lineRule="auto"/>
        <w:ind w:left="576"/>
        <w:jc w:val="both"/>
        <w:rPr>
          <w:rFonts w:ascii="Arial" w:hAnsi="Arial" w:cs="Arial"/>
          <w:i/>
        </w:rPr>
      </w:pPr>
      <w:r w:rsidRPr="0096065B">
        <w:rPr>
          <w:rFonts w:ascii="Arial" w:hAnsi="Arial" w:cs="Arial"/>
          <w:i/>
        </w:rPr>
        <w:t>Absence of an updated winding down/LP as at December 31, 2022, as approved by the GCG</w:t>
      </w:r>
    </w:p>
    <w:p w14:paraId="2B4D0836" w14:textId="77777777" w:rsidR="007D7EEA" w:rsidRPr="0096065B" w:rsidRDefault="007D7EEA" w:rsidP="0096065B">
      <w:pPr>
        <w:spacing w:after="0" w:line="240" w:lineRule="auto"/>
        <w:ind w:right="5341"/>
        <w:jc w:val="both"/>
        <w:rPr>
          <w:rFonts w:ascii="Arial" w:hAnsi="Arial" w:cs="Arial"/>
          <w:i/>
        </w:rPr>
      </w:pPr>
    </w:p>
    <w:p w14:paraId="4540BC9C"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Based on the latest LP provided by the Management as at </w:t>
      </w:r>
      <w:r w:rsidRPr="0096065B">
        <w:rPr>
          <w:rFonts w:ascii="Arial" w:hAnsi="Arial" w:cs="Arial"/>
          <w:sz w:val="22"/>
          <w:szCs w:val="22"/>
        </w:rPr>
        <w:br/>
        <w:t xml:space="preserve">September 30, 2021, the Audit Team noted that the said LP was not yet approved by the GCG but has been presented every BOL meeting. </w:t>
      </w:r>
    </w:p>
    <w:p w14:paraId="5F9080F7" w14:textId="77777777" w:rsidR="007D7EEA" w:rsidRPr="0096065B" w:rsidRDefault="007D7EEA" w:rsidP="0096065B">
      <w:pPr>
        <w:pStyle w:val="NormalWeb"/>
        <w:spacing w:before="0" w:beforeAutospacing="0" w:after="0" w:afterAutospacing="0"/>
        <w:ind w:left="1260"/>
        <w:jc w:val="both"/>
        <w:rPr>
          <w:rFonts w:ascii="Arial" w:hAnsi="Arial" w:cs="Arial"/>
          <w:sz w:val="22"/>
          <w:szCs w:val="22"/>
        </w:rPr>
      </w:pPr>
    </w:p>
    <w:p w14:paraId="45B06AD5"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primary objectives of the unapproved latest LP are as follows:</w:t>
      </w:r>
    </w:p>
    <w:p w14:paraId="1BFF44D3" w14:textId="77777777" w:rsidR="007D7EEA" w:rsidRPr="0096065B" w:rsidRDefault="007D7EEA" w:rsidP="0096065B">
      <w:pPr>
        <w:pStyle w:val="NormalWeb"/>
        <w:spacing w:before="0" w:beforeAutospacing="0" w:after="0" w:afterAutospacing="0"/>
        <w:ind w:left="1260"/>
        <w:jc w:val="both"/>
        <w:rPr>
          <w:rFonts w:ascii="Arial" w:hAnsi="Arial" w:cs="Arial"/>
          <w:sz w:val="22"/>
          <w:szCs w:val="22"/>
        </w:rPr>
      </w:pPr>
    </w:p>
    <w:p w14:paraId="2B000528" w14:textId="77777777" w:rsidR="007D7EEA" w:rsidRPr="0096065B" w:rsidRDefault="00DD2A4D" w:rsidP="0096065B">
      <w:pPr>
        <w:pStyle w:val="NormalWeb"/>
        <w:numPr>
          <w:ilvl w:val="0"/>
          <w:numId w:val="38"/>
        </w:numPr>
        <w:spacing w:before="0" w:beforeAutospacing="0" w:after="0" w:afterAutospacing="0"/>
        <w:ind w:left="1627"/>
        <w:jc w:val="both"/>
        <w:rPr>
          <w:rFonts w:ascii="Arial" w:hAnsi="Arial" w:cs="Arial"/>
          <w:sz w:val="22"/>
          <w:szCs w:val="22"/>
        </w:rPr>
      </w:pPr>
      <w:r w:rsidRPr="0096065B">
        <w:rPr>
          <w:rFonts w:ascii="Arial" w:hAnsi="Arial" w:cs="Arial"/>
          <w:sz w:val="22"/>
          <w:szCs w:val="22"/>
        </w:rPr>
        <w:t>Full implementation of accelerated refund of MCs until 2022; and</w:t>
      </w:r>
    </w:p>
    <w:p w14:paraId="3AD29358" w14:textId="77777777" w:rsidR="007D7EEA" w:rsidRPr="0096065B" w:rsidRDefault="00DD2A4D" w:rsidP="0096065B">
      <w:pPr>
        <w:pStyle w:val="NormalWeb"/>
        <w:numPr>
          <w:ilvl w:val="0"/>
          <w:numId w:val="38"/>
        </w:numPr>
        <w:spacing w:before="0" w:beforeAutospacing="0" w:after="0" w:afterAutospacing="0"/>
        <w:ind w:left="1627"/>
        <w:jc w:val="both"/>
        <w:rPr>
          <w:rFonts w:ascii="Arial" w:hAnsi="Arial" w:cs="Arial"/>
          <w:sz w:val="22"/>
          <w:szCs w:val="22"/>
        </w:rPr>
      </w:pPr>
      <w:r w:rsidRPr="0096065B">
        <w:rPr>
          <w:rFonts w:ascii="Arial" w:hAnsi="Arial" w:cs="Arial"/>
          <w:sz w:val="22"/>
          <w:szCs w:val="22"/>
        </w:rPr>
        <w:t>Initiation of the transfer process for the remaining assets of AFPRSBS to DND and AFP.</w:t>
      </w:r>
    </w:p>
    <w:p w14:paraId="3B6B5935" w14:textId="77777777" w:rsidR="007D7EEA" w:rsidRPr="0096065B" w:rsidRDefault="007D7EEA" w:rsidP="0096065B">
      <w:pPr>
        <w:pStyle w:val="NormalWeb"/>
        <w:spacing w:before="0" w:beforeAutospacing="0" w:after="0" w:afterAutospacing="0"/>
        <w:ind w:left="1980"/>
        <w:jc w:val="both"/>
        <w:rPr>
          <w:rFonts w:ascii="Arial" w:hAnsi="Arial" w:cs="Arial"/>
          <w:sz w:val="22"/>
          <w:szCs w:val="22"/>
        </w:rPr>
      </w:pPr>
    </w:p>
    <w:p w14:paraId="204A0F9C"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Moreover, to achieve such objectives, the following strategies shall be pursued within the liquidation period which should end on </w:t>
      </w:r>
      <w:r w:rsidRPr="0096065B">
        <w:rPr>
          <w:rFonts w:ascii="Arial" w:hAnsi="Arial" w:cs="Arial"/>
          <w:sz w:val="22"/>
          <w:szCs w:val="22"/>
        </w:rPr>
        <w:br/>
        <w:t>December 31, 2022:</w:t>
      </w:r>
    </w:p>
    <w:p w14:paraId="5445A6D7" w14:textId="77777777" w:rsidR="007D7EEA" w:rsidRPr="0096065B" w:rsidRDefault="007D7EEA" w:rsidP="0096065B">
      <w:pPr>
        <w:pStyle w:val="NormalWeb"/>
        <w:spacing w:before="0" w:beforeAutospacing="0" w:after="0" w:afterAutospacing="0"/>
        <w:ind w:left="1260"/>
        <w:jc w:val="both"/>
        <w:rPr>
          <w:rFonts w:ascii="Arial" w:hAnsi="Arial" w:cs="Arial"/>
          <w:sz w:val="22"/>
          <w:szCs w:val="22"/>
        </w:rPr>
      </w:pPr>
    </w:p>
    <w:p w14:paraId="0F1E77C6" w14:textId="77777777" w:rsidR="007D7EEA" w:rsidRPr="0096065B" w:rsidRDefault="00DD2A4D" w:rsidP="0096065B">
      <w:pPr>
        <w:pStyle w:val="NormalWeb"/>
        <w:numPr>
          <w:ilvl w:val="0"/>
          <w:numId w:val="39"/>
        </w:numPr>
        <w:spacing w:before="0" w:beforeAutospacing="0" w:after="0" w:afterAutospacing="0"/>
        <w:ind w:left="1627"/>
        <w:jc w:val="both"/>
        <w:rPr>
          <w:rFonts w:ascii="Arial" w:hAnsi="Arial" w:cs="Arial"/>
          <w:sz w:val="22"/>
          <w:szCs w:val="22"/>
        </w:rPr>
      </w:pPr>
      <w:r w:rsidRPr="0096065B">
        <w:rPr>
          <w:rFonts w:ascii="Arial" w:hAnsi="Arial" w:cs="Arial"/>
          <w:sz w:val="22"/>
          <w:szCs w:val="22"/>
        </w:rPr>
        <w:t>Liquidation of some assets to sustain operations until turn-over of remaining assets;</w:t>
      </w:r>
    </w:p>
    <w:p w14:paraId="1EE5AF76" w14:textId="77777777" w:rsidR="007D7EEA" w:rsidRPr="0096065B" w:rsidRDefault="00DD2A4D" w:rsidP="0096065B">
      <w:pPr>
        <w:pStyle w:val="NormalWeb"/>
        <w:numPr>
          <w:ilvl w:val="0"/>
          <w:numId w:val="39"/>
        </w:numPr>
        <w:spacing w:before="0" w:beforeAutospacing="0" w:after="0" w:afterAutospacing="0"/>
        <w:ind w:left="1627"/>
        <w:jc w:val="both"/>
        <w:rPr>
          <w:rFonts w:ascii="Arial" w:hAnsi="Arial" w:cs="Arial"/>
          <w:sz w:val="22"/>
          <w:szCs w:val="22"/>
        </w:rPr>
      </w:pPr>
      <w:r w:rsidRPr="0096065B">
        <w:rPr>
          <w:rFonts w:ascii="Arial" w:hAnsi="Arial" w:cs="Arial"/>
          <w:sz w:val="22"/>
          <w:szCs w:val="22"/>
        </w:rPr>
        <w:t>Preparation of inventory and accounting of records for terminal audit;</w:t>
      </w:r>
    </w:p>
    <w:p w14:paraId="6C89151C" w14:textId="77777777" w:rsidR="007D7EEA" w:rsidRPr="0096065B" w:rsidRDefault="00DD2A4D" w:rsidP="0096065B">
      <w:pPr>
        <w:pStyle w:val="NormalWeb"/>
        <w:numPr>
          <w:ilvl w:val="0"/>
          <w:numId w:val="39"/>
        </w:numPr>
        <w:spacing w:before="0" w:beforeAutospacing="0" w:after="0" w:afterAutospacing="0"/>
        <w:ind w:left="1627"/>
        <w:jc w:val="both"/>
        <w:rPr>
          <w:rFonts w:ascii="Arial" w:hAnsi="Arial" w:cs="Arial"/>
          <w:sz w:val="22"/>
          <w:szCs w:val="22"/>
        </w:rPr>
      </w:pPr>
      <w:r w:rsidRPr="0096065B">
        <w:rPr>
          <w:rFonts w:ascii="Arial" w:hAnsi="Arial" w:cs="Arial"/>
          <w:sz w:val="22"/>
          <w:szCs w:val="22"/>
        </w:rPr>
        <w:t>Preservation of remaining assets until disposal or turn-over;</w:t>
      </w:r>
    </w:p>
    <w:p w14:paraId="61FBCBCE" w14:textId="77777777" w:rsidR="007D7EEA" w:rsidRPr="0096065B" w:rsidRDefault="00DD2A4D" w:rsidP="0096065B">
      <w:pPr>
        <w:pStyle w:val="NormalWeb"/>
        <w:numPr>
          <w:ilvl w:val="0"/>
          <w:numId w:val="39"/>
        </w:numPr>
        <w:spacing w:before="0" w:beforeAutospacing="0" w:after="0" w:afterAutospacing="0"/>
        <w:ind w:left="1627"/>
        <w:jc w:val="both"/>
        <w:rPr>
          <w:rFonts w:ascii="Arial" w:hAnsi="Arial" w:cs="Arial"/>
          <w:sz w:val="22"/>
          <w:szCs w:val="22"/>
        </w:rPr>
      </w:pPr>
      <w:r w:rsidRPr="0096065B">
        <w:rPr>
          <w:rFonts w:ascii="Arial" w:hAnsi="Arial" w:cs="Arial"/>
          <w:sz w:val="22"/>
          <w:szCs w:val="22"/>
        </w:rPr>
        <w:t>Immediate separation of employees whose functions are no longer required; and</w:t>
      </w:r>
    </w:p>
    <w:p w14:paraId="13C688C3" w14:textId="77777777" w:rsidR="007D7EEA" w:rsidRPr="0096065B" w:rsidRDefault="00DD2A4D" w:rsidP="0096065B">
      <w:pPr>
        <w:pStyle w:val="NormalWeb"/>
        <w:numPr>
          <w:ilvl w:val="0"/>
          <w:numId w:val="39"/>
        </w:numPr>
        <w:spacing w:before="0" w:beforeAutospacing="0" w:after="0" w:afterAutospacing="0"/>
        <w:ind w:left="1627"/>
        <w:jc w:val="both"/>
        <w:rPr>
          <w:rFonts w:ascii="Arial" w:hAnsi="Arial" w:cs="Arial"/>
          <w:sz w:val="22"/>
          <w:szCs w:val="22"/>
        </w:rPr>
      </w:pPr>
      <w:r w:rsidRPr="0096065B">
        <w:rPr>
          <w:rFonts w:ascii="Arial" w:hAnsi="Arial" w:cs="Arial"/>
          <w:sz w:val="22"/>
          <w:szCs w:val="22"/>
        </w:rPr>
        <w:t>Turn-over to DND and AFP all remaining assets of AFPRSBS including skeletal structure who shall assist in management of remaining assets.</w:t>
      </w:r>
    </w:p>
    <w:p w14:paraId="42795C09" w14:textId="77777777" w:rsidR="007D7EEA" w:rsidRPr="0096065B" w:rsidRDefault="007D7EEA" w:rsidP="0096065B">
      <w:pPr>
        <w:pStyle w:val="NormalWeb"/>
        <w:spacing w:before="0" w:beforeAutospacing="0" w:after="0" w:afterAutospacing="0"/>
        <w:ind w:left="1260"/>
        <w:jc w:val="both"/>
        <w:rPr>
          <w:rFonts w:ascii="Arial" w:hAnsi="Arial" w:cs="Arial"/>
          <w:sz w:val="22"/>
          <w:szCs w:val="22"/>
          <w:highlight w:val="yellow"/>
        </w:rPr>
      </w:pPr>
    </w:p>
    <w:p w14:paraId="44CC8BC7"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 relation thereto, the Audit Team reviewed the minutes of the BOL meetings in CY 2022.  As discussed thereof, one of the reasons for the non-submission of an updated LP to the GCG is that other government agencies are interested in the remaining assets of the AFPRSBS. The Management would like to communicate with the Office of the President and propose an amendment to MO No. 90, wherein upon the liquidation of AFPRSBS, the remaining assets should be transferred to an agency under the control of the DND since its funds are sourced from the contributions of soldiers and its members.</w:t>
      </w:r>
    </w:p>
    <w:p w14:paraId="761B2835" w14:textId="77777777" w:rsidR="007D7EEA" w:rsidRPr="0096065B" w:rsidRDefault="007D7EEA" w:rsidP="0096065B">
      <w:pPr>
        <w:spacing w:after="0" w:line="240" w:lineRule="auto"/>
        <w:ind w:left="1267" w:hanging="691"/>
        <w:jc w:val="both"/>
        <w:rPr>
          <w:rFonts w:ascii="Arial" w:hAnsi="Arial" w:cs="Arial"/>
        </w:rPr>
      </w:pPr>
    </w:p>
    <w:p w14:paraId="0AE26E12"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Further, the non-submission to the GCG of an updated LP as well as updates on the status of assets liquidated, may hinder the technical guidance that the </w:t>
      </w:r>
      <w:r w:rsidRPr="0096065B">
        <w:rPr>
          <w:rFonts w:ascii="Arial" w:hAnsi="Arial" w:cs="Arial"/>
          <w:sz w:val="22"/>
          <w:szCs w:val="22"/>
        </w:rPr>
        <w:lastRenderedPageBreak/>
        <w:t>latter can offer in relation to the AFPRSBS' liquidation process.  This practice is not consistent with MO No. 90 and RA No. 10149.  Thus, ultimately contributes to the delay of its liquidation.</w:t>
      </w:r>
    </w:p>
    <w:p w14:paraId="2BA562E9" w14:textId="2098C3D0" w:rsidR="007D7EEA" w:rsidRDefault="007D7EEA" w:rsidP="0096065B">
      <w:pPr>
        <w:spacing w:line="240" w:lineRule="auto"/>
        <w:contextualSpacing/>
        <w:jc w:val="both"/>
        <w:rPr>
          <w:rFonts w:ascii="Arial" w:hAnsi="Arial" w:cs="Arial"/>
        </w:rPr>
      </w:pPr>
    </w:p>
    <w:p w14:paraId="02D04B3B" w14:textId="77777777" w:rsidR="007D7EEA" w:rsidRPr="0096065B" w:rsidRDefault="00DD2A4D" w:rsidP="0096065B">
      <w:pPr>
        <w:spacing w:after="0" w:line="240" w:lineRule="auto"/>
        <w:ind w:left="576"/>
        <w:jc w:val="both"/>
        <w:rPr>
          <w:rFonts w:ascii="Arial" w:hAnsi="Arial" w:cs="Arial"/>
          <w:i/>
        </w:rPr>
      </w:pPr>
      <w:r w:rsidRPr="0096065B">
        <w:rPr>
          <w:rFonts w:ascii="Arial" w:hAnsi="Arial" w:cs="Arial"/>
          <w:i/>
        </w:rPr>
        <w:t>Absence of clearance from the GCG to dispose major assets through public bidding</w:t>
      </w:r>
    </w:p>
    <w:p w14:paraId="0BE2CDF5" w14:textId="77777777" w:rsidR="007D7EEA" w:rsidRPr="0096065B" w:rsidRDefault="007D7EEA" w:rsidP="0096065B">
      <w:pPr>
        <w:spacing w:after="0" w:line="240" w:lineRule="auto"/>
        <w:ind w:right="5341"/>
        <w:jc w:val="both"/>
        <w:rPr>
          <w:rFonts w:ascii="Arial" w:hAnsi="Arial" w:cs="Arial"/>
          <w:i/>
        </w:rPr>
      </w:pPr>
    </w:p>
    <w:p w14:paraId="1703FA57"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iCs/>
          <w:sz w:val="22"/>
          <w:szCs w:val="22"/>
        </w:rPr>
      </w:pPr>
      <w:r w:rsidRPr="0096065B">
        <w:rPr>
          <w:rFonts w:ascii="Arial" w:hAnsi="Arial" w:cs="Arial"/>
          <w:iCs/>
          <w:sz w:val="22"/>
          <w:szCs w:val="22"/>
        </w:rPr>
        <w:t xml:space="preserve">The Audit Team observed that the absence of clearance from the GCG is one of the limitations encountered by the Management in the disposal of its major assets through public bidding. </w:t>
      </w:r>
    </w:p>
    <w:p w14:paraId="0EA786E8" w14:textId="77777777" w:rsidR="007D7EEA" w:rsidRPr="0096065B" w:rsidRDefault="007D7EEA" w:rsidP="0096065B">
      <w:pPr>
        <w:spacing w:after="0" w:line="240" w:lineRule="auto"/>
        <w:contextualSpacing/>
        <w:jc w:val="both"/>
        <w:rPr>
          <w:rFonts w:ascii="Arial" w:hAnsi="Arial" w:cs="Arial"/>
          <w:iCs/>
        </w:rPr>
      </w:pPr>
    </w:p>
    <w:p w14:paraId="4BEF3C6C"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In the review of BOL’s minutes of meetings as at December 31, 2022, the Audit Team noted that for those properties sold on retail, the sale price is the market value or the assessed value of the properties in the area.  However, for the sale of major assets through public bidding, the Management need to seek a clearance from the GCG aside from incurring additional expenses for the procurement of services of an independent appraiser. </w:t>
      </w:r>
    </w:p>
    <w:p w14:paraId="33EDDE07" w14:textId="77777777" w:rsidR="007D7EEA" w:rsidRPr="0096065B" w:rsidRDefault="007D7EEA" w:rsidP="0096065B">
      <w:pPr>
        <w:spacing w:after="0" w:line="240" w:lineRule="auto"/>
        <w:contextualSpacing/>
        <w:jc w:val="both"/>
        <w:rPr>
          <w:rFonts w:ascii="Arial" w:hAnsi="Arial" w:cs="Arial"/>
        </w:rPr>
      </w:pPr>
    </w:p>
    <w:p w14:paraId="476B8C28"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absence of the required clearance is attributed to the GCG’s requirement that the property subject of sale thru public bidding be re-appraised. However, based on our inquiry with Management, the requirement of re-appraisal is not cost-efficient on the part of the AFPRSBS and could be detrimental to the interested buyer/s since the GCG’s requirement coincides with the negotiation stage of the sale where the appraised value may be different from the original appraised value.</w:t>
      </w:r>
    </w:p>
    <w:p w14:paraId="03ECBDAA" w14:textId="77777777" w:rsidR="007D7EEA" w:rsidRPr="0096065B" w:rsidRDefault="007D7EEA" w:rsidP="0096065B">
      <w:pPr>
        <w:spacing w:after="0" w:line="240" w:lineRule="auto"/>
        <w:contextualSpacing/>
        <w:jc w:val="both"/>
        <w:rPr>
          <w:rFonts w:ascii="Arial" w:hAnsi="Arial" w:cs="Arial"/>
        </w:rPr>
      </w:pPr>
    </w:p>
    <w:p w14:paraId="2C34E226"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Customarily, the appraised value is valid only for one CY.  Thus, if the bidding process takes more than a year, the previous year’s appraised value for the property to be disposed will no longer be valid.  Hence, re-appraisal and revaluation may be necessary due to any changes in the value of the property. As mentioned in the BOL minutes of meeting, the one-year validity of appraisal value is a requirement from the GCG. </w:t>
      </w:r>
    </w:p>
    <w:p w14:paraId="03D498E9" w14:textId="77777777" w:rsidR="007D7EEA" w:rsidRPr="0096065B" w:rsidRDefault="007D7EEA" w:rsidP="0096065B">
      <w:pPr>
        <w:spacing w:after="0" w:line="240" w:lineRule="auto"/>
        <w:ind w:firstLine="720"/>
        <w:contextualSpacing/>
        <w:jc w:val="both"/>
        <w:rPr>
          <w:rFonts w:ascii="Arial" w:hAnsi="Arial" w:cs="Arial"/>
        </w:rPr>
      </w:pPr>
    </w:p>
    <w:p w14:paraId="0DFAD29A"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As a result, to prevent the cost of re-appraisals, the Management is forced to undertake the appraisal of its properties only once there are interested buyers.  Furthermore, the Management had already expressed its contention to the GCG on the matter.</w:t>
      </w:r>
    </w:p>
    <w:p w14:paraId="6A6E1B02" w14:textId="77777777" w:rsidR="007D7EEA" w:rsidRPr="0096065B" w:rsidRDefault="007D7EEA" w:rsidP="0096065B">
      <w:pPr>
        <w:spacing w:after="0" w:line="240" w:lineRule="auto"/>
        <w:contextualSpacing/>
        <w:rPr>
          <w:rFonts w:ascii="Arial" w:hAnsi="Arial" w:cs="Arial"/>
        </w:rPr>
      </w:pPr>
    </w:p>
    <w:p w14:paraId="1D0F1D5B" w14:textId="77777777" w:rsidR="007D7EEA" w:rsidRPr="0096065B" w:rsidRDefault="00DD2A4D" w:rsidP="0096065B">
      <w:pPr>
        <w:spacing w:after="0" w:line="240" w:lineRule="auto"/>
        <w:ind w:left="576"/>
        <w:jc w:val="both"/>
        <w:rPr>
          <w:rFonts w:ascii="Arial" w:hAnsi="Arial" w:cs="Arial"/>
          <w:i/>
        </w:rPr>
      </w:pPr>
      <w:bookmarkStart w:id="14" w:name="_Hlk129351937"/>
      <w:r w:rsidRPr="0096065B">
        <w:rPr>
          <w:rFonts w:ascii="Arial" w:hAnsi="Arial" w:cs="Arial"/>
          <w:i/>
        </w:rPr>
        <w:t>Absence of cut-off date to close the books of accounts and material misstatements of the various account balances in the FS</w:t>
      </w:r>
    </w:p>
    <w:p w14:paraId="67E5E8AC" w14:textId="77777777" w:rsidR="007D7EEA" w:rsidRPr="0096065B" w:rsidRDefault="007D7EEA" w:rsidP="0096065B">
      <w:pPr>
        <w:spacing w:after="0" w:line="240" w:lineRule="auto"/>
        <w:contextualSpacing/>
        <w:rPr>
          <w:rFonts w:ascii="Arial" w:hAnsi="Arial" w:cs="Arial"/>
          <w:i/>
        </w:rPr>
      </w:pPr>
    </w:p>
    <w:p w14:paraId="7A1C0CA9"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Section 4 of COA Circular No. 92-375 provide:</w:t>
      </w:r>
    </w:p>
    <w:p w14:paraId="211EAB1A" w14:textId="77777777" w:rsidR="007D7EEA" w:rsidRPr="0096065B" w:rsidRDefault="007D7EEA" w:rsidP="0096065B">
      <w:pPr>
        <w:tabs>
          <w:tab w:val="left" w:pos="1080"/>
        </w:tabs>
        <w:spacing w:line="240" w:lineRule="auto"/>
        <w:ind w:left="1080"/>
        <w:contextualSpacing/>
        <w:rPr>
          <w:rFonts w:ascii="Arial" w:hAnsi="Arial" w:cs="Arial"/>
        </w:rPr>
      </w:pPr>
    </w:p>
    <w:p w14:paraId="3096DA17" w14:textId="77777777" w:rsidR="007D7EEA" w:rsidRPr="0096065B" w:rsidRDefault="00DD2A4D" w:rsidP="0096065B">
      <w:pPr>
        <w:spacing w:after="0" w:line="240" w:lineRule="auto"/>
        <w:ind w:left="1728" w:right="432"/>
        <w:contextualSpacing/>
        <w:jc w:val="both"/>
        <w:rPr>
          <w:rFonts w:ascii="Arial" w:hAnsi="Arial" w:cs="Arial"/>
          <w:i/>
        </w:rPr>
      </w:pPr>
      <w:r w:rsidRPr="0096065B">
        <w:rPr>
          <w:rFonts w:ascii="Arial" w:hAnsi="Arial" w:cs="Arial"/>
          <w:i/>
        </w:rPr>
        <w:t xml:space="preserve">Section 4 - </w:t>
      </w:r>
      <w:r w:rsidRPr="0096065B">
        <w:rPr>
          <w:rFonts w:ascii="Arial" w:hAnsi="Arial" w:cs="Arial"/>
          <w:b/>
          <w:i/>
        </w:rPr>
        <w:t>The cut-off date to effect the transfer of balances of accounts from the old to the new agency is the effective date of abolition, transfer, merger, consolidation or sub-division pursuant to the provisions of law</w:t>
      </w:r>
      <w:r w:rsidRPr="0096065B">
        <w:rPr>
          <w:rFonts w:ascii="Arial" w:hAnsi="Arial" w:cs="Arial"/>
          <w:i/>
        </w:rPr>
        <w:t xml:space="preserve">.  However, for purposes of reconciliation, consolidation, adjustment, closing of books of accounts of the old agency and opening of books of accounts of the new agency, a </w:t>
      </w:r>
      <w:r w:rsidRPr="0096065B">
        <w:rPr>
          <w:rFonts w:ascii="Arial" w:hAnsi="Arial" w:cs="Arial"/>
          <w:i/>
          <w:lang w:eastAsia="en-PH"/>
        </w:rPr>
        <w:t>maximum</w:t>
      </w:r>
      <w:r w:rsidRPr="0096065B">
        <w:rPr>
          <w:rFonts w:ascii="Arial" w:hAnsi="Arial" w:cs="Arial"/>
          <w:i/>
        </w:rPr>
        <w:t xml:space="preserve"> of six (6) months transitory period from the cut-off date shall be allowed to effect such transfer.</w:t>
      </w:r>
    </w:p>
    <w:p w14:paraId="26396F6F" w14:textId="77777777" w:rsidR="007D7EEA" w:rsidRPr="0096065B" w:rsidRDefault="007D7EEA" w:rsidP="0096065B">
      <w:pPr>
        <w:spacing w:after="0" w:line="240" w:lineRule="auto"/>
        <w:ind w:left="1710" w:right="432"/>
        <w:contextualSpacing/>
        <w:jc w:val="both"/>
        <w:rPr>
          <w:rFonts w:ascii="Arial" w:hAnsi="Arial" w:cs="Arial"/>
          <w:i/>
        </w:rPr>
      </w:pPr>
    </w:p>
    <w:p w14:paraId="0474CF51"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lastRenderedPageBreak/>
        <w:t>Likewise, GCG MC No. 2015-03 dated April 8, 2015 provide:</w:t>
      </w:r>
    </w:p>
    <w:p w14:paraId="32F22AA4" w14:textId="77777777" w:rsidR="005B16E8" w:rsidRDefault="005B16E8" w:rsidP="0096065B">
      <w:pPr>
        <w:spacing w:after="0" w:line="240" w:lineRule="auto"/>
        <w:ind w:left="1710" w:right="432"/>
        <w:contextualSpacing/>
        <w:jc w:val="both"/>
        <w:rPr>
          <w:rFonts w:ascii="Arial" w:hAnsi="Arial" w:cs="Arial"/>
          <w:i/>
        </w:rPr>
      </w:pPr>
    </w:p>
    <w:p w14:paraId="51600AA2" w14:textId="49573DFF" w:rsidR="007D7EEA" w:rsidRPr="00282549" w:rsidRDefault="00DD2A4D" w:rsidP="0096065B">
      <w:pPr>
        <w:spacing w:after="0" w:line="240" w:lineRule="auto"/>
        <w:ind w:left="1710" w:right="432"/>
        <w:contextualSpacing/>
        <w:jc w:val="both"/>
        <w:rPr>
          <w:rFonts w:ascii="Arial" w:hAnsi="Arial" w:cs="Arial"/>
          <w:i/>
        </w:rPr>
      </w:pPr>
      <w:r w:rsidRPr="00282549">
        <w:rPr>
          <w:rFonts w:ascii="Arial" w:hAnsi="Arial" w:cs="Arial"/>
          <w:i/>
        </w:rPr>
        <w:t>Xxx</w:t>
      </w:r>
    </w:p>
    <w:p w14:paraId="6C84B7D3" w14:textId="77777777" w:rsidR="007D7EEA" w:rsidRPr="0096065B" w:rsidRDefault="007D7EEA" w:rsidP="0096065B">
      <w:pPr>
        <w:tabs>
          <w:tab w:val="left" w:pos="1080"/>
        </w:tabs>
        <w:spacing w:after="0" w:line="240" w:lineRule="auto"/>
        <w:ind w:left="1728" w:right="432"/>
        <w:contextualSpacing/>
        <w:rPr>
          <w:rFonts w:ascii="Arial" w:hAnsi="Arial" w:cs="Arial"/>
        </w:rPr>
      </w:pPr>
    </w:p>
    <w:p w14:paraId="3A8D04BA" w14:textId="77777777" w:rsidR="007D7EEA" w:rsidRPr="0096065B" w:rsidRDefault="00DD2A4D" w:rsidP="000966CD">
      <w:pPr>
        <w:pStyle w:val="ListParagraph"/>
        <w:numPr>
          <w:ilvl w:val="0"/>
          <w:numId w:val="4"/>
        </w:numPr>
        <w:ind w:left="2088" w:right="432" w:hanging="387"/>
        <w:jc w:val="both"/>
        <w:rPr>
          <w:rFonts w:ascii="Arial" w:hAnsi="Arial" w:cs="Arial"/>
          <w:i/>
          <w:sz w:val="22"/>
          <w:szCs w:val="22"/>
        </w:rPr>
      </w:pPr>
      <w:r w:rsidRPr="0096065B">
        <w:rPr>
          <w:rFonts w:ascii="Arial" w:hAnsi="Arial" w:cs="Arial"/>
          <w:i/>
          <w:sz w:val="22"/>
          <w:szCs w:val="22"/>
        </w:rPr>
        <w:t xml:space="preserve">Dissolution, which is the point in time when a GOCC </w:t>
      </w:r>
      <w:r w:rsidRPr="0096065B">
        <w:rPr>
          <w:rFonts w:ascii="Arial" w:hAnsi="Arial" w:cs="Arial"/>
          <w:bCs/>
          <w:i/>
          <w:sz w:val="22"/>
          <w:szCs w:val="22"/>
        </w:rPr>
        <w:t>ceases to exist as a going concern</w:t>
      </w:r>
      <w:r w:rsidRPr="0096065B">
        <w:rPr>
          <w:rFonts w:ascii="Arial" w:hAnsi="Arial" w:cs="Arial"/>
          <w:b/>
          <w:bCs/>
          <w:i/>
          <w:sz w:val="22"/>
          <w:szCs w:val="22"/>
        </w:rPr>
        <w:t xml:space="preserve"> </w:t>
      </w:r>
      <w:r w:rsidRPr="0096065B">
        <w:rPr>
          <w:rFonts w:ascii="Arial" w:hAnsi="Arial" w:cs="Arial"/>
          <w:i/>
          <w:sz w:val="22"/>
          <w:szCs w:val="22"/>
        </w:rPr>
        <w:t xml:space="preserve">or for pursuit of its business purpose, and its juridical capacity remains only for purposes of winding-down its affairs and the liquidation of its assets. </w:t>
      </w:r>
      <w:r w:rsidRPr="0096065B">
        <w:rPr>
          <w:rFonts w:ascii="Arial" w:hAnsi="Arial" w:cs="Arial"/>
          <w:b/>
          <w:i/>
          <w:sz w:val="22"/>
          <w:szCs w:val="22"/>
        </w:rPr>
        <w:t>The date of dissolution shall be effective upon the issuance of the President’s approval of the Governance Commission’s recommendation to abolish a GOCC.</w:t>
      </w:r>
      <w:r w:rsidRPr="0096065B">
        <w:rPr>
          <w:rFonts w:ascii="Arial" w:hAnsi="Arial" w:cs="Arial"/>
          <w:i/>
          <w:sz w:val="22"/>
          <w:szCs w:val="22"/>
        </w:rPr>
        <w:t xml:space="preserve"> </w:t>
      </w:r>
      <w:r w:rsidRPr="0096065B">
        <w:rPr>
          <w:rFonts w:ascii="Arial" w:hAnsi="Arial" w:cs="Arial"/>
          <w:sz w:val="22"/>
          <w:szCs w:val="22"/>
        </w:rPr>
        <w:t>(Emphasis supplied)</w:t>
      </w:r>
    </w:p>
    <w:p w14:paraId="4EFB1CC6" w14:textId="77777777" w:rsidR="007D7EEA" w:rsidRPr="0096065B" w:rsidRDefault="00DD2A4D" w:rsidP="0096065B">
      <w:pPr>
        <w:spacing w:after="0" w:line="240" w:lineRule="auto"/>
        <w:contextualSpacing/>
        <w:rPr>
          <w:rFonts w:ascii="Arial" w:hAnsi="Arial" w:cs="Arial"/>
        </w:rPr>
      </w:pPr>
      <w:r w:rsidRPr="0096065B">
        <w:rPr>
          <w:rFonts w:ascii="Arial" w:hAnsi="Arial" w:cs="Arial"/>
        </w:rPr>
        <w:tab/>
      </w:r>
    </w:p>
    <w:p w14:paraId="128BC388"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Pursuant to MO No. 90, Section 4 of COA Circular No. 92-375 and GCG MC No. 2015-03, the effective cut-off date for AFPRSBS to close its books of accounts was December 31, 2016. However, as at December 31, 2022, there is no officially declared agency that will absorb/receive the assets of AFPRSBS. Hence, the procedures and guidelines set forth in the aforementioned COA Circular cannot be performed.</w:t>
      </w:r>
    </w:p>
    <w:p w14:paraId="16D8E597" w14:textId="77777777" w:rsidR="007D7EEA" w:rsidRPr="0096065B" w:rsidRDefault="007D7EEA" w:rsidP="0096065B">
      <w:pPr>
        <w:spacing w:after="0" w:line="240" w:lineRule="auto"/>
        <w:jc w:val="both"/>
        <w:rPr>
          <w:rFonts w:ascii="Arial" w:hAnsi="Arial" w:cs="Arial"/>
        </w:rPr>
      </w:pPr>
    </w:p>
    <w:p w14:paraId="19EC99A4" w14:textId="1FC6FB05"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Moreover, due to the abolition of the AFPRSBS, the Audit Team recommended that Management present and adopt the liquidation basis of accounting for the FS ending December 31, 2022. Consequently, the account balances of Investment in real estate – </w:t>
      </w:r>
      <w:proofErr w:type="spellStart"/>
      <w:r w:rsidRPr="0096065B">
        <w:rPr>
          <w:rFonts w:ascii="Arial" w:hAnsi="Arial" w:cs="Arial"/>
          <w:sz w:val="22"/>
          <w:szCs w:val="22"/>
        </w:rPr>
        <w:t>landbanking</w:t>
      </w:r>
      <w:proofErr w:type="spellEnd"/>
      <w:r w:rsidRPr="0096065B">
        <w:rPr>
          <w:rFonts w:ascii="Arial" w:hAnsi="Arial" w:cs="Arial"/>
          <w:sz w:val="22"/>
          <w:szCs w:val="22"/>
        </w:rPr>
        <w:t xml:space="preserve"> and industrial park and Acquired assets totaling P2.</w:t>
      </w:r>
      <w:r w:rsidR="00E72C9F" w:rsidRPr="0096065B">
        <w:rPr>
          <w:rFonts w:ascii="Arial" w:hAnsi="Arial" w:cs="Arial"/>
          <w:sz w:val="22"/>
          <w:szCs w:val="22"/>
        </w:rPr>
        <w:t xml:space="preserve">092 </w:t>
      </w:r>
      <w:r w:rsidRPr="0096065B">
        <w:rPr>
          <w:rFonts w:ascii="Arial" w:hAnsi="Arial" w:cs="Arial"/>
          <w:sz w:val="22"/>
          <w:szCs w:val="22"/>
        </w:rPr>
        <w:t>billion should be measured at the lower of its carrying amount or fair value less cost to sell in accordance with Paragraph 15 of PFRS 5. In addition, AOs were issued pertaining to the unreconciled variances between the GL and SL of PE against the RPCPPE; and unreconciled variances on Real estate inventories between total land area per records against the actual inventory of TCTs.</w:t>
      </w:r>
    </w:p>
    <w:p w14:paraId="2F98A704" w14:textId="77777777" w:rsidR="00DF0D75" w:rsidRPr="0096065B" w:rsidRDefault="00DF0D75" w:rsidP="0096065B">
      <w:pPr>
        <w:pStyle w:val="NormalWeb"/>
        <w:spacing w:before="0" w:beforeAutospacing="0" w:after="0" w:afterAutospacing="0"/>
        <w:ind w:left="1260"/>
        <w:jc w:val="both"/>
        <w:rPr>
          <w:rFonts w:ascii="Arial" w:hAnsi="Arial" w:cs="Arial"/>
          <w:sz w:val="22"/>
          <w:szCs w:val="22"/>
        </w:rPr>
      </w:pPr>
    </w:p>
    <w:p w14:paraId="2EEE15FC" w14:textId="77777777" w:rsidR="007D7EEA" w:rsidRPr="0096065B" w:rsidRDefault="00DD2A4D" w:rsidP="0096065B">
      <w:pPr>
        <w:spacing w:after="0" w:line="240" w:lineRule="auto"/>
        <w:ind w:left="576"/>
        <w:jc w:val="both"/>
        <w:rPr>
          <w:rFonts w:ascii="Arial" w:hAnsi="Arial" w:cs="Arial"/>
          <w:i/>
        </w:rPr>
      </w:pPr>
      <w:r w:rsidRPr="0096065B">
        <w:rPr>
          <w:rFonts w:ascii="Arial" w:hAnsi="Arial" w:cs="Arial"/>
          <w:i/>
        </w:rPr>
        <w:t xml:space="preserve">2018 approved LP was not strictly implemented and closely monitored </w:t>
      </w:r>
    </w:p>
    <w:p w14:paraId="7ECE2535" w14:textId="77777777" w:rsidR="007D7EEA" w:rsidRPr="0096065B" w:rsidRDefault="007D7EEA" w:rsidP="0096065B">
      <w:pPr>
        <w:spacing w:after="0" w:line="240" w:lineRule="auto"/>
        <w:contextualSpacing/>
        <w:jc w:val="both"/>
        <w:rPr>
          <w:rFonts w:ascii="Arial" w:hAnsi="Arial" w:cs="Arial"/>
        </w:rPr>
      </w:pPr>
    </w:p>
    <w:p w14:paraId="45765917"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On the other hand, the</w:t>
      </w:r>
      <w:r w:rsidRPr="0096065B">
        <w:rPr>
          <w:rFonts w:ascii="Arial" w:hAnsi="Arial" w:cs="Arial"/>
          <w:iCs/>
          <w:sz w:val="22"/>
          <w:szCs w:val="22"/>
        </w:rPr>
        <w:t xml:space="preserve"> Audit Team also noted that the 2018 approved LP was not strictly implemented and closely monitored which also contributed to the delay in the abolition/liquidation of the AFPRSBS. </w:t>
      </w:r>
    </w:p>
    <w:p w14:paraId="6844A47D" w14:textId="77777777" w:rsidR="007D7EEA" w:rsidRPr="0096065B" w:rsidRDefault="007D7EEA" w:rsidP="0096065B">
      <w:pPr>
        <w:pStyle w:val="NormalWeb"/>
        <w:spacing w:before="0" w:beforeAutospacing="0" w:after="0" w:afterAutospacing="0"/>
        <w:ind w:left="1260"/>
        <w:contextualSpacing/>
        <w:jc w:val="both"/>
        <w:rPr>
          <w:rFonts w:ascii="Arial" w:hAnsi="Arial" w:cs="Arial"/>
          <w:sz w:val="22"/>
          <w:szCs w:val="22"/>
        </w:rPr>
      </w:pPr>
    </w:p>
    <w:p w14:paraId="2C674726"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As stated in GCG MC No. 2015-03 the period of liquidation of a GOCC shall in no case exceed three (3) years pursuant to the Corporation Code. However, the GCG clarified in its letter dated March 29, 2019 that the three-year period to liquidate a dissolved corporation can be extended until the liquidation is fully completed. </w:t>
      </w:r>
    </w:p>
    <w:p w14:paraId="11213A53" w14:textId="77777777" w:rsidR="007D7EEA" w:rsidRPr="0096065B" w:rsidRDefault="007D7EEA" w:rsidP="0096065B">
      <w:pPr>
        <w:spacing w:after="0" w:line="240" w:lineRule="auto"/>
        <w:contextualSpacing/>
        <w:jc w:val="both"/>
        <w:rPr>
          <w:rFonts w:ascii="Arial" w:hAnsi="Arial" w:cs="Arial"/>
        </w:rPr>
      </w:pPr>
    </w:p>
    <w:p w14:paraId="42C73A80"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Audit Team also observed that six years after the issuance of MO No. 90, there is no significant movement yet in the action plans of the AFPRSBS. </w:t>
      </w:r>
    </w:p>
    <w:p w14:paraId="701C0AC0" w14:textId="77777777" w:rsidR="007D7EEA" w:rsidRPr="0096065B" w:rsidRDefault="007D7EEA" w:rsidP="0096065B">
      <w:pPr>
        <w:spacing w:after="0" w:line="240" w:lineRule="auto"/>
        <w:contextualSpacing/>
        <w:jc w:val="both"/>
        <w:rPr>
          <w:rFonts w:ascii="Arial" w:hAnsi="Arial" w:cs="Arial"/>
        </w:rPr>
      </w:pPr>
    </w:p>
    <w:p w14:paraId="7ED5682C" w14:textId="311669AE"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It was also observed that out of the P17.732 billion approved gross sales price of the assets to be liquidated, only P6.555 billion or 36.97 per cent had materialized.  The details of the initial LP dated June 30, 2018, submitted to and approved by GCG are presented in Table </w:t>
      </w:r>
      <w:r w:rsidR="00E4192B" w:rsidRPr="0096065B">
        <w:rPr>
          <w:rFonts w:ascii="Arial" w:hAnsi="Arial" w:cs="Arial"/>
          <w:sz w:val="22"/>
          <w:szCs w:val="22"/>
        </w:rPr>
        <w:t>11</w:t>
      </w:r>
      <w:r w:rsidRPr="0096065B">
        <w:rPr>
          <w:rFonts w:ascii="Arial" w:hAnsi="Arial" w:cs="Arial"/>
          <w:sz w:val="22"/>
          <w:szCs w:val="22"/>
        </w:rPr>
        <w:t xml:space="preserve">.1. </w:t>
      </w:r>
    </w:p>
    <w:p w14:paraId="5C0A6D13" w14:textId="77777777" w:rsidR="007D7EEA" w:rsidRPr="0096065B" w:rsidRDefault="007D7EEA" w:rsidP="0096065B">
      <w:pPr>
        <w:pStyle w:val="NormalWeb"/>
        <w:spacing w:before="0" w:beforeAutospacing="0" w:after="0" w:afterAutospacing="0"/>
        <w:ind w:left="1260"/>
        <w:jc w:val="both"/>
        <w:rPr>
          <w:rFonts w:ascii="Arial" w:hAnsi="Arial" w:cs="Arial"/>
          <w:sz w:val="22"/>
          <w:szCs w:val="22"/>
        </w:rPr>
      </w:pPr>
    </w:p>
    <w:p w14:paraId="1674F985" w14:textId="77777777" w:rsidR="005B16E8" w:rsidRDefault="005B16E8" w:rsidP="0096065B">
      <w:pPr>
        <w:pStyle w:val="NoSpacing"/>
        <w:ind w:left="1260"/>
        <w:jc w:val="center"/>
        <w:rPr>
          <w:rFonts w:ascii="Arial" w:hAnsi="Arial" w:cs="Arial"/>
          <w:b/>
        </w:rPr>
      </w:pPr>
    </w:p>
    <w:p w14:paraId="2E85D0B4" w14:textId="77777777" w:rsidR="005B16E8" w:rsidRDefault="005B16E8" w:rsidP="0096065B">
      <w:pPr>
        <w:pStyle w:val="NoSpacing"/>
        <w:ind w:left="1260"/>
        <w:jc w:val="center"/>
        <w:rPr>
          <w:rFonts w:ascii="Arial" w:hAnsi="Arial" w:cs="Arial"/>
          <w:b/>
        </w:rPr>
      </w:pPr>
    </w:p>
    <w:p w14:paraId="5ED0F608" w14:textId="77777777" w:rsidR="005B16E8" w:rsidRDefault="005B16E8" w:rsidP="0096065B">
      <w:pPr>
        <w:pStyle w:val="NoSpacing"/>
        <w:ind w:left="1260"/>
        <w:jc w:val="center"/>
        <w:rPr>
          <w:rFonts w:ascii="Arial" w:hAnsi="Arial" w:cs="Arial"/>
          <w:b/>
        </w:rPr>
      </w:pPr>
    </w:p>
    <w:p w14:paraId="17074CF1" w14:textId="5EA443FC" w:rsidR="007D7EEA" w:rsidRPr="005B16E8" w:rsidRDefault="00DD2A4D" w:rsidP="0096065B">
      <w:pPr>
        <w:pStyle w:val="NoSpacing"/>
        <w:ind w:left="1260"/>
        <w:jc w:val="center"/>
        <w:rPr>
          <w:rFonts w:ascii="Arial" w:hAnsi="Arial" w:cs="Arial"/>
          <w:b/>
        </w:rPr>
      </w:pPr>
      <w:r w:rsidRPr="0096065B">
        <w:rPr>
          <w:rFonts w:ascii="Arial" w:hAnsi="Arial" w:cs="Arial"/>
          <w:b/>
        </w:rPr>
        <w:t xml:space="preserve">Table </w:t>
      </w:r>
      <w:r w:rsidR="00873D69" w:rsidRPr="0096065B">
        <w:rPr>
          <w:rFonts w:ascii="Arial" w:hAnsi="Arial" w:cs="Arial"/>
          <w:b/>
        </w:rPr>
        <w:t>1</w:t>
      </w:r>
      <w:r w:rsidR="00E4192B" w:rsidRPr="0096065B">
        <w:rPr>
          <w:rFonts w:ascii="Arial" w:hAnsi="Arial" w:cs="Arial"/>
          <w:b/>
        </w:rPr>
        <w:t>1</w:t>
      </w:r>
      <w:r w:rsidRPr="0096065B">
        <w:rPr>
          <w:rFonts w:ascii="Arial" w:hAnsi="Arial" w:cs="Arial"/>
          <w:b/>
        </w:rPr>
        <w:t>.1 – Liquidation/Wi</w:t>
      </w:r>
      <w:r w:rsidRPr="005B16E8">
        <w:rPr>
          <w:rFonts w:ascii="Arial" w:hAnsi="Arial" w:cs="Arial"/>
          <w:b/>
        </w:rPr>
        <w:t>nding down Plan As approved by GCG</w:t>
      </w:r>
    </w:p>
    <w:p w14:paraId="0E1F87A1" w14:textId="77777777" w:rsidR="007D7EEA" w:rsidRPr="005B16E8" w:rsidRDefault="00DD2A4D" w:rsidP="0096065B">
      <w:pPr>
        <w:pStyle w:val="NoSpacing"/>
        <w:ind w:left="1260"/>
        <w:jc w:val="center"/>
        <w:rPr>
          <w:rFonts w:ascii="Arial" w:hAnsi="Arial" w:cs="Arial"/>
          <w:b/>
        </w:rPr>
      </w:pPr>
      <w:r w:rsidRPr="005B16E8">
        <w:rPr>
          <w:rFonts w:ascii="Arial" w:hAnsi="Arial" w:cs="Arial"/>
          <w:b/>
        </w:rPr>
        <w:t>As at June 30, 2018</w:t>
      </w:r>
    </w:p>
    <w:p w14:paraId="6AA2E94D" w14:textId="77777777" w:rsidR="007D7EEA" w:rsidRPr="005B16E8" w:rsidRDefault="007D7EEA" w:rsidP="0096065B">
      <w:pPr>
        <w:spacing w:line="240" w:lineRule="auto"/>
        <w:contextualSpacing/>
        <w:jc w:val="center"/>
        <w:rPr>
          <w:rFonts w:ascii="Arial" w:hAnsi="Arial" w:cs="Arial"/>
          <w:b/>
        </w:rPr>
      </w:pPr>
    </w:p>
    <w:p w14:paraId="06DD298F" w14:textId="77777777" w:rsidR="007D7EEA" w:rsidRPr="005B16E8" w:rsidRDefault="00DD2A4D" w:rsidP="0096065B">
      <w:pPr>
        <w:spacing w:after="0" w:line="240" w:lineRule="auto"/>
        <w:ind w:left="720" w:firstLine="630"/>
        <w:contextualSpacing/>
        <w:rPr>
          <w:rFonts w:ascii="Arial" w:hAnsi="Arial" w:cs="Arial"/>
        </w:rPr>
      </w:pPr>
      <w:r w:rsidRPr="005B16E8">
        <w:rPr>
          <w:rFonts w:ascii="Arial" w:hAnsi="Arial" w:cs="Arial"/>
        </w:rPr>
        <w:t xml:space="preserve">B. Current Status of Divestment of Assets </w:t>
      </w:r>
    </w:p>
    <w:p w14:paraId="6D900CB7" w14:textId="77777777" w:rsidR="007D7EEA" w:rsidRPr="005B16E8" w:rsidRDefault="007D7EEA" w:rsidP="0096065B">
      <w:pPr>
        <w:spacing w:after="0" w:line="240" w:lineRule="auto"/>
        <w:ind w:left="720" w:firstLine="630"/>
        <w:contextualSpacing/>
        <w:rPr>
          <w:rFonts w:ascii="Arial" w:hAnsi="Arial" w:cs="Arial"/>
        </w:rPr>
      </w:pPr>
    </w:p>
    <w:tbl>
      <w:tblPr>
        <w:tblW w:w="7371" w:type="dxa"/>
        <w:tblInd w:w="1276" w:type="dxa"/>
        <w:tblLayout w:type="fixed"/>
        <w:tblLook w:val="04A0" w:firstRow="1" w:lastRow="0" w:firstColumn="1" w:lastColumn="0" w:noHBand="0" w:noVBand="1"/>
      </w:tblPr>
      <w:tblGrid>
        <w:gridCol w:w="4065"/>
        <w:gridCol w:w="3306"/>
      </w:tblGrid>
      <w:tr w:rsidR="007D7EEA" w14:paraId="7BE99480" w14:textId="77777777">
        <w:trPr>
          <w:trHeight w:val="271"/>
          <w:tblHeader/>
        </w:trPr>
        <w:tc>
          <w:tcPr>
            <w:tcW w:w="4065" w:type="dxa"/>
            <w:tcBorders>
              <w:top w:val="single" w:sz="4" w:space="0" w:color="auto"/>
              <w:bottom w:val="single" w:sz="4" w:space="0" w:color="auto"/>
            </w:tcBorders>
            <w:shd w:val="clear" w:color="auto" w:fill="auto"/>
          </w:tcPr>
          <w:p w14:paraId="4A44CA68" w14:textId="77777777" w:rsidR="007D7EEA" w:rsidRDefault="00DD2A4D">
            <w:pPr>
              <w:pStyle w:val="ListParagraph"/>
              <w:ind w:left="252" w:hanging="360"/>
              <w:jc w:val="center"/>
              <w:rPr>
                <w:rFonts w:ascii="Arial" w:hAnsi="Arial" w:cs="Arial"/>
                <w:b/>
                <w:sz w:val="20"/>
                <w:szCs w:val="20"/>
                <w:lang w:val="en-PH"/>
              </w:rPr>
            </w:pPr>
            <w:r>
              <w:rPr>
                <w:rFonts w:ascii="Arial" w:hAnsi="Arial" w:cs="Arial"/>
                <w:b/>
                <w:sz w:val="20"/>
                <w:szCs w:val="20"/>
                <w:lang w:val="en-PH"/>
              </w:rPr>
              <w:t>Real estate assets for auction</w:t>
            </w:r>
          </w:p>
        </w:tc>
        <w:tc>
          <w:tcPr>
            <w:tcW w:w="3306" w:type="dxa"/>
            <w:tcBorders>
              <w:top w:val="single" w:sz="4" w:space="0" w:color="auto"/>
              <w:bottom w:val="single" w:sz="4" w:space="0" w:color="auto"/>
            </w:tcBorders>
            <w:shd w:val="clear" w:color="auto" w:fill="auto"/>
          </w:tcPr>
          <w:p w14:paraId="4C15D06C" w14:textId="77777777" w:rsidR="007D7EEA" w:rsidRDefault="00DD2A4D">
            <w:pPr>
              <w:pStyle w:val="ListParagraph"/>
              <w:ind w:left="856"/>
              <w:jc w:val="center"/>
              <w:rPr>
                <w:rFonts w:ascii="Arial" w:hAnsi="Arial" w:cs="Arial"/>
                <w:b/>
                <w:sz w:val="20"/>
                <w:szCs w:val="20"/>
                <w:lang w:val="en-PH"/>
              </w:rPr>
            </w:pPr>
            <w:r>
              <w:rPr>
                <w:rFonts w:ascii="Arial" w:hAnsi="Arial" w:cs="Arial"/>
                <w:b/>
                <w:sz w:val="20"/>
                <w:szCs w:val="20"/>
                <w:lang w:val="en-PH"/>
              </w:rPr>
              <w:t>Award of sale amount</w:t>
            </w:r>
          </w:p>
        </w:tc>
      </w:tr>
      <w:tr w:rsidR="007D7EEA" w14:paraId="06D0D47A" w14:textId="77777777">
        <w:trPr>
          <w:trHeight w:val="20"/>
        </w:trPr>
        <w:tc>
          <w:tcPr>
            <w:tcW w:w="4065" w:type="dxa"/>
            <w:shd w:val="clear" w:color="auto" w:fill="auto"/>
            <w:vAlign w:val="bottom"/>
          </w:tcPr>
          <w:p w14:paraId="4AF2E776" w14:textId="77777777" w:rsidR="007D7EEA" w:rsidRDefault="00DD2A4D">
            <w:pPr>
              <w:pStyle w:val="ListParagraph"/>
              <w:tabs>
                <w:tab w:val="left" w:pos="142"/>
              </w:tabs>
              <w:ind w:left="-57" w:right="-57"/>
              <w:rPr>
                <w:rFonts w:ascii="Arial" w:hAnsi="Arial" w:cs="Arial"/>
                <w:sz w:val="20"/>
                <w:szCs w:val="20"/>
                <w:lang w:val="en-PH"/>
              </w:rPr>
            </w:pPr>
            <w:r>
              <w:rPr>
                <w:rFonts w:ascii="Arial" w:hAnsi="Arial" w:cs="Arial"/>
                <w:sz w:val="20"/>
                <w:szCs w:val="20"/>
                <w:lang w:val="en-PH"/>
              </w:rPr>
              <w:t xml:space="preserve">Lots 6B/6C/6D, </w:t>
            </w:r>
            <w:proofErr w:type="spellStart"/>
            <w:r>
              <w:rPr>
                <w:rFonts w:ascii="Arial" w:hAnsi="Arial" w:cs="Arial"/>
                <w:sz w:val="20"/>
                <w:szCs w:val="20"/>
                <w:lang w:val="en-PH"/>
              </w:rPr>
              <w:t>Aseana</w:t>
            </w:r>
            <w:proofErr w:type="spellEnd"/>
            <w:r>
              <w:rPr>
                <w:rFonts w:ascii="Arial" w:hAnsi="Arial" w:cs="Arial"/>
                <w:sz w:val="20"/>
                <w:szCs w:val="20"/>
                <w:lang w:val="en-PH"/>
              </w:rPr>
              <w:t xml:space="preserve"> City</w:t>
            </w:r>
          </w:p>
        </w:tc>
        <w:tc>
          <w:tcPr>
            <w:tcW w:w="3306" w:type="dxa"/>
            <w:shd w:val="clear" w:color="auto" w:fill="auto"/>
          </w:tcPr>
          <w:p w14:paraId="63A68889" w14:textId="77777777" w:rsidR="007D7EEA" w:rsidRDefault="00DD2A4D">
            <w:pPr>
              <w:pStyle w:val="ListParagraph"/>
              <w:tabs>
                <w:tab w:val="left" w:pos="142"/>
              </w:tabs>
              <w:ind w:left="-57" w:right="-57"/>
              <w:jc w:val="right"/>
              <w:rPr>
                <w:rFonts w:ascii="Arial" w:hAnsi="Arial" w:cs="Arial"/>
                <w:sz w:val="20"/>
                <w:szCs w:val="20"/>
                <w:lang w:val="en-PH"/>
              </w:rPr>
            </w:pPr>
            <w:r>
              <w:rPr>
                <w:rFonts w:ascii="Arial" w:hAnsi="Arial" w:cs="Arial"/>
                <w:sz w:val="20"/>
                <w:szCs w:val="20"/>
              </w:rPr>
              <w:t>P 3,316,509,038</w:t>
            </w:r>
          </w:p>
        </w:tc>
      </w:tr>
      <w:tr w:rsidR="007D7EEA" w14:paraId="6F90790C" w14:textId="77777777">
        <w:trPr>
          <w:trHeight w:val="20"/>
        </w:trPr>
        <w:tc>
          <w:tcPr>
            <w:tcW w:w="4065" w:type="dxa"/>
            <w:shd w:val="clear" w:color="auto" w:fill="auto"/>
            <w:vAlign w:val="bottom"/>
          </w:tcPr>
          <w:p w14:paraId="14740498" w14:textId="77777777" w:rsidR="007D7EEA" w:rsidRDefault="00DD2A4D">
            <w:pPr>
              <w:pStyle w:val="ListParagraph"/>
              <w:tabs>
                <w:tab w:val="left" w:pos="142"/>
              </w:tabs>
              <w:ind w:left="-57" w:right="-57"/>
              <w:rPr>
                <w:rFonts w:ascii="Arial" w:hAnsi="Arial" w:cs="Arial"/>
                <w:sz w:val="20"/>
                <w:szCs w:val="20"/>
                <w:lang w:val="en-PH"/>
              </w:rPr>
            </w:pPr>
            <w:r>
              <w:rPr>
                <w:rFonts w:ascii="Arial" w:hAnsi="Arial" w:cs="Arial"/>
                <w:sz w:val="20"/>
                <w:szCs w:val="20"/>
                <w:lang w:val="en-PH"/>
              </w:rPr>
              <w:t xml:space="preserve">Lot 6E, </w:t>
            </w:r>
            <w:proofErr w:type="spellStart"/>
            <w:r>
              <w:rPr>
                <w:rFonts w:ascii="Arial" w:hAnsi="Arial" w:cs="Arial"/>
                <w:sz w:val="20"/>
                <w:szCs w:val="20"/>
                <w:lang w:val="en-PH"/>
              </w:rPr>
              <w:t>Aseana</w:t>
            </w:r>
            <w:proofErr w:type="spellEnd"/>
            <w:r>
              <w:rPr>
                <w:rFonts w:ascii="Arial" w:hAnsi="Arial" w:cs="Arial"/>
                <w:sz w:val="20"/>
                <w:szCs w:val="20"/>
                <w:lang w:val="en-PH"/>
              </w:rPr>
              <w:t xml:space="preserve"> City</w:t>
            </w:r>
          </w:p>
        </w:tc>
        <w:tc>
          <w:tcPr>
            <w:tcW w:w="3306" w:type="dxa"/>
            <w:shd w:val="clear" w:color="auto" w:fill="auto"/>
            <w:vAlign w:val="center"/>
          </w:tcPr>
          <w:p w14:paraId="41E0FE81" w14:textId="77777777" w:rsidR="007D7EEA" w:rsidRDefault="00DD2A4D">
            <w:pPr>
              <w:pStyle w:val="ListParagraph"/>
              <w:tabs>
                <w:tab w:val="left" w:pos="142"/>
              </w:tabs>
              <w:ind w:left="-57" w:right="-57"/>
              <w:jc w:val="right"/>
              <w:rPr>
                <w:rFonts w:ascii="Arial" w:hAnsi="Arial" w:cs="Arial"/>
                <w:b/>
                <w:sz w:val="20"/>
                <w:szCs w:val="20"/>
                <w:lang w:val="en-PH"/>
              </w:rPr>
            </w:pPr>
            <w:r>
              <w:rPr>
                <w:rFonts w:ascii="Arial" w:hAnsi="Arial" w:cs="Arial"/>
                <w:sz w:val="20"/>
                <w:szCs w:val="20"/>
              </w:rPr>
              <w:t xml:space="preserve"> 1,794,344,509</w:t>
            </w:r>
          </w:p>
        </w:tc>
      </w:tr>
      <w:tr w:rsidR="007D7EEA" w14:paraId="3ED24EE0" w14:textId="77777777">
        <w:trPr>
          <w:trHeight w:val="20"/>
        </w:trPr>
        <w:tc>
          <w:tcPr>
            <w:tcW w:w="4065" w:type="dxa"/>
            <w:shd w:val="clear" w:color="auto" w:fill="auto"/>
            <w:vAlign w:val="bottom"/>
          </w:tcPr>
          <w:p w14:paraId="1480A791" w14:textId="77777777" w:rsidR="007D7EEA" w:rsidRDefault="00DD2A4D">
            <w:pPr>
              <w:pStyle w:val="ListParagraph"/>
              <w:tabs>
                <w:tab w:val="left" w:pos="142"/>
              </w:tabs>
              <w:ind w:left="-57" w:right="-57"/>
              <w:rPr>
                <w:rFonts w:ascii="Arial" w:hAnsi="Arial" w:cs="Arial"/>
                <w:sz w:val="20"/>
                <w:szCs w:val="20"/>
                <w:lang w:val="en-PH"/>
              </w:rPr>
            </w:pPr>
            <w:r>
              <w:rPr>
                <w:rFonts w:ascii="Arial" w:hAnsi="Arial" w:cs="Arial"/>
                <w:sz w:val="20"/>
                <w:szCs w:val="20"/>
                <w:lang w:val="en-PH"/>
              </w:rPr>
              <w:t>Green Meadows Phase 2, Iloilo</w:t>
            </w:r>
          </w:p>
        </w:tc>
        <w:tc>
          <w:tcPr>
            <w:tcW w:w="3306" w:type="dxa"/>
            <w:shd w:val="clear" w:color="auto" w:fill="auto"/>
          </w:tcPr>
          <w:p w14:paraId="26A90FDD" w14:textId="77777777" w:rsidR="007D7EEA" w:rsidRDefault="00DD2A4D">
            <w:pPr>
              <w:pStyle w:val="ListParagraph"/>
              <w:tabs>
                <w:tab w:val="left" w:pos="142"/>
              </w:tabs>
              <w:ind w:left="-57" w:right="-57"/>
              <w:jc w:val="right"/>
              <w:rPr>
                <w:rFonts w:ascii="Arial" w:hAnsi="Arial" w:cs="Arial"/>
                <w:sz w:val="20"/>
                <w:szCs w:val="20"/>
                <w:lang w:val="en-PH"/>
              </w:rPr>
            </w:pPr>
            <w:r>
              <w:rPr>
                <w:rFonts w:ascii="Arial" w:hAnsi="Arial" w:cs="Arial"/>
                <w:sz w:val="20"/>
                <w:szCs w:val="20"/>
                <w:lang w:val="en-PH"/>
              </w:rPr>
              <w:t xml:space="preserve"> 1,251,000,000</w:t>
            </w:r>
          </w:p>
        </w:tc>
      </w:tr>
      <w:tr w:rsidR="007D7EEA" w14:paraId="63F836C8" w14:textId="77777777">
        <w:trPr>
          <w:trHeight w:val="20"/>
        </w:trPr>
        <w:tc>
          <w:tcPr>
            <w:tcW w:w="4065" w:type="dxa"/>
            <w:shd w:val="clear" w:color="auto" w:fill="auto"/>
            <w:vAlign w:val="bottom"/>
          </w:tcPr>
          <w:p w14:paraId="2528CD0E" w14:textId="77777777" w:rsidR="007D7EEA" w:rsidRDefault="00DD2A4D">
            <w:pPr>
              <w:pStyle w:val="ListParagraph"/>
              <w:tabs>
                <w:tab w:val="left" w:pos="142"/>
              </w:tabs>
              <w:ind w:left="-57" w:right="-57"/>
              <w:rPr>
                <w:rFonts w:ascii="Arial" w:hAnsi="Arial" w:cs="Arial"/>
                <w:sz w:val="20"/>
                <w:szCs w:val="20"/>
                <w:lang w:val="en-PH"/>
              </w:rPr>
            </w:pPr>
            <w:r>
              <w:rPr>
                <w:rFonts w:ascii="Arial" w:hAnsi="Arial" w:cs="Arial"/>
                <w:sz w:val="20"/>
                <w:szCs w:val="20"/>
                <w:lang w:val="en-PH"/>
              </w:rPr>
              <w:t>Lot 1979-I, Sta Rosa, Laguna</w:t>
            </w:r>
          </w:p>
        </w:tc>
        <w:tc>
          <w:tcPr>
            <w:tcW w:w="3306" w:type="dxa"/>
            <w:shd w:val="clear" w:color="auto" w:fill="auto"/>
          </w:tcPr>
          <w:p w14:paraId="294F5838" w14:textId="77777777" w:rsidR="007D7EEA" w:rsidRDefault="00DD2A4D">
            <w:pPr>
              <w:pStyle w:val="ListParagraph"/>
              <w:tabs>
                <w:tab w:val="left" w:pos="142"/>
              </w:tabs>
              <w:ind w:left="-57" w:right="-57"/>
              <w:jc w:val="right"/>
              <w:rPr>
                <w:rFonts w:ascii="Arial" w:hAnsi="Arial" w:cs="Arial"/>
                <w:sz w:val="20"/>
                <w:szCs w:val="20"/>
                <w:lang w:val="en-PH"/>
              </w:rPr>
            </w:pPr>
            <w:r>
              <w:rPr>
                <w:rFonts w:ascii="Arial" w:hAnsi="Arial" w:cs="Arial"/>
                <w:sz w:val="20"/>
                <w:szCs w:val="20"/>
              </w:rPr>
              <w:t>23,641,200</w:t>
            </w:r>
          </w:p>
        </w:tc>
      </w:tr>
      <w:tr w:rsidR="007D7EEA" w14:paraId="2B7A8424" w14:textId="77777777">
        <w:trPr>
          <w:trHeight w:val="20"/>
        </w:trPr>
        <w:tc>
          <w:tcPr>
            <w:tcW w:w="4065" w:type="dxa"/>
            <w:shd w:val="clear" w:color="auto" w:fill="auto"/>
            <w:vAlign w:val="bottom"/>
          </w:tcPr>
          <w:p w14:paraId="445A79B6" w14:textId="77777777" w:rsidR="007D7EEA" w:rsidRDefault="00DD2A4D">
            <w:pPr>
              <w:pStyle w:val="ListParagraph"/>
              <w:tabs>
                <w:tab w:val="left" w:pos="142"/>
              </w:tabs>
              <w:ind w:left="-57" w:right="-57"/>
              <w:rPr>
                <w:rFonts w:ascii="Arial" w:hAnsi="Arial" w:cs="Arial"/>
                <w:sz w:val="20"/>
                <w:szCs w:val="20"/>
                <w:lang w:val="en-PH"/>
              </w:rPr>
            </w:pPr>
            <w:r>
              <w:rPr>
                <w:rFonts w:ascii="Arial" w:hAnsi="Arial" w:cs="Arial"/>
                <w:sz w:val="20"/>
                <w:szCs w:val="20"/>
                <w:lang w:val="en-PH"/>
              </w:rPr>
              <w:t>Lot 1981-A, Sta Rosa, Laguna</w:t>
            </w:r>
          </w:p>
        </w:tc>
        <w:tc>
          <w:tcPr>
            <w:tcW w:w="3306" w:type="dxa"/>
            <w:shd w:val="clear" w:color="auto" w:fill="auto"/>
          </w:tcPr>
          <w:p w14:paraId="5DFC19E6" w14:textId="77777777" w:rsidR="007D7EEA" w:rsidRDefault="00DD2A4D">
            <w:pPr>
              <w:pStyle w:val="ListParagraph"/>
              <w:tabs>
                <w:tab w:val="left" w:pos="142"/>
              </w:tabs>
              <w:ind w:left="-57" w:right="-57"/>
              <w:jc w:val="right"/>
              <w:rPr>
                <w:rFonts w:ascii="Arial" w:hAnsi="Arial" w:cs="Arial"/>
                <w:sz w:val="20"/>
                <w:szCs w:val="20"/>
                <w:lang w:val="en-PH"/>
              </w:rPr>
            </w:pPr>
            <w:r>
              <w:rPr>
                <w:rFonts w:ascii="Arial" w:hAnsi="Arial" w:cs="Arial"/>
                <w:sz w:val="20"/>
                <w:szCs w:val="20"/>
              </w:rPr>
              <w:t>10,500,000</w:t>
            </w:r>
          </w:p>
        </w:tc>
      </w:tr>
      <w:tr w:rsidR="007D7EEA" w14:paraId="0E278413" w14:textId="77777777">
        <w:trPr>
          <w:trHeight w:val="317"/>
        </w:trPr>
        <w:tc>
          <w:tcPr>
            <w:tcW w:w="4065" w:type="dxa"/>
            <w:tcBorders>
              <w:top w:val="single" w:sz="4" w:space="0" w:color="auto"/>
              <w:bottom w:val="double" w:sz="4" w:space="0" w:color="auto"/>
            </w:tcBorders>
            <w:shd w:val="clear" w:color="auto" w:fill="auto"/>
            <w:vAlign w:val="center"/>
          </w:tcPr>
          <w:p w14:paraId="162C2F06" w14:textId="77777777" w:rsidR="007D7EEA" w:rsidRDefault="00DD2A4D">
            <w:pPr>
              <w:pStyle w:val="ListParagraph"/>
              <w:tabs>
                <w:tab w:val="left" w:pos="142"/>
              </w:tabs>
              <w:ind w:left="-57" w:right="-57"/>
              <w:rPr>
                <w:rFonts w:ascii="Arial" w:hAnsi="Arial" w:cs="Arial"/>
                <w:b/>
                <w:sz w:val="20"/>
                <w:szCs w:val="20"/>
                <w:lang w:val="en-PH"/>
              </w:rPr>
            </w:pPr>
            <w:r>
              <w:rPr>
                <w:rFonts w:ascii="Arial" w:hAnsi="Arial" w:cs="Arial"/>
                <w:b/>
                <w:sz w:val="20"/>
                <w:szCs w:val="20"/>
                <w:lang w:val="en-PH"/>
              </w:rPr>
              <w:t>Total</w:t>
            </w:r>
          </w:p>
        </w:tc>
        <w:tc>
          <w:tcPr>
            <w:tcW w:w="3306" w:type="dxa"/>
            <w:tcBorders>
              <w:top w:val="single" w:sz="4" w:space="0" w:color="auto"/>
              <w:bottom w:val="double" w:sz="4" w:space="0" w:color="auto"/>
            </w:tcBorders>
            <w:shd w:val="clear" w:color="auto" w:fill="auto"/>
            <w:vAlign w:val="center"/>
          </w:tcPr>
          <w:p w14:paraId="3814B9C5" w14:textId="77777777" w:rsidR="007D7EEA" w:rsidRDefault="00DD2A4D">
            <w:pPr>
              <w:pStyle w:val="ListParagraph"/>
              <w:tabs>
                <w:tab w:val="left" w:pos="142"/>
              </w:tabs>
              <w:ind w:left="-57" w:right="-57"/>
              <w:jc w:val="right"/>
              <w:rPr>
                <w:rFonts w:ascii="Arial" w:hAnsi="Arial" w:cs="Arial"/>
                <w:b/>
                <w:sz w:val="20"/>
                <w:szCs w:val="20"/>
                <w:lang w:val="en-PH"/>
              </w:rPr>
            </w:pPr>
            <w:r>
              <w:rPr>
                <w:rFonts w:ascii="Arial" w:hAnsi="Arial" w:cs="Arial"/>
                <w:b/>
                <w:sz w:val="20"/>
                <w:szCs w:val="20"/>
              </w:rPr>
              <w:t>P 6,395,994,747</w:t>
            </w:r>
          </w:p>
        </w:tc>
      </w:tr>
    </w:tbl>
    <w:p w14:paraId="1D0287A6" w14:textId="77777777" w:rsidR="007D7EEA" w:rsidRPr="005B16E8" w:rsidRDefault="007D7EEA">
      <w:pPr>
        <w:spacing w:line="240" w:lineRule="auto"/>
        <w:contextualSpacing/>
        <w:jc w:val="center"/>
        <w:rPr>
          <w:rFonts w:ascii="Arial" w:hAnsi="Arial" w:cs="Arial"/>
          <w:b/>
        </w:rPr>
      </w:pPr>
    </w:p>
    <w:p w14:paraId="051AAE5F" w14:textId="77777777" w:rsidR="007D7EEA" w:rsidRPr="005B16E8" w:rsidRDefault="00DD2A4D">
      <w:pPr>
        <w:spacing w:line="240" w:lineRule="auto"/>
        <w:ind w:left="720" w:firstLine="556"/>
        <w:contextualSpacing/>
        <w:rPr>
          <w:rFonts w:ascii="Arial" w:hAnsi="Arial" w:cs="Arial"/>
        </w:rPr>
      </w:pPr>
      <w:r w:rsidRPr="005B16E8">
        <w:rPr>
          <w:rFonts w:ascii="Arial" w:hAnsi="Arial" w:cs="Arial"/>
        </w:rPr>
        <w:t xml:space="preserve">C. Timeline </w:t>
      </w:r>
    </w:p>
    <w:p w14:paraId="6BA0156D" w14:textId="77777777" w:rsidR="007D7EEA" w:rsidRPr="005B16E8" w:rsidRDefault="007D7EEA">
      <w:pPr>
        <w:spacing w:line="240" w:lineRule="auto"/>
        <w:contextualSpacing/>
        <w:rPr>
          <w:rFonts w:ascii="Arial" w:hAnsi="Arial" w:cs="Arial"/>
          <w:b/>
          <w:u w:val="single"/>
        </w:rPr>
      </w:pPr>
    </w:p>
    <w:p w14:paraId="7762E929" w14:textId="77777777" w:rsidR="007D7EEA" w:rsidRPr="005B16E8" w:rsidRDefault="00DD2A4D">
      <w:pPr>
        <w:spacing w:line="240" w:lineRule="auto"/>
        <w:ind w:left="630" w:firstLine="646"/>
        <w:contextualSpacing/>
        <w:rPr>
          <w:rFonts w:ascii="Arial" w:hAnsi="Arial" w:cs="Arial"/>
          <w:b/>
          <w:u w:val="single"/>
        </w:rPr>
      </w:pPr>
      <w:r w:rsidRPr="005B16E8">
        <w:rPr>
          <w:rFonts w:ascii="Arial" w:hAnsi="Arial" w:cs="Arial"/>
          <w:b/>
          <w:u w:val="single"/>
        </w:rPr>
        <w:t xml:space="preserve">Year 1 (2nd-4th </w:t>
      </w:r>
      <w:proofErr w:type="spellStart"/>
      <w:r w:rsidRPr="005B16E8">
        <w:rPr>
          <w:rFonts w:ascii="Arial" w:hAnsi="Arial" w:cs="Arial"/>
          <w:b/>
          <w:u w:val="single"/>
        </w:rPr>
        <w:t>Qtr</w:t>
      </w:r>
      <w:proofErr w:type="spellEnd"/>
      <w:r w:rsidRPr="005B16E8">
        <w:rPr>
          <w:rFonts w:ascii="Arial" w:hAnsi="Arial" w:cs="Arial"/>
          <w:b/>
          <w:u w:val="single"/>
        </w:rPr>
        <w:t xml:space="preserve"> 2018) </w:t>
      </w:r>
    </w:p>
    <w:p w14:paraId="2897BFC2" w14:textId="77777777" w:rsidR="007D7EEA" w:rsidRPr="005B16E8" w:rsidRDefault="007D7EEA">
      <w:pPr>
        <w:spacing w:line="240" w:lineRule="auto"/>
        <w:contextualSpacing/>
        <w:rPr>
          <w:rFonts w:ascii="Arial" w:hAnsi="Arial" w:cs="Arial"/>
        </w:rPr>
      </w:pPr>
    </w:p>
    <w:p w14:paraId="60A444AD" w14:textId="77777777" w:rsidR="007D7EEA" w:rsidRPr="005B16E8" w:rsidRDefault="00DD2A4D">
      <w:pPr>
        <w:spacing w:line="240" w:lineRule="auto"/>
        <w:ind w:left="630" w:firstLine="646"/>
        <w:contextualSpacing/>
        <w:rPr>
          <w:rFonts w:ascii="Arial" w:hAnsi="Arial" w:cs="Arial"/>
        </w:rPr>
      </w:pPr>
      <w:r w:rsidRPr="005B16E8">
        <w:rPr>
          <w:rFonts w:ascii="Arial" w:hAnsi="Arial" w:cs="Arial"/>
        </w:rPr>
        <w:t>Action Plans:</w:t>
      </w:r>
    </w:p>
    <w:p w14:paraId="18EB7A77" w14:textId="77777777" w:rsidR="007D7EEA" w:rsidRPr="005B16E8" w:rsidRDefault="007D7EEA">
      <w:pPr>
        <w:spacing w:after="0" w:line="240" w:lineRule="auto"/>
        <w:contextualSpacing/>
        <w:rPr>
          <w:rFonts w:ascii="Arial" w:hAnsi="Arial" w:cs="Arial"/>
        </w:rPr>
      </w:pPr>
    </w:p>
    <w:p w14:paraId="1CC5E400" w14:textId="77777777" w:rsidR="007D7EEA" w:rsidRPr="005B16E8" w:rsidRDefault="00DD2A4D">
      <w:pPr>
        <w:pStyle w:val="ListParagraph"/>
        <w:numPr>
          <w:ilvl w:val="0"/>
          <w:numId w:val="40"/>
        </w:numPr>
        <w:ind w:left="1620"/>
        <w:contextualSpacing/>
        <w:rPr>
          <w:rFonts w:ascii="Arial" w:hAnsi="Arial" w:cs="Arial"/>
          <w:sz w:val="22"/>
          <w:szCs w:val="22"/>
        </w:rPr>
      </w:pPr>
      <w:r w:rsidRPr="005B16E8">
        <w:rPr>
          <w:rFonts w:ascii="Arial" w:hAnsi="Arial" w:cs="Arial"/>
          <w:sz w:val="22"/>
          <w:szCs w:val="22"/>
        </w:rPr>
        <w:t>Sell the following retail Real estate inventories in cash or deferred cash (maximum term of one year) basis:</w:t>
      </w:r>
    </w:p>
    <w:p w14:paraId="6EC89363" w14:textId="77777777" w:rsidR="007D7EEA" w:rsidRPr="005B16E8" w:rsidRDefault="007D7EEA">
      <w:pPr>
        <w:pStyle w:val="ListParagraph"/>
        <w:ind w:left="1620"/>
        <w:contextualSpacing/>
        <w:rPr>
          <w:rFonts w:ascii="Arial" w:hAnsi="Arial" w:cs="Arial"/>
          <w:sz w:val="22"/>
          <w:szCs w:val="22"/>
        </w:rPr>
      </w:pPr>
    </w:p>
    <w:tbl>
      <w:tblPr>
        <w:tblW w:w="7290" w:type="dxa"/>
        <w:tblInd w:w="1350" w:type="dxa"/>
        <w:tblLayout w:type="fixed"/>
        <w:tblLook w:val="04A0" w:firstRow="1" w:lastRow="0" w:firstColumn="1" w:lastColumn="0" w:noHBand="0" w:noVBand="1"/>
      </w:tblPr>
      <w:tblGrid>
        <w:gridCol w:w="1890"/>
        <w:gridCol w:w="1080"/>
        <w:gridCol w:w="1080"/>
        <w:gridCol w:w="1080"/>
        <w:gridCol w:w="1080"/>
        <w:gridCol w:w="1080"/>
      </w:tblGrid>
      <w:tr w:rsidR="007D7EEA" w14:paraId="00549A19" w14:textId="77777777">
        <w:trPr>
          <w:trHeight w:val="20"/>
          <w:tblHeader/>
        </w:trPr>
        <w:tc>
          <w:tcPr>
            <w:tcW w:w="1890" w:type="dxa"/>
            <w:tcBorders>
              <w:top w:val="single" w:sz="8" w:space="0" w:color="auto"/>
              <w:left w:val="nil"/>
              <w:bottom w:val="single" w:sz="8" w:space="0" w:color="auto"/>
              <w:right w:val="nil"/>
            </w:tcBorders>
            <w:shd w:val="clear" w:color="auto" w:fill="auto"/>
            <w:vAlign w:val="center"/>
          </w:tcPr>
          <w:p w14:paraId="1FCB306E" w14:textId="77777777" w:rsidR="007D7EEA" w:rsidRDefault="00DD2A4D">
            <w:pPr>
              <w:spacing w:line="240" w:lineRule="auto"/>
              <w:ind w:left="-58" w:right="-58"/>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Properties</w:t>
            </w:r>
          </w:p>
        </w:tc>
        <w:tc>
          <w:tcPr>
            <w:tcW w:w="1080" w:type="dxa"/>
            <w:tcBorders>
              <w:top w:val="single" w:sz="8" w:space="0" w:color="auto"/>
              <w:left w:val="nil"/>
              <w:bottom w:val="single" w:sz="8" w:space="0" w:color="auto"/>
              <w:right w:val="nil"/>
            </w:tcBorders>
            <w:shd w:val="clear" w:color="auto" w:fill="auto"/>
            <w:vAlign w:val="center"/>
          </w:tcPr>
          <w:p w14:paraId="510DC25A" w14:textId="77777777" w:rsidR="007D7EEA" w:rsidRDefault="00DD2A4D">
            <w:pPr>
              <w:spacing w:line="240" w:lineRule="auto"/>
              <w:ind w:left="-58" w:right="-58"/>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Inventory /lots</w:t>
            </w:r>
          </w:p>
        </w:tc>
        <w:tc>
          <w:tcPr>
            <w:tcW w:w="1080" w:type="dxa"/>
            <w:tcBorders>
              <w:top w:val="single" w:sz="8" w:space="0" w:color="auto"/>
              <w:left w:val="nil"/>
              <w:bottom w:val="single" w:sz="8" w:space="0" w:color="auto"/>
              <w:right w:val="nil"/>
            </w:tcBorders>
            <w:shd w:val="clear" w:color="auto" w:fill="auto"/>
            <w:vAlign w:val="center"/>
          </w:tcPr>
          <w:p w14:paraId="17E5E119" w14:textId="77777777" w:rsidR="007D7EEA" w:rsidRDefault="00DD2A4D">
            <w:pPr>
              <w:spacing w:line="240" w:lineRule="auto"/>
              <w:ind w:left="-58" w:right="-58"/>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Gross sales</w:t>
            </w:r>
          </w:p>
        </w:tc>
        <w:tc>
          <w:tcPr>
            <w:tcW w:w="1080" w:type="dxa"/>
            <w:tcBorders>
              <w:top w:val="single" w:sz="8" w:space="0" w:color="auto"/>
              <w:left w:val="nil"/>
              <w:bottom w:val="single" w:sz="8" w:space="0" w:color="auto"/>
              <w:right w:val="nil"/>
            </w:tcBorders>
            <w:shd w:val="clear" w:color="auto" w:fill="auto"/>
            <w:vAlign w:val="center"/>
          </w:tcPr>
          <w:p w14:paraId="68F92CDC" w14:textId="77777777" w:rsidR="007D7EEA" w:rsidRDefault="00DD2A4D">
            <w:pPr>
              <w:spacing w:line="240" w:lineRule="auto"/>
              <w:ind w:left="-58" w:right="-58"/>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Cost of Sale</w:t>
            </w:r>
          </w:p>
        </w:tc>
        <w:tc>
          <w:tcPr>
            <w:tcW w:w="1080" w:type="dxa"/>
            <w:tcBorders>
              <w:top w:val="single" w:sz="8" w:space="0" w:color="auto"/>
              <w:left w:val="nil"/>
              <w:bottom w:val="single" w:sz="8" w:space="0" w:color="auto"/>
              <w:right w:val="nil"/>
            </w:tcBorders>
            <w:shd w:val="clear" w:color="auto" w:fill="auto"/>
            <w:vAlign w:val="center"/>
          </w:tcPr>
          <w:p w14:paraId="3A3AD747" w14:textId="77777777" w:rsidR="007D7EEA" w:rsidRDefault="00DD2A4D">
            <w:pPr>
              <w:spacing w:line="240" w:lineRule="auto"/>
              <w:ind w:left="-58" w:right="-58"/>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Marketing expense</w:t>
            </w:r>
          </w:p>
        </w:tc>
        <w:tc>
          <w:tcPr>
            <w:tcW w:w="1080" w:type="dxa"/>
            <w:tcBorders>
              <w:top w:val="single" w:sz="8" w:space="0" w:color="auto"/>
              <w:left w:val="nil"/>
              <w:bottom w:val="single" w:sz="8" w:space="0" w:color="auto"/>
              <w:right w:val="nil"/>
            </w:tcBorders>
            <w:shd w:val="clear" w:color="auto" w:fill="auto"/>
            <w:vAlign w:val="center"/>
          </w:tcPr>
          <w:p w14:paraId="7E619315" w14:textId="77777777" w:rsidR="007D7EEA" w:rsidRDefault="00DD2A4D">
            <w:pPr>
              <w:spacing w:line="240" w:lineRule="auto"/>
              <w:ind w:left="-58" w:right="-58"/>
              <w:contextualSpacing/>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Net gain</w:t>
            </w:r>
          </w:p>
        </w:tc>
      </w:tr>
      <w:tr w:rsidR="007D7EEA" w14:paraId="7ECA97C2" w14:textId="77777777">
        <w:trPr>
          <w:trHeight w:val="20"/>
        </w:trPr>
        <w:tc>
          <w:tcPr>
            <w:tcW w:w="7290" w:type="dxa"/>
            <w:gridSpan w:val="6"/>
            <w:tcBorders>
              <w:top w:val="single" w:sz="8" w:space="0" w:color="auto"/>
              <w:left w:val="nil"/>
              <w:right w:val="nil"/>
            </w:tcBorders>
            <w:shd w:val="clear" w:color="auto" w:fill="auto"/>
            <w:vAlign w:val="center"/>
          </w:tcPr>
          <w:p w14:paraId="48A86229"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(In million pesos)</w:t>
            </w:r>
          </w:p>
        </w:tc>
      </w:tr>
      <w:tr w:rsidR="007D7EEA" w14:paraId="07DB5165" w14:textId="77777777">
        <w:trPr>
          <w:trHeight w:val="20"/>
        </w:trPr>
        <w:tc>
          <w:tcPr>
            <w:tcW w:w="1890" w:type="dxa"/>
            <w:tcBorders>
              <w:top w:val="nil"/>
              <w:left w:val="nil"/>
              <w:right w:val="nil"/>
            </w:tcBorders>
            <w:shd w:val="clear" w:color="auto" w:fill="auto"/>
            <w:vAlign w:val="center"/>
          </w:tcPr>
          <w:p w14:paraId="3D2CE609"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Eastridge</w:t>
            </w:r>
          </w:p>
        </w:tc>
        <w:tc>
          <w:tcPr>
            <w:tcW w:w="1080" w:type="dxa"/>
            <w:tcBorders>
              <w:top w:val="nil"/>
              <w:left w:val="nil"/>
              <w:right w:val="nil"/>
            </w:tcBorders>
            <w:shd w:val="clear" w:color="auto" w:fill="auto"/>
            <w:vAlign w:val="center"/>
          </w:tcPr>
          <w:p w14:paraId="7E81CB25"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103</w:t>
            </w:r>
          </w:p>
        </w:tc>
        <w:tc>
          <w:tcPr>
            <w:tcW w:w="1080" w:type="dxa"/>
            <w:tcBorders>
              <w:top w:val="nil"/>
              <w:left w:val="nil"/>
              <w:right w:val="nil"/>
            </w:tcBorders>
            <w:shd w:val="clear" w:color="auto" w:fill="auto"/>
            <w:vAlign w:val="center"/>
          </w:tcPr>
          <w:p w14:paraId="545B4F83" w14:textId="77777777" w:rsidR="007D7EEA" w:rsidRDefault="00DD2A4D">
            <w:pPr>
              <w:spacing w:after="0" w:line="240" w:lineRule="auto"/>
              <w:ind w:lef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166.095</w:t>
            </w:r>
          </w:p>
        </w:tc>
        <w:tc>
          <w:tcPr>
            <w:tcW w:w="1080" w:type="dxa"/>
            <w:tcBorders>
              <w:top w:val="nil"/>
              <w:left w:val="nil"/>
              <w:right w:val="nil"/>
            </w:tcBorders>
            <w:shd w:val="clear" w:color="auto" w:fill="auto"/>
            <w:vAlign w:val="center"/>
          </w:tcPr>
          <w:p w14:paraId="4E064535" w14:textId="77777777" w:rsidR="007D7EEA" w:rsidRDefault="00DD2A4D">
            <w:pPr>
              <w:spacing w:after="0" w:line="240" w:lineRule="auto"/>
              <w:ind w:lef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72.617</w:t>
            </w:r>
          </w:p>
        </w:tc>
        <w:tc>
          <w:tcPr>
            <w:tcW w:w="1080" w:type="dxa"/>
            <w:tcBorders>
              <w:top w:val="nil"/>
              <w:left w:val="nil"/>
              <w:right w:val="nil"/>
            </w:tcBorders>
            <w:shd w:val="clear" w:color="auto" w:fill="auto"/>
            <w:vAlign w:val="center"/>
          </w:tcPr>
          <w:p w14:paraId="6199DC51"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16.609</w:t>
            </w:r>
          </w:p>
        </w:tc>
        <w:tc>
          <w:tcPr>
            <w:tcW w:w="1080" w:type="dxa"/>
            <w:tcBorders>
              <w:top w:val="nil"/>
              <w:left w:val="nil"/>
              <w:right w:val="nil"/>
            </w:tcBorders>
            <w:shd w:val="clear" w:color="auto" w:fill="auto"/>
            <w:vAlign w:val="center"/>
          </w:tcPr>
          <w:p w14:paraId="66A5F600" w14:textId="77777777" w:rsidR="007D7EEA" w:rsidRDefault="00DD2A4D">
            <w:pPr>
              <w:spacing w:after="0" w:line="240" w:lineRule="auto"/>
              <w:ind w:lef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76.869</w:t>
            </w:r>
          </w:p>
        </w:tc>
      </w:tr>
      <w:tr w:rsidR="007D7EEA" w14:paraId="7B8871D1" w14:textId="77777777">
        <w:trPr>
          <w:trHeight w:val="20"/>
        </w:trPr>
        <w:tc>
          <w:tcPr>
            <w:tcW w:w="1890" w:type="dxa"/>
            <w:tcBorders>
              <w:top w:val="nil"/>
              <w:left w:val="nil"/>
              <w:bottom w:val="nil"/>
              <w:right w:val="nil"/>
            </w:tcBorders>
            <w:shd w:val="clear" w:color="auto" w:fill="auto"/>
            <w:vAlign w:val="center"/>
          </w:tcPr>
          <w:p w14:paraId="03CE38AE"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Green Meadows</w:t>
            </w:r>
          </w:p>
        </w:tc>
        <w:tc>
          <w:tcPr>
            <w:tcW w:w="1080" w:type="dxa"/>
            <w:tcBorders>
              <w:top w:val="nil"/>
              <w:left w:val="nil"/>
              <w:bottom w:val="nil"/>
              <w:right w:val="nil"/>
            </w:tcBorders>
            <w:shd w:val="clear" w:color="auto" w:fill="auto"/>
            <w:vAlign w:val="center"/>
          </w:tcPr>
          <w:p w14:paraId="19612C67" w14:textId="77777777" w:rsidR="007D7EEA" w:rsidRDefault="00DD2A4D">
            <w:pPr>
              <w:spacing w:after="0" w:line="240" w:lineRule="auto"/>
              <w:ind w:right="-72"/>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35</w:t>
            </w:r>
          </w:p>
        </w:tc>
        <w:tc>
          <w:tcPr>
            <w:tcW w:w="1080" w:type="dxa"/>
            <w:tcBorders>
              <w:top w:val="nil"/>
              <w:left w:val="nil"/>
              <w:bottom w:val="nil"/>
              <w:right w:val="nil"/>
            </w:tcBorders>
            <w:shd w:val="clear" w:color="auto" w:fill="auto"/>
            <w:vAlign w:val="center"/>
          </w:tcPr>
          <w:p w14:paraId="3FF11FF1"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88.403</w:t>
            </w:r>
          </w:p>
        </w:tc>
        <w:tc>
          <w:tcPr>
            <w:tcW w:w="1080" w:type="dxa"/>
            <w:tcBorders>
              <w:top w:val="nil"/>
              <w:left w:val="nil"/>
              <w:bottom w:val="nil"/>
              <w:right w:val="nil"/>
            </w:tcBorders>
            <w:shd w:val="clear" w:color="auto" w:fill="auto"/>
            <w:vAlign w:val="center"/>
          </w:tcPr>
          <w:p w14:paraId="2063470E"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16.532</w:t>
            </w:r>
          </w:p>
        </w:tc>
        <w:tc>
          <w:tcPr>
            <w:tcW w:w="1080" w:type="dxa"/>
            <w:tcBorders>
              <w:top w:val="nil"/>
              <w:left w:val="nil"/>
              <w:bottom w:val="nil"/>
              <w:right w:val="nil"/>
            </w:tcBorders>
            <w:shd w:val="clear" w:color="auto" w:fill="auto"/>
            <w:vAlign w:val="center"/>
          </w:tcPr>
          <w:p w14:paraId="1BA9AA2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33.593</w:t>
            </w:r>
          </w:p>
        </w:tc>
        <w:tc>
          <w:tcPr>
            <w:tcW w:w="1080" w:type="dxa"/>
            <w:tcBorders>
              <w:top w:val="nil"/>
              <w:left w:val="nil"/>
              <w:bottom w:val="nil"/>
              <w:right w:val="nil"/>
            </w:tcBorders>
            <w:shd w:val="clear" w:color="auto" w:fill="auto"/>
            <w:vAlign w:val="center"/>
          </w:tcPr>
          <w:p w14:paraId="56F120E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38.278</w:t>
            </w:r>
          </w:p>
        </w:tc>
      </w:tr>
      <w:tr w:rsidR="007D7EEA" w14:paraId="5E08EBE3" w14:textId="77777777">
        <w:trPr>
          <w:trHeight w:val="20"/>
        </w:trPr>
        <w:tc>
          <w:tcPr>
            <w:tcW w:w="1890" w:type="dxa"/>
            <w:tcBorders>
              <w:left w:val="nil"/>
              <w:bottom w:val="nil"/>
              <w:right w:val="nil"/>
            </w:tcBorders>
            <w:shd w:val="clear" w:color="auto" w:fill="auto"/>
            <w:vAlign w:val="center"/>
          </w:tcPr>
          <w:p w14:paraId="3C8363B3"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Riviera</w:t>
            </w:r>
          </w:p>
        </w:tc>
        <w:tc>
          <w:tcPr>
            <w:tcW w:w="1080" w:type="dxa"/>
            <w:tcBorders>
              <w:left w:val="nil"/>
              <w:bottom w:val="nil"/>
              <w:right w:val="nil"/>
            </w:tcBorders>
            <w:shd w:val="clear" w:color="auto" w:fill="auto"/>
            <w:vAlign w:val="center"/>
          </w:tcPr>
          <w:p w14:paraId="17949EC6" w14:textId="77777777" w:rsidR="007D7EEA" w:rsidRDefault="00DD2A4D">
            <w:pPr>
              <w:spacing w:after="0" w:line="240" w:lineRule="auto"/>
              <w:ind w:right="-72"/>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18</w:t>
            </w:r>
          </w:p>
        </w:tc>
        <w:tc>
          <w:tcPr>
            <w:tcW w:w="1080" w:type="dxa"/>
            <w:tcBorders>
              <w:left w:val="nil"/>
              <w:bottom w:val="nil"/>
              <w:right w:val="nil"/>
            </w:tcBorders>
            <w:shd w:val="clear" w:color="auto" w:fill="auto"/>
            <w:vAlign w:val="center"/>
          </w:tcPr>
          <w:p w14:paraId="3B9BD61D"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56.700</w:t>
            </w:r>
          </w:p>
        </w:tc>
        <w:tc>
          <w:tcPr>
            <w:tcW w:w="1080" w:type="dxa"/>
            <w:tcBorders>
              <w:left w:val="nil"/>
              <w:bottom w:val="nil"/>
              <w:right w:val="nil"/>
            </w:tcBorders>
            <w:shd w:val="clear" w:color="auto" w:fill="auto"/>
            <w:vAlign w:val="center"/>
          </w:tcPr>
          <w:p w14:paraId="6471FB9D"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8.641</w:t>
            </w:r>
          </w:p>
        </w:tc>
        <w:tc>
          <w:tcPr>
            <w:tcW w:w="1080" w:type="dxa"/>
            <w:tcBorders>
              <w:left w:val="nil"/>
              <w:bottom w:val="nil"/>
              <w:right w:val="nil"/>
            </w:tcBorders>
            <w:shd w:val="clear" w:color="auto" w:fill="auto"/>
            <w:vAlign w:val="center"/>
          </w:tcPr>
          <w:p w14:paraId="03CE9127"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20.412</w:t>
            </w:r>
          </w:p>
        </w:tc>
        <w:tc>
          <w:tcPr>
            <w:tcW w:w="1080" w:type="dxa"/>
            <w:tcBorders>
              <w:left w:val="nil"/>
              <w:bottom w:val="nil"/>
              <w:right w:val="nil"/>
            </w:tcBorders>
            <w:shd w:val="clear" w:color="auto" w:fill="auto"/>
            <w:vAlign w:val="center"/>
          </w:tcPr>
          <w:p w14:paraId="26A333DA"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27.647</w:t>
            </w:r>
          </w:p>
        </w:tc>
      </w:tr>
      <w:tr w:rsidR="007D7EEA" w14:paraId="07A02923" w14:textId="77777777">
        <w:trPr>
          <w:trHeight w:val="20"/>
        </w:trPr>
        <w:tc>
          <w:tcPr>
            <w:tcW w:w="1890" w:type="dxa"/>
            <w:tcBorders>
              <w:top w:val="nil"/>
              <w:left w:val="nil"/>
              <w:bottom w:val="nil"/>
              <w:right w:val="nil"/>
            </w:tcBorders>
            <w:shd w:val="clear" w:color="auto" w:fill="auto"/>
            <w:vAlign w:val="center"/>
          </w:tcPr>
          <w:p w14:paraId="174E5E6D"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Villa de Toledo</w:t>
            </w:r>
          </w:p>
        </w:tc>
        <w:tc>
          <w:tcPr>
            <w:tcW w:w="1080" w:type="dxa"/>
            <w:tcBorders>
              <w:top w:val="nil"/>
              <w:left w:val="nil"/>
              <w:bottom w:val="nil"/>
              <w:right w:val="nil"/>
            </w:tcBorders>
            <w:shd w:val="clear" w:color="auto" w:fill="auto"/>
            <w:vAlign w:val="center"/>
          </w:tcPr>
          <w:p w14:paraId="348931D9" w14:textId="77777777" w:rsidR="007D7EEA" w:rsidRDefault="00DD2A4D">
            <w:pPr>
              <w:spacing w:after="0" w:line="240" w:lineRule="auto"/>
              <w:ind w:right="-72"/>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w:t>
            </w:r>
          </w:p>
        </w:tc>
        <w:tc>
          <w:tcPr>
            <w:tcW w:w="1080" w:type="dxa"/>
            <w:tcBorders>
              <w:top w:val="nil"/>
              <w:left w:val="nil"/>
              <w:bottom w:val="nil"/>
              <w:right w:val="nil"/>
            </w:tcBorders>
            <w:shd w:val="clear" w:color="auto" w:fill="auto"/>
            <w:vAlign w:val="center"/>
          </w:tcPr>
          <w:p w14:paraId="0E4A18C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13.395</w:t>
            </w:r>
          </w:p>
        </w:tc>
        <w:tc>
          <w:tcPr>
            <w:tcW w:w="1080" w:type="dxa"/>
            <w:tcBorders>
              <w:top w:val="nil"/>
              <w:left w:val="nil"/>
              <w:bottom w:val="nil"/>
              <w:right w:val="nil"/>
            </w:tcBorders>
            <w:shd w:val="clear" w:color="auto" w:fill="auto"/>
            <w:vAlign w:val="center"/>
          </w:tcPr>
          <w:p w14:paraId="4BA5D7BF"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0.579</w:t>
            </w:r>
          </w:p>
        </w:tc>
        <w:tc>
          <w:tcPr>
            <w:tcW w:w="1080" w:type="dxa"/>
            <w:tcBorders>
              <w:top w:val="nil"/>
              <w:left w:val="nil"/>
              <w:bottom w:val="nil"/>
              <w:right w:val="nil"/>
            </w:tcBorders>
            <w:shd w:val="clear" w:color="auto" w:fill="auto"/>
            <w:vAlign w:val="center"/>
          </w:tcPr>
          <w:p w14:paraId="3452967A"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3.639</w:t>
            </w:r>
          </w:p>
        </w:tc>
        <w:tc>
          <w:tcPr>
            <w:tcW w:w="1080" w:type="dxa"/>
            <w:tcBorders>
              <w:top w:val="nil"/>
              <w:left w:val="nil"/>
              <w:bottom w:val="nil"/>
              <w:right w:val="nil"/>
            </w:tcBorders>
            <w:shd w:val="clear" w:color="auto" w:fill="auto"/>
            <w:vAlign w:val="center"/>
          </w:tcPr>
          <w:p w14:paraId="5F6382DC"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9.177</w:t>
            </w:r>
          </w:p>
        </w:tc>
      </w:tr>
      <w:tr w:rsidR="007D7EEA" w14:paraId="6A331B42" w14:textId="77777777">
        <w:trPr>
          <w:trHeight w:val="20"/>
        </w:trPr>
        <w:tc>
          <w:tcPr>
            <w:tcW w:w="1890" w:type="dxa"/>
            <w:tcBorders>
              <w:top w:val="nil"/>
              <w:left w:val="nil"/>
              <w:bottom w:val="nil"/>
              <w:right w:val="nil"/>
            </w:tcBorders>
            <w:shd w:val="clear" w:color="auto" w:fill="auto"/>
            <w:vAlign w:val="center"/>
          </w:tcPr>
          <w:p w14:paraId="2656D6D1"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Caceres</w:t>
            </w:r>
          </w:p>
        </w:tc>
        <w:tc>
          <w:tcPr>
            <w:tcW w:w="1080" w:type="dxa"/>
            <w:tcBorders>
              <w:top w:val="nil"/>
              <w:left w:val="nil"/>
              <w:bottom w:val="nil"/>
              <w:right w:val="nil"/>
            </w:tcBorders>
            <w:shd w:val="clear" w:color="auto" w:fill="auto"/>
            <w:vAlign w:val="center"/>
          </w:tcPr>
          <w:p w14:paraId="6C7BE51E" w14:textId="77777777" w:rsidR="007D7EEA" w:rsidRDefault="00DD2A4D">
            <w:pPr>
              <w:spacing w:after="0" w:line="240" w:lineRule="auto"/>
              <w:ind w:right="-72"/>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13</w:t>
            </w:r>
          </w:p>
        </w:tc>
        <w:tc>
          <w:tcPr>
            <w:tcW w:w="1080" w:type="dxa"/>
            <w:tcBorders>
              <w:top w:val="nil"/>
              <w:left w:val="nil"/>
              <w:bottom w:val="nil"/>
              <w:right w:val="nil"/>
            </w:tcBorders>
            <w:shd w:val="clear" w:color="auto" w:fill="auto"/>
            <w:vAlign w:val="center"/>
          </w:tcPr>
          <w:p w14:paraId="68119DE4"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23.040</w:t>
            </w:r>
          </w:p>
        </w:tc>
        <w:tc>
          <w:tcPr>
            <w:tcW w:w="1080" w:type="dxa"/>
            <w:tcBorders>
              <w:top w:val="nil"/>
              <w:left w:val="nil"/>
              <w:bottom w:val="nil"/>
              <w:right w:val="nil"/>
            </w:tcBorders>
            <w:shd w:val="clear" w:color="auto" w:fill="auto"/>
            <w:vAlign w:val="center"/>
          </w:tcPr>
          <w:p w14:paraId="06E3268C"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6.573</w:t>
            </w:r>
          </w:p>
        </w:tc>
        <w:tc>
          <w:tcPr>
            <w:tcW w:w="1080" w:type="dxa"/>
            <w:tcBorders>
              <w:top w:val="nil"/>
              <w:left w:val="nil"/>
              <w:bottom w:val="nil"/>
              <w:right w:val="nil"/>
            </w:tcBorders>
            <w:shd w:val="clear" w:color="auto" w:fill="auto"/>
            <w:vAlign w:val="center"/>
          </w:tcPr>
          <w:p w14:paraId="534A7FD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8.294</w:t>
            </w:r>
          </w:p>
        </w:tc>
        <w:tc>
          <w:tcPr>
            <w:tcW w:w="1080" w:type="dxa"/>
            <w:tcBorders>
              <w:top w:val="nil"/>
              <w:left w:val="nil"/>
              <w:bottom w:val="nil"/>
              <w:right w:val="nil"/>
            </w:tcBorders>
            <w:shd w:val="clear" w:color="auto" w:fill="auto"/>
            <w:vAlign w:val="center"/>
          </w:tcPr>
          <w:p w14:paraId="6C17DAD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8.173</w:t>
            </w:r>
          </w:p>
        </w:tc>
      </w:tr>
      <w:tr w:rsidR="007D7EEA" w14:paraId="66DCA503" w14:textId="77777777">
        <w:trPr>
          <w:trHeight w:val="20"/>
        </w:trPr>
        <w:tc>
          <w:tcPr>
            <w:tcW w:w="1890" w:type="dxa"/>
            <w:tcBorders>
              <w:top w:val="nil"/>
              <w:left w:val="nil"/>
              <w:bottom w:val="nil"/>
              <w:right w:val="nil"/>
            </w:tcBorders>
            <w:shd w:val="clear" w:color="auto" w:fill="auto"/>
            <w:vAlign w:val="center"/>
          </w:tcPr>
          <w:p w14:paraId="45A992CF"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Orchard</w:t>
            </w:r>
          </w:p>
        </w:tc>
        <w:tc>
          <w:tcPr>
            <w:tcW w:w="1080" w:type="dxa"/>
            <w:tcBorders>
              <w:top w:val="nil"/>
              <w:left w:val="nil"/>
              <w:bottom w:val="nil"/>
              <w:right w:val="nil"/>
            </w:tcBorders>
            <w:shd w:val="clear" w:color="auto" w:fill="auto"/>
            <w:vAlign w:val="center"/>
          </w:tcPr>
          <w:p w14:paraId="1571F541" w14:textId="77777777" w:rsidR="007D7EEA" w:rsidRDefault="00DD2A4D">
            <w:pPr>
              <w:spacing w:after="0" w:line="240" w:lineRule="auto"/>
              <w:ind w:right="-72"/>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11</w:t>
            </w:r>
          </w:p>
        </w:tc>
        <w:tc>
          <w:tcPr>
            <w:tcW w:w="1080" w:type="dxa"/>
            <w:tcBorders>
              <w:top w:val="nil"/>
              <w:left w:val="nil"/>
              <w:bottom w:val="nil"/>
              <w:right w:val="nil"/>
            </w:tcBorders>
            <w:shd w:val="clear" w:color="auto" w:fill="auto"/>
            <w:vAlign w:val="center"/>
          </w:tcPr>
          <w:p w14:paraId="4FDA813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15.480</w:t>
            </w:r>
          </w:p>
        </w:tc>
        <w:tc>
          <w:tcPr>
            <w:tcW w:w="1080" w:type="dxa"/>
            <w:tcBorders>
              <w:top w:val="nil"/>
              <w:left w:val="nil"/>
              <w:bottom w:val="nil"/>
              <w:right w:val="nil"/>
            </w:tcBorders>
            <w:shd w:val="clear" w:color="auto" w:fill="auto"/>
            <w:vAlign w:val="center"/>
          </w:tcPr>
          <w:p w14:paraId="0C9C53E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2.073</w:t>
            </w:r>
          </w:p>
        </w:tc>
        <w:tc>
          <w:tcPr>
            <w:tcW w:w="1080" w:type="dxa"/>
            <w:tcBorders>
              <w:top w:val="nil"/>
              <w:left w:val="nil"/>
              <w:bottom w:val="nil"/>
              <w:right w:val="nil"/>
            </w:tcBorders>
            <w:shd w:val="clear" w:color="auto" w:fill="auto"/>
            <w:vAlign w:val="center"/>
          </w:tcPr>
          <w:p w14:paraId="644BA9D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5.573</w:t>
            </w:r>
          </w:p>
        </w:tc>
        <w:tc>
          <w:tcPr>
            <w:tcW w:w="1080" w:type="dxa"/>
            <w:tcBorders>
              <w:top w:val="nil"/>
              <w:left w:val="nil"/>
              <w:bottom w:val="nil"/>
              <w:right w:val="nil"/>
            </w:tcBorders>
            <w:shd w:val="clear" w:color="auto" w:fill="auto"/>
            <w:vAlign w:val="center"/>
          </w:tcPr>
          <w:p w14:paraId="45BFB70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7.834</w:t>
            </w:r>
          </w:p>
        </w:tc>
      </w:tr>
      <w:tr w:rsidR="007D7EEA" w14:paraId="5E363FC3" w14:textId="77777777">
        <w:trPr>
          <w:trHeight w:val="317"/>
        </w:trPr>
        <w:tc>
          <w:tcPr>
            <w:tcW w:w="1890" w:type="dxa"/>
            <w:tcBorders>
              <w:top w:val="single" w:sz="8" w:space="0" w:color="auto"/>
              <w:left w:val="nil"/>
              <w:bottom w:val="double" w:sz="4" w:space="0" w:color="auto"/>
              <w:right w:val="nil"/>
            </w:tcBorders>
            <w:shd w:val="clear" w:color="auto" w:fill="auto"/>
            <w:vAlign w:val="center"/>
          </w:tcPr>
          <w:p w14:paraId="39B34366" w14:textId="77777777" w:rsidR="007D7EEA" w:rsidRDefault="00DD2A4D">
            <w:pPr>
              <w:spacing w:after="0" w:line="240" w:lineRule="auto"/>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Total</w:t>
            </w:r>
          </w:p>
        </w:tc>
        <w:tc>
          <w:tcPr>
            <w:tcW w:w="1080" w:type="dxa"/>
            <w:tcBorders>
              <w:top w:val="single" w:sz="8" w:space="0" w:color="auto"/>
              <w:left w:val="nil"/>
              <w:bottom w:val="double" w:sz="4" w:space="0" w:color="auto"/>
              <w:right w:val="nil"/>
            </w:tcBorders>
            <w:shd w:val="clear" w:color="auto" w:fill="auto"/>
            <w:vAlign w:val="center"/>
          </w:tcPr>
          <w:p w14:paraId="2D2D7BB2"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fldChar w:fldCharType="begin"/>
            </w:r>
            <w:r>
              <w:rPr>
                <w:rFonts w:ascii="Arial" w:eastAsia="Times New Roman" w:hAnsi="Arial" w:cs="Arial"/>
                <w:b/>
                <w:bCs/>
                <w:color w:val="000000"/>
                <w:sz w:val="20"/>
                <w:szCs w:val="20"/>
                <w:lang w:val="en-PH" w:eastAsia="en-PH"/>
              </w:rPr>
              <w:instrText xml:space="preserve"> =SUM(b3:b8) </w:instrText>
            </w:r>
            <w:r>
              <w:rPr>
                <w:rFonts w:ascii="Arial" w:eastAsia="Times New Roman" w:hAnsi="Arial" w:cs="Arial"/>
                <w:b/>
                <w:bCs/>
                <w:color w:val="000000"/>
                <w:sz w:val="20"/>
                <w:szCs w:val="20"/>
                <w:lang w:val="en-PH" w:eastAsia="en-PH"/>
              </w:rPr>
              <w:fldChar w:fldCharType="separate"/>
            </w:r>
            <w:r>
              <w:rPr>
                <w:rFonts w:ascii="Arial" w:eastAsia="Times New Roman" w:hAnsi="Arial" w:cs="Arial"/>
                <w:b/>
                <w:bCs/>
                <w:color w:val="000000"/>
                <w:sz w:val="20"/>
                <w:szCs w:val="20"/>
                <w:lang w:val="en-PH" w:eastAsia="en-PH"/>
              </w:rPr>
              <w:t>186</w:t>
            </w:r>
            <w:r>
              <w:rPr>
                <w:rFonts w:ascii="Arial" w:eastAsia="Times New Roman" w:hAnsi="Arial" w:cs="Arial"/>
                <w:b/>
                <w:bCs/>
                <w:color w:val="000000"/>
                <w:sz w:val="20"/>
                <w:szCs w:val="20"/>
                <w:lang w:val="en-PH" w:eastAsia="en-PH"/>
              </w:rPr>
              <w:fldChar w:fldCharType="end"/>
            </w:r>
          </w:p>
        </w:tc>
        <w:tc>
          <w:tcPr>
            <w:tcW w:w="1080" w:type="dxa"/>
            <w:tcBorders>
              <w:top w:val="single" w:sz="8" w:space="0" w:color="auto"/>
              <w:left w:val="nil"/>
              <w:bottom w:val="double" w:sz="4" w:space="0" w:color="auto"/>
              <w:right w:val="nil"/>
            </w:tcBorders>
            <w:shd w:val="clear" w:color="auto" w:fill="auto"/>
            <w:vAlign w:val="center"/>
          </w:tcPr>
          <w:p w14:paraId="44EF14C2" w14:textId="77777777" w:rsidR="007D7EEA" w:rsidRDefault="00DD2A4D">
            <w:pPr>
              <w:spacing w:after="0" w:line="240" w:lineRule="auto"/>
              <w:ind w:left="-5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363.113</w:t>
            </w:r>
          </w:p>
        </w:tc>
        <w:tc>
          <w:tcPr>
            <w:tcW w:w="1080" w:type="dxa"/>
            <w:tcBorders>
              <w:top w:val="single" w:sz="8" w:space="0" w:color="auto"/>
              <w:left w:val="nil"/>
              <w:bottom w:val="double" w:sz="4" w:space="0" w:color="auto"/>
              <w:right w:val="nil"/>
            </w:tcBorders>
            <w:shd w:val="clear" w:color="auto" w:fill="auto"/>
            <w:vAlign w:val="center"/>
          </w:tcPr>
          <w:p w14:paraId="22FC400D" w14:textId="77777777" w:rsidR="007D7EEA" w:rsidRDefault="00DD2A4D">
            <w:pPr>
              <w:spacing w:after="0" w:line="240" w:lineRule="auto"/>
              <w:ind w:left="-5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107.015</w:t>
            </w:r>
          </w:p>
        </w:tc>
        <w:tc>
          <w:tcPr>
            <w:tcW w:w="1080" w:type="dxa"/>
            <w:tcBorders>
              <w:top w:val="single" w:sz="8" w:space="0" w:color="auto"/>
              <w:left w:val="nil"/>
              <w:bottom w:val="double" w:sz="4" w:space="0" w:color="auto"/>
              <w:right w:val="nil"/>
            </w:tcBorders>
            <w:shd w:val="clear" w:color="auto" w:fill="auto"/>
            <w:vAlign w:val="center"/>
          </w:tcPr>
          <w:p w14:paraId="423209F0" w14:textId="77777777" w:rsidR="007D7EEA" w:rsidRDefault="00DD2A4D">
            <w:pPr>
              <w:spacing w:after="0" w:line="240" w:lineRule="auto"/>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88.120</w:t>
            </w:r>
          </w:p>
        </w:tc>
        <w:tc>
          <w:tcPr>
            <w:tcW w:w="1080" w:type="dxa"/>
            <w:tcBorders>
              <w:top w:val="single" w:sz="8" w:space="0" w:color="auto"/>
              <w:left w:val="nil"/>
              <w:bottom w:val="double" w:sz="4" w:space="0" w:color="auto"/>
              <w:right w:val="nil"/>
            </w:tcBorders>
            <w:shd w:val="clear" w:color="auto" w:fill="auto"/>
            <w:vAlign w:val="center"/>
          </w:tcPr>
          <w:p w14:paraId="14B42684" w14:textId="77777777" w:rsidR="007D7EEA" w:rsidRDefault="00DD2A4D" w:rsidP="00C15C5A">
            <w:pPr>
              <w:spacing w:after="0" w:line="240" w:lineRule="auto"/>
              <w:ind w:left="-5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 xml:space="preserve">P </w:t>
            </w:r>
            <w:r w:rsidR="00B566B7">
              <w:rPr>
                <w:rFonts w:ascii="Arial" w:eastAsia="Times New Roman" w:hAnsi="Arial" w:cs="Arial"/>
                <w:b/>
                <w:bCs/>
                <w:color w:val="000000"/>
                <w:sz w:val="20"/>
                <w:szCs w:val="20"/>
                <w:lang w:eastAsia="en-PH"/>
              </w:rPr>
              <w:t>167</w:t>
            </w:r>
            <w:r>
              <w:rPr>
                <w:rFonts w:ascii="Arial" w:eastAsia="Times New Roman" w:hAnsi="Arial" w:cs="Arial"/>
                <w:b/>
                <w:bCs/>
                <w:color w:val="000000"/>
                <w:sz w:val="20"/>
                <w:szCs w:val="20"/>
                <w:lang w:eastAsia="en-PH"/>
              </w:rPr>
              <w:t>.</w:t>
            </w:r>
            <w:r w:rsidR="00B566B7">
              <w:rPr>
                <w:rFonts w:ascii="Arial" w:eastAsia="Times New Roman" w:hAnsi="Arial" w:cs="Arial"/>
                <w:b/>
                <w:bCs/>
                <w:color w:val="000000"/>
                <w:sz w:val="20"/>
                <w:szCs w:val="20"/>
                <w:lang w:eastAsia="en-PH"/>
              </w:rPr>
              <w:t>978</w:t>
            </w:r>
          </w:p>
        </w:tc>
      </w:tr>
    </w:tbl>
    <w:p w14:paraId="62390350" w14:textId="77777777" w:rsidR="007D7EEA" w:rsidRPr="005B16E8" w:rsidRDefault="007D7EEA">
      <w:pPr>
        <w:spacing w:after="0" w:line="240" w:lineRule="auto"/>
        <w:contextualSpacing/>
        <w:rPr>
          <w:rFonts w:ascii="Arial" w:hAnsi="Arial" w:cs="Arial"/>
        </w:rPr>
      </w:pPr>
    </w:p>
    <w:p w14:paraId="40410E59" w14:textId="77777777" w:rsidR="007D7EEA" w:rsidRPr="005B16E8" w:rsidRDefault="00DD2A4D">
      <w:pPr>
        <w:pStyle w:val="ListParagraph"/>
        <w:numPr>
          <w:ilvl w:val="0"/>
          <w:numId w:val="40"/>
        </w:numPr>
        <w:ind w:left="1620"/>
        <w:contextualSpacing/>
        <w:rPr>
          <w:rFonts w:ascii="Arial" w:hAnsi="Arial" w:cs="Arial"/>
          <w:sz w:val="22"/>
          <w:szCs w:val="22"/>
        </w:rPr>
      </w:pPr>
      <w:r w:rsidRPr="005B16E8">
        <w:rPr>
          <w:rFonts w:ascii="Arial" w:hAnsi="Arial" w:cs="Arial"/>
          <w:sz w:val="22"/>
          <w:szCs w:val="22"/>
        </w:rPr>
        <w:t>Sell the following major assets:</w:t>
      </w:r>
    </w:p>
    <w:p w14:paraId="1AD03098" w14:textId="77777777" w:rsidR="007D7EEA" w:rsidRPr="005B16E8" w:rsidRDefault="007D7EEA">
      <w:pPr>
        <w:pStyle w:val="ListParagraph"/>
        <w:ind w:left="1620"/>
        <w:contextualSpacing/>
        <w:rPr>
          <w:rFonts w:ascii="Arial" w:hAnsi="Arial" w:cs="Arial"/>
          <w:sz w:val="22"/>
          <w:szCs w:val="22"/>
        </w:rPr>
      </w:pPr>
    </w:p>
    <w:tbl>
      <w:tblPr>
        <w:tblW w:w="7290" w:type="dxa"/>
        <w:tblInd w:w="1350" w:type="dxa"/>
        <w:tblLayout w:type="fixed"/>
        <w:tblLook w:val="04A0" w:firstRow="1" w:lastRow="0" w:firstColumn="1" w:lastColumn="0" w:noHBand="0" w:noVBand="1"/>
      </w:tblPr>
      <w:tblGrid>
        <w:gridCol w:w="2520"/>
        <w:gridCol w:w="1170"/>
        <w:gridCol w:w="1260"/>
        <w:gridCol w:w="1080"/>
        <w:gridCol w:w="1260"/>
      </w:tblGrid>
      <w:tr w:rsidR="007D7EEA" w14:paraId="10B17610" w14:textId="77777777" w:rsidTr="00B83144">
        <w:trPr>
          <w:trHeight w:val="432"/>
          <w:tblHeader/>
        </w:trPr>
        <w:tc>
          <w:tcPr>
            <w:tcW w:w="2520" w:type="dxa"/>
            <w:tcBorders>
              <w:top w:val="single" w:sz="8" w:space="0" w:color="auto"/>
              <w:left w:val="nil"/>
              <w:bottom w:val="single" w:sz="8" w:space="0" w:color="auto"/>
              <w:right w:val="nil"/>
            </w:tcBorders>
            <w:shd w:val="clear" w:color="auto" w:fill="auto"/>
            <w:vAlign w:val="center"/>
          </w:tcPr>
          <w:p w14:paraId="3FE4FCE7"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Properties</w:t>
            </w:r>
          </w:p>
        </w:tc>
        <w:tc>
          <w:tcPr>
            <w:tcW w:w="1170" w:type="dxa"/>
            <w:tcBorders>
              <w:top w:val="single" w:sz="8" w:space="0" w:color="auto"/>
              <w:left w:val="nil"/>
              <w:bottom w:val="single" w:sz="8" w:space="0" w:color="auto"/>
              <w:right w:val="nil"/>
            </w:tcBorders>
            <w:shd w:val="clear" w:color="auto" w:fill="auto"/>
            <w:vAlign w:val="center"/>
          </w:tcPr>
          <w:p w14:paraId="4EC700E9"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Gross sales</w:t>
            </w:r>
          </w:p>
        </w:tc>
        <w:tc>
          <w:tcPr>
            <w:tcW w:w="1260" w:type="dxa"/>
            <w:tcBorders>
              <w:top w:val="single" w:sz="8" w:space="0" w:color="auto"/>
              <w:left w:val="nil"/>
              <w:bottom w:val="single" w:sz="8" w:space="0" w:color="auto"/>
              <w:right w:val="nil"/>
            </w:tcBorders>
            <w:shd w:val="clear" w:color="auto" w:fill="auto"/>
            <w:vAlign w:val="center"/>
          </w:tcPr>
          <w:p w14:paraId="437AC010"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Cost of Sale</w:t>
            </w:r>
          </w:p>
        </w:tc>
        <w:tc>
          <w:tcPr>
            <w:tcW w:w="1080" w:type="dxa"/>
            <w:tcBorders>
              <w:top w:val="single" w:sz="8" w:space="0" w:color="auto"/>
              <w:left w:val="nil"/>
              <w:bottom w:val="single" w:sz="8" w:space="0" w:color="auto"/>
              <w:right w:val="nil"/>
            </w:tcBorders>
            <w:shd w:val="clear" w:color="auto" w:fill="auto"/>
            <w:vAlign w:val="center"/>
          </w:tcPr>
          <w:p w14:paraId="57270259"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Marketing expense</w:t>
            </w:r>
          </w:p>
        </w:tc>
        <w:tc>
          <w:tcPr>
            <w:tcW w:w="1260" w:type="dxa"/>
            <w:tcBorders>
              <w:top w:val="single" w:sz="8" w:space="0" w:color="auto"/>
              <w:left w:val="nil"/>
              <w:bottom w:val="single" w:sz="8" w:space="0" w:color="auto"/>
              <w:right w:val="nil"/>
            </w:tcBorders>
            <w:shd w:val="clear" w:color="auto" w:fill="auto"/>
            <w:vAlign w:val="center"/>
          </w:tcPr>
          <w:p w14:paraId="0E91F6B0"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Net gain</w:t>
            </w:r>
          </w:p>
        </w:tc>
      </w:tr>
      <w:tr w:rsidR="007D7EEA" w14:paraId="57058052" w14:textId="77777777">
        <w:trPr>
          <w:trHeight w:val="240"/>
        </w:trPr>
        <w:tc>
          <w:tcPr>
            <w:tcW w:w="7290" w:type="dxa"/>
            <w:gridSpan w:val="5"/>
            <w:tcBorders>
              <w:top w:val="single" w:sz="8" w:space="0" w:color="auto"/>
              <w:left w:val="nil"/>
              <w:bottom w:val="nil"/>
              <w:right w:val="nil"/>
            </w:tcBorders>
            <w:shd w:val="clear" w:color="auto" w:fill="auto"/>
            <w:vAlign w:val="center"/>
          </w:tcPr>
          <w:p w14:paraId="030AF92A"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(In million pesos)</w:t>
            </w:r>
          </w:p>
        </w:tc>
      </w:tr>
      <w:tr w:rsidR="007D7EEA" w14:paraId="429075E9" w14:textId="77777777">
        <w:trPr>
          <w:trHeight w:val="20"/>
        </w:trPr>
        <w:tc>
          <w:tcPr>
            <w:tcW w:w="2520" w:type="dxa"/>
            <w:tcBorders>
              <w:top w:val="nil"/>
              <w:left w:val="nil"/>
              <w:bottom w:val="nil"/>
              <w:right w:val="nil"/>
            </w:tcBorders>
            <w:shd w:val="clear" w:color="auto" w:fill="auto"/>
            <w:vAlign w:val="center"/>
          </w:tcPr>
          <w:p w14:paraId="0918AF3F"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Mexico, Pampanga</w:t>
            </w:r>
          </w:p>
        </w:tc>
        <w:tc>
          <w:tcPr>
            <w:tcW w:w="1170" w:type="dxa"/>
            <w:tcBorders>
              <w:top w:val="nil"/>
              <w:left w:val="nil"/>
              <w:bottom w:val="nil"/>
              <w:right w:val="nil"/>
            </w:tcBorders>
            <w:shd w:val="clear" w:color="auto" w:fill="auto"/>
            <w:vAlign w:val="center"/>
          </w:tcPr>
          <w:p w14:paraId="1307CC1F" w14:textId="77777777" w:rsidR="007D7EEA" w:rsidRDefault="00DD2A4D">
            <w:pPr>
              <w:spacing w:after="0" w:line="240" w:lineRule="auto"/>
              <w:ind w:left="-576"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422.146</w:t>
            </w:r>
          </w:p>
        </w:tc>
        <w:tc>
          <w:tcPr>
            <w:tcW w:w="1260" w:type="dxa"/>
            <w:tcBorders>
              <w:top w:val="nil"/>
              <w:left w:val="nil"/>
              <w:bottom w:val="nil"/>
              <w:right w:val="nil"/>
            </w:tcBorders>
            <w:shd w:val="clear" w:color="auto" w:fill="auto"/>
            <w:vAlign w:val="center"/>
          </w:tcPr>
          <w:p w14:paraId="2D2E78A3" w14:textId="77777777" w:rsidR="007D7EEA" w:rsidRDefault="00DD2A4D">
            <w:pPr>
              <w:spacing w:after="0" w:line="240" w:lineRule="auto"/>
              <w:ind w:left="-576"/>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122.545</w:t>
            </w:r>
          </w:p>
        </w:tc>
        <w:tc>
          <w:tcPr>
            <w:tcW w:w="1080" w:type="dxa"/>
            <w:tcBorders>
              <w:top w:val="nil"/>
              <w:left w:val="nil"/>
              <w:bottom w:val="nil"/>
              <w:right w:val="nil"/>
            </w:tcBorders>
            <w:shd w:val="clear" w:color="auto" w:fill="auto"/>
            <w:vAlign w:val="center"/>
          </w:tcPr>
          <w:p w14:paraId="6AD6C19B" w14:textId="77777777" w:rsidR="007D7EEA" w:rsidRDefault="00DD2A4D">
            <w:pPr>
              <w:spacing w:after="0" w:line="240" w:lineRule="auto"/>
              <w:ind w:left="-576"/>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25.329</w:t>
            </w:r>
          </w:p>
        </w:tc>
        <w:tc>
          <w:tcPr>
            <w:tcW w:w="1260" w:type="dxa"/>
            <w:tcBorders>
              <w:top w:val="nil"/>
              <w:left w:val="nil"/>
              <w:bottom w:val="nil"/>
              <w:right w:val="nil"/>
            </w:tcBorders>
            <w:shd w:val="clear" w:color="auto" w:fill="auto"/>
            <w:vAlign w:val="center"/>
          </w:tcPr>
          <w:p w14:paraId="4BCE4095" w14:textId="77777777" w:rsidR="007D7EEA" w:rsidRDefault="00DD2A4D">
            <w:pPr>
              <w:spacing w:after="0" w:line="240" w:lineRule="auto"/>
              <w:ind w:lef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274.272</w:t>
            </w:r>
          </w:p>
        </w:tc>
      </w:tr>
      <w:tr w:rsidR="007D7EEA" w14:paraId="3DB6D5D6" w14:textId="77777777" w:rsidTr="00B83144">
        <w:trPr>
          <w:trHeight w:val="20"/>
        </w:trPr>
        <w:tc>
          <w:tcPr>
            <w:tcW w:w="2520" w:type="dxa"/>
            <w:tcBorders>
              <w:top w:val="nil"/>
              <w:left w:val="nil"/>
              <w:bottom w:val="nil"/>
              <w:right w:val="nil"/>
            </w:tcBorders>
            <w:shd w:val="clear" w:color="auto" w:fill="auto"/>
            <w:vAlign w:val="center"/>
          </w:tcPr>
          <w:p w14:paraId="3B08470F"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Ciudad Verde 2</w:t>
            </w:r>
          </w:p>
        </w:tc>
        <w:tc>
          <w:tcPr>
            <w:tcW w:w="1170" w:type="dxa"/>
            <w:tcBorders>
              <w:top w:val="nil"/>
              <w:left w:val="nil"/>
              <w:bottom w:val="nil"/>
              <w:right w:val="nil"/>
            </w:tcBorders>
            <w:shd w:val="clear" w:color="auto" w:fill="auto"/>
            <w:vAlign w:val="center"/>
          </w:tcPr>
          <w:p w14:paraId="479AD501"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527.898</w:t>
            </w:r>
          </w:p>
        </w:tc>
        <w:tc>
          <w:tcPr>
            <w:tcW w:w="1260" w:type="dxa"/>
            <w:tcBorders>
              <w:top w:val="nil"/>
              <w:left w:val="nil"/>
              <w:bottom w:val="nil"/>
              <w:right w:val="nil"/>
            </w:tcBorders>
            <w:shd w:val="clear" w:color="auto" w:fill="auto"/>
            <w:vAlign w:val="center"/>
          </w:tcPr>
          <w:p w14:paraId="19EA56F1"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282.106</w:t>
            </w:r>
          </w:p>
        </w:tc>
        <w:tc>
          <w:tcPr>
            <w:tcW w:w="1080" w:type="dxa"/>
            <w:tcBorders>
              <w:top w:val="nil"/>
              <w:left w:val="nil"/>
              <w:bottom w:val="nil"/>
              <w:right w:val="nil"/>
            </w:tcBorders>
            <w:shd w:val="clear" w:color="auto" w:fill="auto"/>
            <w:vAlign w:val="center"/>
          </w:tcPr>
          <w:p w14:paraId="4E160B4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31.674</w:t>
            </w:r>
          </w:p>
        </w:tc>
        <w:tc>
          <w:tcPr>
            <w:tcW w:w="1260" w:type="dxa"/>
            <w:tcBorders>
              <w:top w:val="nil"/>
              <w:left w:val="nil"/>
              <w:bottom w:val="nil"/>
              <w:right w:val="nil"/>
            </w:tcBorders>
            <w:shd w:val="clear" w:color="auto" w:fill="auto"/>
            <w:vAlign w:val="center"/>
          </w:tcPr>
          <w:p w14:paraId="3EBB97AE"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214.118</w:t>
            </w:r>
          </w:p>
        </w:tc>
      </w:tr>
      <w:tr w:rsidR="007D7EEA" w14:paraId="7FA76189" w14:textId="77777777" w:rsidTr="00B83144">
        <w:trPr>
          <w:trHeight w:val="20"/>
        </w:trPr>
        <w:tc>
          <w:tcPr>
            <w:tcW w:w="2520" w:type="dxa"/>
            <w:tcBorders>
              <w:top w:val="nil"/>
              <w:left w:val="nil"/>
              <w:bottom w:val="nil"/>
              <w:right w:val="nil"/>
            </w:tcBorders>
            <w:shd w:val="clear" w:color="auto" w:fill="auto"/>
            <w:vAlign w:val="center"/>
          </w:tcPr>
          <w:p w14:paraId="2A36549A" w14:textId="77777777" w:rsidR="00663D1C" w:rsidRDefault="00DD2A4D">
            <w:pPr>
              <w:spacing w:after="0" w:line="240" w:lineRule="auto"/>
              <w:ind w:right="-108"/>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 xml:space="preserve">Tanauan Batangas </w:t>
            </w:r>
          </w:p>
          <w:p w14:paraId="015853F8" w14:textId="77777777" w:rsidR="007D7EEA" w:rsidRDefault="00DD2A4D" w:rsidP="00B83144">
            <w:pPr>
              <w:spacing w:after="0" w:line="240" w:lineRule="auto"/>
              <w:ind w:left="165" w:right="-108"/>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(39 Lots)</w:t>
            </w:r>
          </w:p>
        </w:tc>
        <w:tc>
          <w:tcPr>
            <w:tcW w:w="1170" w:type="dxa"/>
            <w:tcBorders>
              <w:top w:val="nil"/>
              <w:left w:val="nil"/>
              <w:bottom w:val="nil"/>
              <w:right w:val="nil"/>
            </w:tcBorders>
            <w:shd w:val="clear" w:color="auto" w:fill="auto"/>
            <w:vAlign w:val="center"/>
          </w:tcPr>
          <w:p w14:paraId="3499F12A"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355.864</w:t>
            </w:r>
          </w:p>
        </w:tc>
        <w:tc>
          <w:tcPr>
            <w:tcW w:w="1260" w:type="dxa"/>
            <w:tcBorders>
              <w:top w:val="nil"/>
              <w:left w:val="nil"/>
              <w:bottom w:val="nil"/>
              <w:right w:val="nil"/>
            </w:tcBorders>
            <w:shd w:val="clear" w:color="auto" w:fill="auto"/>
            <w:vAlign w:val="center"/>
          </w:tcPr>
          <w:p w14:paraId="10C5A836"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161.882</w:t>
            </w:r>
          </w:p>
        </w:tc>
        <w:tc>
          <w:tcPr>
            <w:tcW w:w="1080" w:type="dxa"/>
            <w:tcBorders>
              <w:top w:val="nil"/>
              <w:left w:val="nil"/>
              <w:bottom w:val="nil"/>
              <w:right w:val="nil"/>
            </w:tcBorders>
            <w:shd w:val="clear" w:color="auto" w:fill="auto"/>
            <w:vAlign w:val="center"/>
          </w:tcPr>
          <w:p w14:paraId="09D2D754"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21.352</w:t>
            </w:r>
          </w:p>
        </w:tc>
        <w:tc>
          <w:tcPr>
            <w:tcW w:w="1260" w:type="dxa"/>
            <w:tcBorders>
              <w:top w:val="nil"/>
              <w:left w:val="nil"/>
              <w:bottom w:val="nil"/>
              <w:right w:val="nil"/>
            </w:tcBorders>
            <w:shd w:val="clear" w:color="auto" w:fill="auto"/>
            <w:vAlign w:val="center"/>
          </w:tcPr>
          <w:p w14:paraId="789B7A1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172.630</w:t>
            </w:r>
          </w:p>
        </w:tc>
      </w:tr>
      <w:tr w:rsidR="007D7EEA" w14:paraId="546A76EB" w14:textId="77777777" w:rsidTr="00B83144">
        <w:trPr>
          <w:trHeight w:val="20"/>
        </w:trPr>
        <w:tc>
          <w:tcPr>
            <w:tcW w:w="2520" w:type="dxa"/>
            <w:tcBorders>
              <w:top w:val="nil"/>
              <w:left w:val="nil"/>
              <w:bottom w:val="nil"/>
              <w:right w:val="nil"/>
            </w:tcBorders>
            <w:shd w:val="clear" w:color="auto" w:fill="auto"/>
            <w:vAlign w:val="center"/>
          </w:tcPr>
          <w:p w14:paraId="5355CE90"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RSCCI Shares</w:t>
            </w:r>
          </w:p>
        </w:tc>
        <w:tc>
          <w:tcPr>
            <w:tcW w:w="1170" w:type="dxa"/>
            <w:tcBorders>
              <w:top w:val="nil"/>
              <w:left w:val="nil"/>
              <w:bottom w:val="nil"/>
              <w:right w:val="nil"/>
            </w:tcBorders>
            <w:shd w:val="clear" w:color="auto" w:fill="auto"/>
            <w:vAlign w:val="center"/>
          </w:tcPr>
          <w:p w14:paraId="1DE245A7"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338.580</w:t>
            </w:r>
          </w:p>
        </w:tc>
        <w:tc>
          <w:tcPr>
            <w:tcW w:w="1260" w:type="dxa"/>
            <w:tcBorders>
              <w:top w:val="nil"/>
              <w:left w:val="nil"/>
              <w:bottom w:val="nil"/>
              <w:right w:val="nil"/>
            </w:tcBorders>
            <w:shd w:val="clear" w:color="auto" w:fill="auto"/>
            <w:vAlign w:val="center"/>
          </w:tcPr>
          <w:p w14:paraId="0C96DB4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145.832</w:t>
            </w:r>
          </w:p>
        </w:tc>
        <w:tc>
          <w:tcPr>
            <w:tcW w:w="1080" w:type="dxa"/>
            <w:tcBorders>
              <w:top w:val="nil"/>
              <w:left w:val="nil"/>
              <w:bottom w:val="nil"/>
              <w:right w:val="nil"/>
            </w:tcBorders>
            <w:shd w:val="clear" w:color="auto" w:fill="auto"/>
            <w:vAlign w:val="center"/>
          </w:tcPr>
          <w:p w14:paraId="1266205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20.315</w:t>
            </w:r>
          </w:p>
        </w:tc>
        <w:tc>
          <w:tcPr>
            <w:tcW w:w="1260" w:type="dxa"/>
            <w:tcBorders>
              <w:top w:val="nil"/>
              <w:left w:val="nil"/>
              <w:bottom w:val="nil"/>
              <w:right w:val="nil"/>
            </w:tcBorders>
            <w:shd w:val="clear" w:color="auto" w:fill="auto"/>
            <w:vAlign w:val="center"/>
          </w:tcPr>
          <w:p w14:paraId="72F24C6A"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172.433</w:t>
            </w:r>
          </w:p>
        </w:tc>
      </w:tr>
      <w:tr w:rsidR="007D7EEA" w14:paraId="15B37AF1" w14:textId="77777777" w:rsidTr="00B83144">
        <w:trPr>
          <w:trHeight w:val="20"/>
        </w:trPr>
        <w:tc>
          <w:tcPr>
            <w:tcW w:w="2520" w:type="dxa"/>
            <w:tcBorders>
              <w:top w:val="nil"/>
              <w:left w:val="nil"/>
              <w:bottom w:val="nil"/>
              <w:right w:val="nil"/>
            </w:tcBorders>
            <w:shd w:val="clear" w:color="auto" w:fill="auto"/>
            <w:vAlign w:val="center"/>
          </w:tcPr>
          <w:p w14:paraId="1360EB51" w14:textId="77777777" w:rsidR="007D7EEA" w:rsidRDefault="00DD2A4D">
            <w:pPr>
              <w:spacing w:after="0" w:line="240" w:lineRule="auto"/>
              <w:ind w:left="216" w:hanging="216"/>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Green Meadows Commercial Lots</w:t>
            </w:r>
          </w:p>
        </w:tc>
        <w:tc>
          <w:tcPr>
            <w:tcW w:w="1170" w:type="dxa"/>
            <w:tcBorders>
              <w:top w:val="nil"/>
              <w:left w:val="nil"/>
              <w:bottom w:val="nil"/>
              <w:right w:val="nil"/>
            </w:tcBorders>
            <w:shd w:val="clear" w:color="auto" w:fill="auto"/>
            <w:vAlign w:val="bottom"/>
          </w:tcPr>
          <w:p w14:paraId="08304305"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187.796</w:t>
            </w:r>
          </w:p>
        </w:tc>
        <w:tc>
          <w:tcPr>
            <w:tcW w:w="1260" w:type="dxa"/>
            <w:tcBorders>
              <w:top w:val="nil"/>
              <w:left w:val="nil"/>
              <w:bottom w:val="nil"/>
              <w:right w:val="nil"/>
            </w:tcBorders>
            <w:shd w:val="clear" w:color="auto" w:fill="auto"/>
            <w:vAlign w:val="bottom"/>
          </w:tcPr>
          <w:p w14:paraId="3E87B9F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31.008</w:t>
            </w:r>
          </w:p>
        </w:tc>
        <w:tc>
          <w:tcPr>
            <w:tcW w:w="1080" w:type="dxa"/>
            <w:tcBorders>
              <w:top w:val="nil"/>
              <w:left w:val="nil"/>
              <w:bottom w:val="nil"/>
              <w:right w:val="nil"/>
            </w:tcBorders>
            <w:shd w:val="clear" w:color="auto" w:fill="auto"/>
            <w:vAlign w:val="bottom"/>
          </w:tcPr>
          <w:p w14:paraId="77F5CD1C"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11.268</w:t>
            </w:r>
          </w:p>
        </w:tc>
        <w:tc>
          <w:tcPr>
            <w:tcW w:w="1260" w:type="dxa"/>
            <w:tcBorders>
              <w:top w:val="nil"/>
              <w:left w:val="nil"/>
              <w:bottom w:val="nil"/>
              <w:right w:val="nil"/>
            </w:tcBorders>
            <w:shd w:val="clear" w:color="auto" w:fill="auto"/>
            <w:vAlign w:val="bottom"/>
          </w:tcPr>
          <w:p w14:paraId="2BCA949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145.520</w:t>
            </w:r>
          </w:p>
        </w:tc>
      </w:tr>
      <w:tr w:rsidR="007D7EEA" w14:paraId="64EA43CF" w14:textId="77777777" w:rsidTr="00B83144">
        <w:trPr>
          <w:trHeight w:val="20"/>
        </w:trPr>
        <w:tc>
          <w:tcPr>
            <w:tcW w:w="2520" w:type="dxa"/>
            <w:tcBorders>
              <w:top w:val="nil"/>
              <w:left w:val="nil"/>
              <w:bottom w:val="nil"/>
              <w:right w:val="nil"/>
            </w:tcBorders>
            <w:shd w:val="clear" w:color="auto" w:fill="auto"/>
            <w:vAlign w:val="center"/>
          </w:tcPr>
          <w:p w14:paraId="21801C5C"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St Michael Tower</w:t>
            </w:r>
          </w:p>
        </w:tc>
        <w:tc>
          <w:tcPr>
            <w:tcW w:w="1170" w:type="dxa"/>
            <w:tcBorders>
              <w:top w:val="nil"/>
              <w:left w:val="nil"/>
              <w:bottom w:val="nil"/>
              <w:right w:val="nil"/>
            </w:tcBorders>
            <w:shd w:val="clear" w:color="auto" w:fill="auto"/>
            <w:vAlign w:val="center"/>
          </w:tcPr>
          <w:p w14:paraId="4ACCC0B9"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400.000</w:t>
            </w:r>
          </w:p>
        </w:tc>
        <w:tc>
          <w:tcPr>
            <w:tcW w:w="1260" w:type="dxa"/>
            <w:tcBorders>
              <w:top w:val="nil"/>
              <w:left w:val="nil"/>
              <w:bottom w:val="nil"/>
              <w:right w:val="nil"/>
            </w:tcBorders>
            <w:shd w:val="clear" w:color="auto" w:fill="auto"/>
            <w:vAlign w:val="center"/>
          </w:tcPr>
          <w:p w14:paraId="2C0A681A"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254.702</w:t>
            </w:r>
          </w:p>
        </w:tc>
        <w:tc>
          <w:tcPr>
            <w:tcW w:w="1080" w:type="dxa"/>
            <w:tcBorders>
              <w:top w:val="nil"/>
              <w:left w:val="nil"/>
              <w:bottom w:val="nil"/>
              <w:right w:val="nil"/>
            </w:tcBorders>
            <w:shd w:val="clear" w:color="auto" w:fill="auto"/>
            <w:vAlign w:val="center"/>
          </w:tcPr>
          <w:p w14:paraId="264880B1"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24.000</w:t>
            </w:r>
          </w:p>
        </w:tc>
        <w:tc>
          <w:tcPr>
            <w:tcW w:w="1260" w:type="dxa"/>
            <w:tcBorders>
              <w:top w:val="nil"/>
              <w:left w:val="nil"/>
              <w:bottom w:val="nil"/>
              <w:right w:val="nil"/>
            </w:tcBorders>
            <w:shd w:val="clear" w:color="auto" w:fill="auto"/>
            <w:vAlign w:val="center"/>
          </w:tcPr>
          <w:p w14:paraId="467DD89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121.298</w:t>
            </w:r>
          </w:p>
        </w:tc>
      </w:tr>
      <w:tr w:rsidR="007D7EEA" w14:paraId="333F7320" w14:textId="77777777" w:rsidTr="00B83144">
        <w:trPr>
          <w:trHeight w:val="20"/>
        </w:trPr>
        <w:tc>
          <w:tcPr>
            <w:tcW w:w="2520" w:type="dxa"/>
            <w:tcBorders>
              <w:top w:val="nil"/>
              <w:left w:val="nil"/>
              <w:bottom w:val="nil"/>
              <w:right w:val="nil"/>
            </w:tcBorders>
            <w:shd w:val="clear" w:color="auto" w:fill="auto"/>
            <w:vAlign w:val="center"/>
          </w:tcPr>
          <w:p w14:paraId="0A385630"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San Lorenzo Lot 1959 A</w:t>
            </w:r>
          </w:p>
        </w:tc>
        <w:tc>
          <w:tcPr>
            <w:tcW w:w="1170" w:type="dxa"/>
            <w:tcBorders>
              <w:top w:val="nil"/>
              <w:left w:val="nil"/>
              <w:bottom w:val="nil"/>
              <w:right w:val="nil"/>
            </w:tcBorders>
            <w:shd w:val="clear" w:color="auto" w:fill="auto"/>
            <w:vAlign w:val="center"/>
          </w:tcPr>
          <w:p w14:paraId="2E4F17D3"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21.171</w:t>
            </w:r>
          </w:p>
        </w:tc>
        <w:tc>
          <w:tcPr>
            <w:tcW w:w="1260" w:type="dxa"/>
            <w:tcBorders>
              <w:top w:val="nil"/>
              <w:left w:val="nil"/>
              <w:bottom w:val="nil"/>
              <w:right w:val="nil"/>
            </w:tcBorders>
            <w:shd w:val="clear" w:color="auto" w:fill="auto"/>
            <w:vAlign w:val="center"/>
          </w:tcPr>
          <w:p w14:paraId="2B51CFD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3.916</w:t>
            </w:r>
          </w:p>
        </w:tc>
        <w:tc>
          <w:tcPr>
            <w:tcW w:w="1080" w:type="dxa"/>
            <w:tcBorders>
              <w:top w:val="nil"/>
              <w:left w:val="nil"/>
              <w:bottom w:val="nil"/>
              <w:right w:val="nil"/>
            </w:tcBorders>
            <w:shd w:val="clear" w:color="auto" w:fill="auto"/>
            <w:vAlign w:val="center"/>
          </w:tcPr>
          <w:p w14:paraId="7C9E80C7"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1.270</w:t>
            </w:r>
          </w:p>
        </w:tc>
        <w:tc>
          <w:tcPr>
            <w:tcW w:w="1260" w:type="dxa"/>
            <w:tcBorders>
              <w:top w:val="nil"/>
              <w:left w:val="nil"/>
              <w:bottom w:val="nil"/>
              <w:right w:val="nil"/>
            </w:tcBorders>
            <w:shd w:val="clear" w:color="auto" w:fill="auto"/>
            <w:vAlign w:val="center"/>
          </w:tcPr>
          <w:p w14:paraId="67BF5C2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15.985</w:t>
            </w:r>
          </w:p>
        </w:tc>
      </w:tr>
      <w:tr w:rsidR="007D7EEA" w14:paraId="507D45E7" w14:textId="77777777" w:rsidTr="00B83144">
        <w:trPr>
          <w:trHeight w:val="20"/>
        </w:trPr>
        <w:tc>
          <w:tcPr>
            <w:tcW w:w="2520" w:type="dxa"/>
            <w:tcBorders>
              <w:top w:val="nil"/>
              <w:left w:val="nil"/>
              <w:bottom w:val="nil"/>
              <w:right w:val="nil"/>
            </w:tcBorders>
            <w:shd w:val="clear" w:color="auto" w:fill="auto"/>
            <w:vAlign w:val="center"/>
          </w:tcPr>
          <w:p w14:paraId="2430717C" w14:textId="77777777" w:rsidR="007D7EEA" w:rsidRDefault="00DD2A4D">
            <w:pPr>
              <w:spacing w:after="0" w:line="240" w:lineRule="auto"/>
              <w:rPr>
                <w:rFonts w:ascii="Arial" w:eastAsia="Times New Roman" w:hAnsi="Arial" w:cs="Arial"/>
                <w:color w:val="000000"/>
                <w:sz w:val="20"/>
                <w:szCs w:val="20"/>
                <w:lang w:val="en-PH" w:eastAsia="en-PH"/>
              </w:rPr>
            </w:pPr>
            <w:proofErr w:type="spellStart"/>
            <w:r>
              <w:rPr>
                <w:rFonts w:ascii="Arial" w:eastAsia="Times New Roman" w:hAnsi="Arial" w:cs="Arial"/>
                <w:color w:val="000000"/>
                <w:sz w:val="20"/>
                <w:szCs w:val="20"/>
                <w:lang w:eastAsia="en-PH"/>
              </w:rPr>
              <w:t>Calubcob</w:t>
            </w:r>
            <w:proofErr w:type="spellEnd"/>
            <w:r>
              <w:rPr>
                <w:rFonts w:ascii="Arial" w:eastAsia="Times New Roman" w:hAnsi="Arial" w:cs="Arial"/>
                <w:color w:val="000000"/>
                <w:sz w:val="20"/>
                <w:szCs w:val="20"/>
                <w:lang w:eastAsia="en-PH"/>
              </w:rPr>
              <w:t xml:space="preserve"> Silang Cavite</w:t>
            </w:r>
          </w:p>
        </w:tc>
        <w:tc>
          <w:tcPr>
            <w:tcW w:w="1170" w:type="dxa"/>
            <w:tcBorders>
              <w:top w:val="nil"/>
              <w:left w:val="nil"/>
              <w:bottom w:val="nil"/>
              <w:right w:val="nil"/>
            </w:tcBorders>
            <w:shd w:val="clear" w:color="auto" w:fill="auto"/>
            <w:vAlign w:val="center"/>
          </w:tcPr>
          <w:p w14:paraId="717E7A3C" w14:textId="77777777" w:rsidR="007D7EEA" w:rsidRDefault="00DD2A4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59.051</w:t>
            </w:r>
          </w:p>
        </w:tc>
        <w:tc>
          <w:tcPr>
            <w:tcW w:w="1260" w:type="dxa"/>
            <w:tcBorders>
              <w:top w:val="nil"/>
              <w:left w:val="nil"/>
              <w:bottom w:val="nil"/>
              <w:right w:val="nil"/>
            </w:tcBorders>
            <w:shd w:val="clear" w:color="auto" w:fill="auto"/>
            <w:vAlign w:val="center"/>
          </w:tcPr>
          <w:p w14:paraId="1C2447FC"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43.750</w:t>
            </w:r>
          </w:p>
        </w:tc>
        <w:tc>
          <w:tcPr>
            <w:tcW w:w="1080" w:type="dxa"/>
            <w:tcBorders>
              <w:top w:val="nil"/>
              <w:left w:val="nil"/>
              <w:bottom w:val="nil"/>
              <w:right w:val="nil"/>
            </w:tcBorders>
            <w:shd w:val="clear" w:color="auto" w:fill="auto"/>
            <w:vAlign w:val="center"/>
          </w:tcPr>
          <w:p w14:paraId="36EA4F83"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3.543</w:t>
            </w:r>
          </w:p>
        </w:tc>
        <w:tc>
          <w:tcPr>
            <w:tcW w:w="1260" w:type="dxa"/>
            <w:tcBorders>
              <w:top w:val="nil"/>
              <w:left w:val="nil"/>
              <w:bottom w:val="nil"/>
              <w:right w:val="nil"/>
            </w:tcBorders>
            <w:shd w:val="clear" w:color="auto" w:fill="auto"/>
            <w:vAlign w:val="center"/>
          </w:tcPr>
          <w:p w14:paraId="55F91A9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11.758</w:t>
            </w:r>
          </w:p>
        </w:tc>
      </w:tr>
      <w:tr w:rsidR="00A2600D" w14:paraId="349A3E5B" w14:textId="77777777" w:rsidTr="00B83144">
        <w:trPr>
          <w:trHeight w:val="20"/>
        </w:trPr>
        <w:tc>
          <w:tcPr>
            <w:tcW w:w="2520" w:type="dxa"/>
            <w:tcBorders>
              <w:top w:val="nil"/>
              <w:left w:val="nil"/>
              <w:bottom w:val="nil"/>
              <w:right w:val="nil"/>
            </w:tcBorders>
            <w:shd w:val="clear" w:color="auto" w:fill="auto"/>
            <w:vAlign w:val="center"/>
          </w:tcPr>
          <w:p w14:paraId="08D88795" w14:textId="77777777" w:rsidR="00A2600D" w:rsidRDefault="00A2600D" w:rsidP="000966CD">
            <w:pPr>
              <w:spacing w:after="0" w:line="240" w:lineRule="auto"/>
              <w:rPr>
                <w:rFonts w:ascii="Arial" w:eastAsia="Times New Roman" w:hAnsi="Arial" w:cs="Arial"/>
                <w:color w:val="000000"/>
                <w:sz w:val="20"/>
                <w:szCs w:val="20"/>
                <w:lang w:eastAsia="en-PH"/>
              </w:rPr>
            </w:pPr>
            <w:r>
              <w:rPr>
                <w:rFonts w:ascii="Arial" w:eastAsia="Times New Roman" w:hAnsi="Arial" w:cs="Arial"/>
                <w:i/>
                <w:color w:val="000000"/>
                <w:sz w:val="20"/>
                <w:szCs w:val="20"/>
                <w:lang w:eastAsia="en-PH"/>
              </w:rPr>
              <w:t>(Forward)</w:t>
            </w:r>
          </w:p>
        </w:tc>
        <w:tc>
          <w:tcPr>
            <w:tcW w:w="1170" w:type="dxa"/>
            <w:tcBorders>
              <w:top w:val="nil"/>
              <w:left w:val="nil"/>
              <w:bottom w:val="nil"/>
              <w:right w:val="nil"/>
            </w:tcBorders>
            <w:shd w:val="clear" w:color="auto" w:fill="auto"/>
            <w:vAlign w:val="center"/>
          </w:tcPr>
          <w:p w14:paraId="75D614B3" w14:textId="77777777" w:rsidR="00A2600D" w:rsidRDefault="00A2600D" w:rsidP="000966CD">
            <w:pPr>
              <w:spacing w:after="0" w:line="240" w:lineRule="auto"/>
              <w:ind w:right="-58"/>
              <w:jc w:val="right"/>
              <w:rPr>
                <w:rFonts w:ascii="Arial" w:eastAsia="Times New Roman" w:hAnsi="Arial" w:cs="Arial"/>
                <w:color w:val="000000"/>
                <w:sz w:val="20"/>
                <w:szCs w:val="20"/>
                <w:lang w:eastAsia="en-PH"/>
              </w:rPr>
            </w:pPr>
          </w:p>
        </w:tc>
        <w:tc>
          <w:tcPr>
            <w:tcW w:w="1260" w:type="dxa"/>
            <w:tcBorders>
              <w:top w:val="nil"/>
              <w:left w:val="nil"/>
              <w:bottom w:val="nil"/>
              <w:right w:val="nil"/>
            </w:tcBorders>
            <w:shd w:val="clear" w:color="auto" w:fill="auto"/>
            <w:vAlign w:val="center"/>
          </w:tcPr>
          <w:p w14:paraId="30E5125C" w14:textId="77777777" w:rsidR="00A2600D" w:rsidRDefault="00A2600D" w:rsidP="000966CD">
            <w:pPr>
              <w:spacing w:after="0" w:line="240" w:lineRule="auto"/>
              <w:jc w:val="right"/>
              <w:rPr>
                <w:rFonts w:ascii="Arial" w:eastAsia="Times New Roman" w:hAnsi="Arial" w:cs="Arial"/>
                <w:color w:val="000000"/>
                <w:sz w:val="20"/>
                <w:szCs w:val="20"/>
                <w:lang w:eastAsia="en-PH"/>
              </w:rPr>
            </w:pPr>
          </w:p>
        </w:tc>
        <w:tc>
          <w:tcPr>
            <w:tcW w:w="1080" w:type="dxa"/>
            <w:tcBorders>
              <w:top w:val="nil"/>
              <w:left w:val="nil"/>
              <w:bottom w:val="nil"/>
              <w:right w:val="nil"/>
            </w:tcBorders>
            <w:shd w:val="clear" w:color="auto" w:fill="auto"/>
            <w:vAlign w:val="center"/>
          </w:tcPr>
          <w:p w14:paraId="5EFE2CA9" w14:textId="77777777" w:rsidR="00A2600D" w:rsidRDefault="00A2600D" w:rsidP="000966CD">
            <w:pPr>
              <w:spacing w:after="0" w:line="240" w:lineRule="auto"/>
              <w:jc w:val="right"/>
              <w:rPr>
                <w:rFonts w:ascii="Arial" w:eastAsia="Times New Roman" w:hAnsi="Arial" w:cs="Arial"/>
                <w:color w:val="000000"/>
                <w:sz w:val="20"/>
                <w:szCs w:val="20"/>
                <w:lang w:eastAsia="en-PH"/>
              </w:rPr>
            </w:pPr>
          </w:p>
        </w:tc>
        <w:tc>
          <w:tcPr>
            <w:tcW w:w="1260" w:type="dxa"/>
            <w:tcBorders>
              <w:top w:val="nil"/>
              <w:left w:val="nil"/>
              <w:bottom w:val="nil"/>
              <w:right w:val="nil"/>
            </w:tcBorders>
            <w:shd w:val="clear" w:color="auto" w:fill="auto"/>
            <w:vAlign w:val="center"/>
          </w:tcPr>
          <w:p w14:paraId="5804360C" w14:textId="77777777" w:rsidR="00A2600D" w:rsidRDefault="00A2600D" w:rsidP="000966CD">
            <w:pPr>
              <w:spacing w:after="0" w:line="240" w:lineRule="auto"/>
              <w:jc w:val="right"/>
              <w:rPr>
                <w:rFonts w:ascii="Arial" w:eastAsia="Times New Roman" w:hAnsi="Arial" w:cs="Arial"/>
                <w:color w:val="000000"/>
                <w:sz w:val="20"/>
                <w:szCs w:val="20"/>
                <w:lang w:eastAsia="en-PH"/>
              </w:rPr>
            </w:pPr>
          </w:p>
        </w:tc>
      </w:tr>
      <w:tr w:rsidR="000966CD" w14:paraId="71C73E15" w14:textId="77777777" w:rsidTr="00B83144">
        <w:trPr>
          <w:trHeight w:val="20"/>
        </w:trPr>
        <w:tc>
          <w:tcPr>
            <w:tcW w:w="2520" w:type="dxa"/>
            <w:tcBorders>
              <w:top w:val="nil"/>
              <w:left w:val="nil"/>
              <w:bottom w:val="nil"/>
              <w:right w:val="nil"/>
            </w:tcBorders>
            <w:shd w:val="clear" w:color="auto" w:fill="auto"/>
            <w:vAlign w:val="center"/>
          </w:tcPr>
          <w:p w14:paraId="70EF9A36" w14:textId="77777777" w:rsidR="000966CD" w:rsidRDefault="000966CD" w:rsidP="000966CD">
            <w:pPr>
              <w:spacing w:after="0" w:line="240" w:lineRule="auto"/>
              <w:ind w:left="216" w:hanging="216"/>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lastRenderedPageBreak/>
              <w:t>Gen San Property Lot 26/10600</w:t>
            </w:r>
          </w:p>
        </w:tc>
        <w:tc>
          <w:tcPr>
            <w:tcW w:w="1170" w:type="dxa"/>
            <w:tcBorders>
              <w:top w:val="nil"/>
              <w:left w:val="nil"/>
              <w:bottom w:val="nil"/>
              <w:right w:val="nil"/>
            </w:tcBorders>
            <w:shd w:val="clear" w:color="auto" w:fill="auto"/>
            <w:vAlign w:val="bottom"/>
          </w:tcPr>
          <w:p w14:paraId="32FC0E04" w14:textId="77777777" w:rsidR="000966CD" w:rsidRDefault="000966CD" w:rsidP="000966C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99.437</w:t>
            </w:r>
          </w:p>
        </w:tc>
        <w:tc>
          <w:tcPr>
            <w:tcW w:w="1260" w:type="dxa"/>
            <w:tcBorders>
              <w:top w:val="nil"/>
              <w:left w:val="nil"/>
              <w:bottom w:val="nil"/>
              <w:right w:val="nil"/>
            </w:tcBorders>
            <w:shd w:val="clear" w:color="auto" w:fill="auto"/>
            <w:vAlign w:val="bottom"/>
          </w:tcPr>
          <w:p w14:paraId="0AB287CC"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81.874</w:t>
            </w:r>
          </w:p>
        </w:tc>
        <w:tc>
          <w:tcPr>
            <w:tcW w:w="1080" w:type="dxa"/>
            <w:tcBorders>
              <w:top w:val="nil"/>
              <w:left w:val="nil"/>
              <w:bottom w:val="nil"/>
              <w:right w:val="nil"/>
            </w:tcBorders>
            <w:shd w:val="clear" w:color="auto" w:fill="auto"/>
            <w:vAlign w:val="bottom"/>
          </w:tcPr>
          <w:p w14:paraId="7E105680"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5.966</w:t>
            </w:r>
          </w:p>
        </w:tc>
        <w:tc>
          <w:tcPr>
            <w:tcW w:w="1260" w:type="dxa"/>
            <w:tcBorders>
              <w:top w:val="nil"/>
              <w:left w:val="nil"/>
              <w:bottom w:val="nil"/>
              <w:right w:val="nil"/>
            </w:tcBorders>
            <w:shd w:val="clear" w:color="auto" w:fill="auto"/>
            <w:vAlign w:val="bottom"/>
          </w:tcPr>
          <w:p w14:paraId="53D371F2"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11.597</w:t>
            </w:r>
          </w:p>
        </w:tc>
      </w:tr>
      <w:tr w:rsidR="000966CD" w14:paraId="2831ACF2" w14:textId="77777777" w:rsidTr="00B83144">
        <w:trPr>
          <w:trHeight w:val="20"/>
        </w:trPr>
        <w:tc>
          <w:tcPr>
            <w:tcW w:w="2520" w:type="dxa"/>
            <w:tcBorders>
              <w:top w:val="nil"/>
              <w:left w:val="nil"/>
              <w:bottom w:val="nil"/>
              <w:right w:val="nil"/>
            </w:tcBorders>
            <w:shd w:val="clear" w:color="auto" w:fill="auto"/>
            <w:vAlign w:val="center"/>
          </w:tcPr>
          <w:p w14:paraId="03A59E6C" w14:textId="77777777" w:rsidR="000966CD" w:rsidRDefault="000966CD" w:rsidP="000966C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Gen San Property Lot 2</w:t>
            </w:r>
          </w:p>
        </w:tc>
        <w:tc>
          <w:tcPr>
            <w:tcW w:w="1170" w:type="dxa"/>
            <w:tcBorders>
              <w:top w:val="nil"/>
              <w:left w:val="nil"/>
              <w:bottom w:val="nil"/>
              <w:right w:val="nil"/>
            </w:tcBorders>
            <w:shd w:val="clear" w:color="auto" w:fill="auto"/>
            <w:vAlign w:val="center"/>
          </w:tcPr>
          <w:p w14:paraId="03BB5334" w14:textId="77777777" w:rsidR="000966CD" w:rsidRDefault="000966CD" w:rsidP="000966C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84.045</w:t>
            </w:r>
          </w:p>
        </w:tc>
        <w:tc>
          <w:tcPr>
            <w:tcW w:w="1260" w:type="dxa"/>
            <w:tcBorders>
              <w:top w:val="nil"/>
              <w:left w:val="nil"/>
              <w:bottom w:val="nil"/>
              <w:right w:val="nil"/>
            </w:tcBorders>
            <w:shd w:val="clear" w:color="auto" w:fill="auto"/>
            <w:vAlign w:val="center"/>
          </w:tcPr>
          <w:p w14:paraId="4473ADAF"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69.201</w:t>
            </w:r>
          </w:p>
        </w:tc>
        <w:tc>
          <w:tcPr>
            <w:tcW w:w="1080" w:type="dxa"/>
            <w:tcBorders>
              <w:top w:val="nil"/>
              <w:left w:val="nil"/>
              <w:bottom w:val="nil"/>
              <w:right w:val="nil"/>
            </w:tcBorders>
            <w:shd w:val="clear" w:color="auto" w:fill="auto"/>
            <w:vAlign w:val="center"/>
          </w:tcPr>
          <w:p w14:paraId="24DAEA78"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5.043</w:t>
            </w:r>
          </w:p>
        </w:tc>
        <w:tc>
          <w:tcPr>
            <w:tcW w:w="1260" w:type="dxa"/>
            <w:tcBorders>
              <w:top w:val="nil"/>
              <w:left w:val="nil"/>
              <w:bottom w:val="nil"/>
              <w:right w:val="nil"/>
            </w:tcBorders>
            <w:shd w:val="clear" w:color="auto" w:fill="auto"/>
            <w:vAlign w:val="center"/>
          </w:tcPr>
          <w:p w14:paraId="7D61B38A"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9.801</w:t>
            </w:r>
          </w:p>
        </w:tc>
      </w:tr>
      <w:tr w:rsidR="000966CD" w14:paraId="2903CF54" w14:textId="77777777" w:rsidTr="00B83144">
        <w:trPr>
          <w:trHeight w:val="20"/>
        </w:trPr>
        <w:tc>
          <w:tcPr>
            <w:tcW w:w="2520" w:type="dxa"/>
            <w:tcBorders>
              <w:top w:val="nil"/>
              <w:left w:val="nil"/>
              <w:bottom w:val="single" w:sz="8" w:space="0" w:color="auto"/>
              <w:right w:val="nil"/>
            </w:tcBorders>
            <w:shd w:val="clear" w:color="auto" w:fill="auto"/>
            <w:vAlign w:val="center"/>
          </w:tcPr>
          <w:p w14:paraId="14C4847A" w14:textId="77777777" w:rsidR="000966CD" w:rsidRDefault="000966CD" w:rsidP="000966C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San Lorenzo Lot 1959 B</w:t>
            </w:r>
          </w:p>
        </w:tc>
        <w:tc>
          <w:tcPr>
            <w:tcW w:w="1170" w:type="dxa"/>
            <w:tcBorders>
              <w:top w:val="nil"/>
              <w:left w:val="nil"/>
              <w:bottom w:val="single" w:sz="8" w:space="0" w:color="auto"/>
              <w:right w:val="nil"/>
            </w:tcBorders>
            <w:shd w:val="clear" w:color="auto" w:fill="auto"/>
            <w:vAlign w:val="center"/>
          </w:tcPr>
          <w:p w14:paraId="521AF783" w14:textId="77777777" w:rsidR="000966CD" w:rsidRDefault="000966CD" w:rsidP="000966CD">
            <w:pPr>
              <w:spacing w:after="0" w:line="240" w:lineRule="auto"/>
              <w:ind w:right="-58"/>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8.174</w:t>
            </w:r>
          </w:p>
        </w:tc>
        <w:tc>
          <w:tcPr>
            <w:tcW w:w="1260" w:type="dxa"/>
            <w:tcBorders>
              <w:top w:val="nil"/>
              <w:left w:val="nil"/>
              <w:bottom w:val="single" w:sz="8" w:space="0" w:color="auto"/>
              <w:right w:val="nil"/>
            </w:tcBorders>
            <w:shd w:val="clear" w:color="auto" w:fill="auto"/>
            <w:vAlign w:val="center"/>
          </w:tcPr>
          <w:p w14:paraId="6F964975"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1.512</w:t>
            </w:r>
          </w:p>
        </w:tc>
        <w:tc>
          <w:tcPr>
            <w:tcW w:w="1080" w:type="dxa"/>
            <w:tcBorders>
              <w:top w:val="nil"/>
              <w:left w:val="nil"/>
              <w:bottom w:val="single" w:sz="8" w:space="0" w:color="auto"/>
              <w:right w:val="nil"/>
            </w:tcBorders>
            <w:shd w:val="clear" w:color="auto" w:fill="auto"/>
            <w:vAlign w:val="center"/>
          </w:tcPr>
          <w:p w14:paraId="738D0AC8"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0.490</w:t>
            </w:r>
          </w:p>
        </w:tc>
        <w:tc>
          <w:tcPr>
            <w:tcW w:w="1260" w:type="dxa"/>
            <w:tcBorders>
              <w:top w:val="nil"/>
              <w:left w:val="nil"/>
              <w:bottom w:val="single" w:sz="8" w:space="0" w:color="auto"/>
              <w:right w:val="nil"/>
            </w:tcBorders>
            <w:shd w:val="clear" w:color="auto" w:fill="auto"/>
            <w:vAlign w:val="center"/>
          </w:tcPr>
          <w:p w14:paraId="04E38F79" w14:textId="77777777" w:rsidR="000966CD" w:rsidRDefault="000966CD" w:rsidP="000966C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6.172</w:t>
            </w:r>
          </w:p>
        </w:tc>
      </w:tr>
      <w:tr w:rsidR="000966CD" w14:paraId="112BD94C" w14:textId="77777777">
        <w:trPr>
          <w:trHeight w:val="317"/>
        </w:trPr>
        <w:tc>
          <w:tcPr>
            <w:tcW w:w="2520" w:type="dxa"/>
            <w:tcBorders>
              <w:top w:val="single" w:sz="8" w:space="0" w:color="auto"/>
              <w:left w:val="nil"/>
              <w:bottom w:val="double" w:sz="4" w:space="0" w:color="auto"/>
              <w:right w:val="nil"/>
            </w:tcBorders>
            <w:shd w:val="clear" w:color="auto" w:fill="auto"/>
            <w:vAlign w:val="center"/>
          </w:tcPr>
          <w:p w14:paraId="1235901A" w14:textId="77777777" w:rsidR="000966CD" w:rsidRDefault="000966CD" w:rsidP="000966CD">
            <w:pPr>
              <w:spacing w:after="0" w:line="240" w:lineRule="auto"/>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Total</w:t>
            </w:r>
          </w:p>
        </w:tc>
        <w:tc>
          <w:tcPr>
            <w:tcW w:w="1170" w:type="dxa"/>
            <w:tcBorders>
              <w:top w:val="single" w:sz="8" w:space="0" w:color="auto"/>
              <w:left w:val="nil"/>
              <w:bottom w:val="double" w:sz="4" w:space="0" w:color="auto"/>
              <w:right w:val="nil"/>
            </w:tcBorders>
            <w:shd w:val="clear" w:color="auto" w:fill="auto"/>
            <w:vAlign w:val="center"/>
          </w:tcPr>
          <w:p w14:paraId="2BE5ECF8" w14:textId="77777777" w:rsidR="000966CD" w:rsidRDefault="000966CD" w:rsidP="000966CD">
            <w:pPr>
              <w:spacing w:after="0" w:line="240" w:lineRule="auto"/>
              <w:ind w:left="-576" w:right="-5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2,504.162</w:t>
            </w:r>
          </w:p>
        </w:tc>
        <w:tc>
          <w:tcPr>
            <w:tcW w:w="1260" w:type="dxa"/>
            <w:tcBorders>
              <w:top w:val="single" w:sz="8" w:space="0" w:color="auto"/>
              <w:left w:val="nil"/>
              <w:bottom w:val="double" w:sz="4" w:space="0" w:color="auto"/>
              <w:right w:val="nil"/>
            </w:tcBorders>
            <w:shd w:val="clear" w:color="auto" w:fill="auto"/>
            <w:vAlign w:val="center"/>
          </w:tcPr>
          <w:p w14:paraId="2EC0B06D" w14:textId="77777777" w:rsidR="000966CD" w:rsidRDefault="000966CD" w:rsidP="000966CD">
            <w:pPr>
              <w:spacing w:after="0" w:line="240" w:lineRule="auto"/>
              <w:ind w:left="-576"/>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1,198.328</w:t>
            </w:r>
          </w:p>
        </w:tc>
        <w:tc>
          <w:tcPr>
            <w:tcW w:w="1080" w:type="dxa"/>
            <w:tcBorders>
              <w:top w:val="single" w:sz="8" w:space="0" w:color="auto"/>
              <w:left w:val="nil"/>
              <w:bottom w:val="double" w:sz="4" w:space="0" w:color="auto"/>
              <w:right w:val="nil"/>
            </w:tcBorders>
            <w:shd w:val="clear" w:color="auto" w:fill="auto"/>
            <w:vAlign w:val="center"/>
          </w:tcPr>
          <w:p w14:paraId="313D0045" w14:textId="77777777" w:rsidR="000966CD" w:rsidRDefault="000966CD" w:rsidP="000966CD">
            <w:pPr>
              <w:spacing w:after="0" w:line="240" w:lineRule="auto"/>
              <w:ind w:left="-576"/>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150.250</w:t>
            </w:r>
          </w:p>
        </w:tc>
        <w:tc>
          <w:tcPr>
            <w:tcW w:w="1260" w:type="dxa"/>
            <w:tcBorders>
              <w:top w:val="single" w:sz="8" w:space="0" w:color="auto"/>
              <w:left w:val="nil"/>
              <w:bottom w:val="double" w:sz="4" w:space="0" w:color="auto"/>
              <w:right w:val="nil"/>
            </w:tcBorders>
            <w:shd w:val="clear" w:color="auto" w:fill="auto"/>
            <w:vAlign w:val="center"/>
          </w:tcPr>
          <w:p w14:paraId="0C40132A" w14:textId="77777777" w:rsidR="000966CD" w:rsidRDefault="000966CD" w:rsidP="000966CD">
            <w:pPr>
              <w:spacing w:after="0" w:line="240" w:lineRule="auto"/>
              <w:ind w:left="-58"/>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1,155.584</w:t>
            </w:r>
          </w:p>
        </w:tc>
      </w:tr>
    </w:tbl>
    <w:p w14:paraId="5A3C046F" w14:textId="77777777" w:rsidR="007D7EEA" w:rsidRPr="005B16E8" w:rsidRDefault="007D7EEA">
      <w:pPr>
        <w:pStyle w:val="ListParagraph"/>
        <w:ind w:left="1620"/>
        <w:contextualSpacing/>
        <w:rPr>
          <w:rFonts w:ascii="Arial" w:hAnsi="Arial" w:cs="Arial"/>
          <w:sz w:val="22"/>
          <w:szCs w:val="22"/>
        </w:rPr>
      </w:pPr>
    </w:p>
    <w:p w14:paraId="4B830FA2" w14:textId="77777777" w:rsidR="007D7EEA" w:rsidRPr="005B16E8" w:rsidRDefault="00DD2A4D">
      <w:pPr>
        <w:pStyle w:val="ListParagraph"/>
        <w:numPr>
          <w:ilvl w:val="0"/>
          <w:numId w:val="40"/>
        </w:numPr>
        <w:ind w:left="1620"/>
        <w:contextualSpacing/>
        <w:jc w:val="both"/>
        <w:rPr>
          <w:rFonts w:ascii="Arial" w:hAnsi="Arial" w:cs="Arial"/>
          <w:sz w:val="22"/>
          <w:szCs w:val="22"/>
        </w:rPr>
      </w:pPr>
      <w:r w:rsidRPr="005B16E8">
        <w:rPr>
          <w:rFonts w:ascii="Arial" w:hAnsi="Arial" w:cs="Arial"/>
          <w:sz w:val="22"/>
          <w:szCs w:val="22"/>
        </w:rPr>
        <w:t>Sell equity holdings or shares of stocks in the following subsidiaries/ affiliates:</w:t>
      </w:r>
    </w:p>
    <w:p w14:paraId="7DFB969C" w14:textId="77777777" w:rsidR="007D7EEA" w:rsidRPr="005B16E8" w:rsidRDefault="007D7EEA">
      <w:pPr>
        <w:pStyle w:val="ListParagraph"/>
        <w:ind w:left="1620"/>
        <w:contextualSpacing/>
        <w:rPr>
          <w:rFonts w:ascii="Arial" w:hAnsi="Arial" w:cs="Arial"/>
          <w:sz w:val="22"/>
          <w:szCs w:val="22"/>
        </w:rPr>
      </w:pPr>
    </w:p>
    <w:tbl>
      <w:tblPr>
        <w:tblW w:w="7290" w:type="dxa"/>
        <w:tblInd w:w="1350" w:type="dxa"/>
        <w:tblLayout w:type="fixed"/>
        <w:tblLook w:val="04A0" w:firstRow="1" w:lastRow="0" w:firstColumn="1" w:lastColumn="0" w:noHBand="0" w:noVBand="1"/>
      </w:tblPr>
      <w:tblGrid>
        <w:gridCol w:w="3060"/>
        <w:gridCol w:w="990"/>
        <w:gridCol w:w="990"/>
        <w:gridCol w:w="1017"/>
        <w:gridCol w:w="1233"/>
      </w:tblGrid>
      <w:tr w:rsidR="007D7EEA" w14:paraId="3B7084D5" w14:textId="77777777">
        <w:trPr>
          <w:trHeight w:val="20"/>
          <w:tblHeader/>
        </w:trPr>
        <w:tc>
          <w:tcPr>
            <w:tcW w:w="3060" w:type="dxa"/>
            <w:tcBorders>
              <w:top w:val="single" w:sz="4" w:space="0" w:color="auto"/>
              <w:bottom w:val="single" w:sz="4" w:space="0" w:color="auto"/>
            </w:tcBorders>
            <w:shd w:val="clear" w:color="auto" w:fill="auto"/>
            <w:vAlign w:val="center"/>
          </w:tcPr>
          <w:p w14:paraId="37CDD9EE" w14:textId="77777777" w:rsidR="007D7EEA" w:rsidRDefault="00DD2A4D">
            <w:pPr>
              <w:spacing w:after="0" w:line="240" w:lineRule="auto"/>
              <w:ind w:left="-58" w:right="-58"/>
              <w:jc w:val="center"/>
              <w:rPr>
                <w:rFonts w:ascii="Arial" w:hAnsi="Arial" w:cs="Arial"/>
                <w:b/>
                <w:sz w:val="20"/>
                <w:szCs w:val="20"/>
                <w:lang w:val="en-PH"/>
              </w:rPr>
            </w:pPr>
            <w:r>
              <w:rPr>
                <w:rFonts w:ascii="Arial" w:hAnsi="Arial" w:cs="Arial"/>
                <w:b/>
                <w:sz w:val="20"/>
                <w:szCs w:val="20"/>
                <w:lang w:val="en-PH"/>
              </w:rPr>
              <w:t>Subsidiary</w:t>
            </w:r>
          </w:p>
        </w:tc>
        <w:tc>
          <w:tcPr>
            <w:tcW w:w="990" w:type="dxa"/>
            <w:tcBorders>
              <w:top w:val="single" w:sz="4" w:space="0" w:color="auto"/>
              <w:bottom w:val="single" w:sz="4" w:space="0" w:color="auto"/>
            </w:tcBorders>
            <w:vAlign w:val="center"/>
          </w:tcPr>
          <w:p w14:paraId="6F2E51A8" w14:textId="77777777" w:rsidR="007D7EEA" w:rsidRDefault="00DD2A4D">
            <w:pPr>
              <w:tabs>
                <w:tab w:val="left" w:pos="0"/>
              </w:tabs>
              <w:spacing w:after="0" w:line="240" w:lineRule="auto"/>
              <w:ind w:left="-58" w:right="-58"/>
              <w:jc w:val="center"/>
              <w:rPr>
                <w:rFonts w:ascii="Arial" w:hAnsi="Arial" w:cs="Arial"/>
                <w:b/>
                <w:sz w:val="20"/>
                <w:szCs w:val="20"/>
                <w:lang w:val="en-PH"/>
              </w:rPr>
            </w:pPr>
            <w:r>
              <w:rPr>
                <w:rFonts w:ascii="Arial" w:hAnsi="Arial" w:cs="Arial"/>
                <w:b/>
                <w:sz w:val="20"/>
                <w:szCs w:val="20"/>
                <w:lang w:val="en-PH"/>
              </w:rPr>
              <w:t>Gross sales</w:t>
            </w:r>
          </w:p>
        </w:tc>
        <w:tc>
          <w:tcPr>
            <w:tcW w:w="990" w:type="dxa"/>
            <w:tcBorders>
              <w:top w:val="single" w:sz="4" w:space="0" w:color="auto"/>
              <w:bottom w:val="single" w:sz="4" w:space="0" w:color="auto"/>
            </w:tcBorders>
            <w:vAlign w:val="center"/>
          </w:tcPr>
          <w:p w14:paraId="5EFF7DD6" w14:textId="77777777" w:rsidR="007D7EEA" w:rsidRDefault="00DD2A4D">
            <w:pPr>
              <w:tabs>
                <w:tab w:val="left" w:pos="0"/>
              </w:tabs>
              <w:spacing w:after="0" w:line="240" w:lineRule="auto"/>
              <w:ind w:left="-58" w:right="-58"/>
              <w:jc w:val="center"/>
              <w:rPr>
                <w:rFonts w:ascii="Arial" w:hAnsi="Arial" w:cs="Arial"/>
                <w:b/>
                <w:sz w:val="20"/>
                <w:szCs w:val="20"/>
                <w:lang w:val="en-PH"/>
              </w:rPr>
            </w:pPr>
            <w:r>
              <w:rPr>
                <w:rFonts w:ascii="Arial" w:eastAsia="Times New Roman" w:hAnsi="Arial" w:cs="Arial"/>
                <w:b/>
                <w:bCs/>
                <w:color w:val="000000"/>
                <w:sz w:val="20"/>
                <w:szCs w:val="20"/>
                <w:lang w:val="en-PH" w:eastAsia="en-PH"/>
              </w:rPr>
              <w:t>Cost of Sale</w:t>
            </w:r>
          </w:p>
        </w:tc>
        <w:tc>
          <w:tcPr>
            <w:tcW w:w="1017" w:type="dxa"/>
            <w:tcBorders>
              <w:top w:val="single" w:sz="4" w:space="0" w:color="auto"/>
              <w:bottom w:val="single" w:sz="4" w:space="0" w:color="auto"/>
            </w:tcBorders>
            <w:vAlign w:val="center"/>
          </w:tcPr>
          <w:p w14:paraId="0A8B527D" w14:textId="77777777" w:rsidR="007D7EEA" w:rsidRDefault="00DD2A4D">
            <w:pPr>
              <w:spacing w:after="0" w:line="240" w:lineRule="auto"/>
              <w:ind w:left="-58" w:right="-58"/>
              <w:jc w:val="center"/>
              <w:rPr>
                <w:rFonts w:ascii="Arial" w:hAnsi="Arial" w:cs="Arial"/>
                <w:b/>
                <w:sz w:val="20"/>
                <w:szCs w:val="20"/>
                <w:lang w:val="en-PH"/>
              </w:rPr>
            </w:pPr>
            <w:r>
              <w:rPr>
                <w:rFonts w:ascii="Arial" w:hAnsi="Arial" w:cs="Arial"/>
                <w:b/>
                <w:sz w:val="20"/>
                <w:szCs w:val="20"/>
                <w:lang w:val="en-PH"/>
              </w:rPr>
              <w:t>CGT*/</w:t>
            </w:r>
          </w:p>
          <w:p w14:paraId="1DE82D6D" w14:textId="77777777" w:rsidR="007D7EEA" w:rsidRDefault="00DD2A4D">
            <w:pPr>
              <w:spacing w:after="0" w:line="240" w:lineRule="auto"/>
              <w:ind w:left="-58" w:right="-58"/>
              <w:jc w:val="center"/>
              <w:rPr>
                <w:rFonts w:ascii="Arial" w:hAnsi="Arial" w:cs="Arial"/>
                <w:b/>
                <w:sz w:val="20"/>
                <w:szCs w:val="20"/>
                <w:lang w:val="en-PH"/>
              </w:rPr>
            </w:pPr>
            <w:r>
              <w:rPr>
                <w:rFonts w:ascii="Arial" w:hAnsi="Arial" w:cs="Arial"/>
                <w:b/>
                <w:sz w:val="20"/>
                <w:szCs w:val="20"/>
                <w:lang w:val="en-PH"/>
              </w:rPr>
              <w:t>DST**</w:t>
            </w:r>
          </w:p>
        </w:tc>
        <w:tc>
          <w:tcPr>
            <w:tcW w:w="1233" w:type="dxa"/>
            <w:tcBorders>
              <w:top w:val="single" w:sz="4" w:space="0" w:color="auto"/>
              <w:bottom w:val="single" w:sz="4" w:space="0" w:color="auto"/>
            </w:tcBorders>
            <w:shd w:val="clear" w:color="auto" w:fill="auto"/>
            <w:vAlign w:val="center"/>
          </w:tcPr>
          <w:p w14:paraId="6F2361EC" w14:textId="77777777" w:rsidR="007D7EEA" w:rsidRDefault="00DD2A4D">
            <w:pPr>
              <w:tabs>
                <w:tab w:val="left" w:pos="0"/>
              </w:tabs>
              <w:spacing w:after="0" w:line="240" w:lineRule="auto"/>
              <w:ind w:left="-58" w:right="-58"/>
              <w:jc w:val="center"/>
              <w:rPr>
                <w:rFonts w:ascii="Arial" w:hAnsi="Arial" w:cs="Arial"/>
                <w:b/>
                <w:sz w:val="20"/>
                <w:szCs w:val="20"/>
                <w:lang w:val="en-PH"/>
              </w:rPr>
            </w:pPr>
            <w:r>
              <w:rPr>
                <w:rFonts w:ascii="Arial" w:hAnsi="Arial" w:cs="Arial"/>
                <w:b/>
                <w:sz w:val="20"/>
                <w:szCs w:val="20"/>
                <w:lang w:val="en-PH"/>
              </w:rPr>
              <w:t>Net Gain/ (Loss)</w:t>
            </w:r>
          </w:p>
        </w:tc>
      </w:tr>
      <w:tr w:rsidR="007D7EEA" w14:paraId="598D5D91" w14:textId="77777777">
        <w:trPr>
          <w:trHeight w:val="20"/>
        </w:trPr>
        <w:tc>
          <w:tcPr>
            <w:tcW w:w="7290" w:type="dxa"/>
            <w:gridSpan w:val="5"/>
            <w:shd w:val="clear" w:color="auto" w:fill="auto"/>
            <w:vAlign w:val="bottom"/>
          </w:tcPr>
          <w:p w14:paraId="66A4C102" w14:textId="77777777" w:rsidR="007D7EEA" w:rsidRDefault="00DD2A4D">
            <w:pPr>
              <w:tabs>
                <w:tab w:val="left" w:pos="-57"/>
                <w:tab w:val="left" w:pos="1242"/>
              </w:tabs>
              <w:spacing w:after="0" w:line="240" w:lineRule="auto"/>
              <w:jc w:val="center"/>
              <w:rPr>
                <w:rFonts w:ascii="Arial" w:hAnsi="Arial" w:cs="Arial"/>
                <w:b/>
                <w:sz w:val="20"/>
                <w:szCs w:val="20"/>
                <w:lang w:val="en-PH"/>
              </w:rPr>
            </w:pPr>
            <w:r>
              <w:rPr>
                <w:rFonts w:ascii="Arial" w:hAnsi="Arial" w:cs="Arial"/>
                <w:b/>
                <w:sz w:val="20"/>
                <w:szCs w:val="20"/>
                <w:lang w:val="en-PH"/>
              </w:rPr>
              <w:t>(In Million Pesos)</w:t>
            </w:r>
          </w:p>
        </w:tc>
      </w:tr>
      <w:tr w:rsidR="007D7EEA" w14:paraId="2CF9E701" w14:textId="77777777">
        <w:trPr>
          <w:trHeight w:val="20"/>
        </w:trPr>
        <w:tc>
          <w:tcPr>
            <w:tcW w:w="3060" w:type="dxa"/>
            <w:shd w:val="clear" w:color="auto" w:fill="auto"/>
          </w:tcPr>
          <w:p w14:paraId="1F4B5679" w14:textId="77777777" w:rsidR="007D7EEA" w:rsidRDefault="00DD2A4D" w:rsidP="000966CD">
            <w:pPr>
              <w:pStyle w:val="ListParagraph"/>
              <w:tabs>
                <w:tab w:val="left" w:pos="142"/>
              </w:tabs>
              <w:ind w:left="158" w:right="-58" w:hanging="216"/>
              <w:rPr>
                <w:rFonts w:ascii="Arial" w:hAnsi="Arial" w:cs="Arial"/>
                <w:sz w:val="20"/>
                <w:szCs w:val="20"/>
                <w:lang w:val="en-PH"/>
              </w:rPr>
            </w:pPr>
            <w:r>
              <w:rPr>
                <w:rFonts w:ascii="Arial" w:hAnsi="Arial" w:cs="Arial"/>
                <w:sz w:val="20"/>
                <w:szCs w:val="20"/>
                <w:lang w:val="en-PH"/>
              </w:rPr>
              <w:t>Southern Utilities Management and Services, Inc. (SUMSI)</w:t>
            </w:r>
          </w:p>
        </w:tc>
        <w:tc>
          <w:tcPr>
            <w:tcW w:w="990" w:type="dxa"/>
            <w:vAlign w:val="bottom"/>
          </w:tcPr>
          <w:p w14:paraId="28412EC9" w14:textId="77777777" w:rsidR="007D7EEA" w:rsidRDefault="00DD2A4D">
            <w:pPr>
              <w:pStyle w:val="ListParagraph"/>
              <w:tabs>
                <w:tab w:val="left" w:pos="142"/>
              </w:tabs>
              <w:ind w:left="-144" w:right="-57"/>
              <w:jc w:val="right"/>
              <w:rPr>
                <w:rFonts w:ascii="Arial" w:hAnsi="Arial" w:cs="Arial"/>
                <w:sz w:val="20"/>
                <w:szCs w:val="20"/>
              </w:rPr>
            </w:pPr>
            <w:r>
              <w:rPr>
                <w:rFonts w:ascii="Arial" w:hAnsi="Arial" w:cs="Arial"/>
                <w:sz w:val="20"/>
                <w:szCs w:val="20"/>
              </w:rPr>
              <w:t>P   30.000</w:t>
            </w:r>
          </w:p>
        </w:tc>
        <w:tc>
          <w:tcPr>
            <w:tcW w:w="990" w:type="dxa"/>
            <w:vAlign w:val="bottom"/>
          </w:tcPr>
          <w:p w14:paraId="67AC8BCA" w14:textId="77777777" w:rsidR="007D7EEA" w:rsidRDefault="00DD2A4D">
            <w:pPr>
              <w:pStyle w:val="ListParagraph"/>
              <w:tabs>
                <w:tab w:val="left" w:pos="142"/>
              </w:tabs>
              <w:ind w:left="-144" w:right="-57"/>
              <w:jc w:val="right"/>
              <w:rPr>
                <w:rFonts w:ascii="Arial" w:hAnsi="Arial" w:cs="Arial"/>
                <w:sz w:val="20"/>
                <w:szCs w:val="20"/>
              </w:rPr>
            </w:pPr>
            <w:r>
              <w:rPr>
                <w:rFonts w:ascii="Arial" w:hAnsi="Arial" w:cs="Arial"/>
                <w:sz w:val="20"/>
                <w:szCs w:val="20"/>
              </w:rPr>
              <w:t>P   20.244</w:t>
            </w:r>
          </w:p>
        </w:tc>
        <w:tc>
          <w:tcPr>
            <w:tcW w:w="1017" w:type="dxa"/>
            <w:vAlign w:val="bottom"/>
          </w:tcPr>
          <w:p w14:paraId="617BBC1E" w14:textId="77777777" w:rsidR="007D7EEA" w:rsidRDefault="00DD2A4D">
            <w:pPr>
              <w:pStyle w:val="ListParagraph"/>
              <w:tabs>
                <w:tab w:val="left" w:pos="142"/>
              </w:tabs>
              <w:ind w:left="-57" w:right="-57"/>
              <w:jc w:val="right"/>
              <w:rPr>
                <w:rFonts w:ascii="Arial" w:hAnsi="Arial" w:cs="Arial"/>
                <w:sz w:val="20"/>
                <w:szCs w:val="20"/>
              </w:rPr>
            </w:pPr>
            <w:r>
              <w:rPr>
                <w:rFonts w:ascii="Arial" w:hAnsi="Arial" w:cs="Arial"/>
                <w:sz w:val="20"/>
                <w:szCs w:val="20"/>
              </w:rPr>
              <w:t>P     4.800</w:t>
            </w:r>
          </w:p>
        </w:tc>
        <w:tc>
          <w:tcPr>
            <w:tcW w:w="1233" w:type="dxa"/>
            <w:shd w:val="clear" w:color="auto" w:fill="auto"/>
            <w:vAlign w:val="bottom"/>
          </w:tcPr>
          <w:p w14:paraId="62ECAEC7" w14:textId="77777777" w:rsidR="007D7EEA" w:rsidRDefault="00DD2A4D">
            <w:pPr>
              <w:pStyle w:val="ListParagraph"/>
              <w:tabs>
                <w:tab w:val="left" w:pos="-57"/>
              </w:tabs>
              <w:ind w:left="-144"/>
              <w:jc w:val="right"/>
              <w:rPr>
                <w:rFonts w:ascii="Arial" w:hAnsi="Arial" w:cs="Arial"/>
                <w:sz w:val="20"/>
                <w:szCs w:val="20"/>
                <w:lang w:val="en-PH"/>
              </w:rPr>
            </w:pPr>
            <w:r>
              <w:rPr>
                <w:rFonts w:ascii="Arial" w:hAnsi="Arial" w:cs="Arial"/>
                <w:sz w:val="20"/>
                <w:szCs w:val="20"/>
              </w:rPr>
              <w:t>P      4.956</w:t>
            </w:r>
          </w:p>
        </w:tc>
      </w:tr>
      <w:tr w:rsidR="007D7EEA" w14:paraId="6F56FFE6" w14:textId="77777777">
        <w:trPr>
          <w:trHeight w:val="20"/>
        </w:trPr>
        <w:tc>
          <w:tcPr>
            <w:tcW w:w="3060" w:type="dxa"/>
            <w:tcBorders>
              <w:bottom w:val="single" w:sz="4" w:space="0" w:color="auto"/>
            </w:tcBorders>
            <w:shd w:val="clear" w:color="auto" w:fill="auto"/>
          </w:tcPr>
          <w:p w14:paraId="0A1FDB9F" w14:textId="77777777" w:rsidR="007D7EEA" w:rsidRDefault="00DD2A4D">
            <w:pPr>
              <w:pStyle w:val="ListParagraph"/>
              <w:tabs>
                <w:tab w:val="left" w:pos="142"/>
              </w:tabs>
              <w:ind w:left="-57" w:right="-57"/>
              <w:rPr>
                <w:rFonts w:ascii="Arial" w:hAnsi="Arial" w:cs="Arial"/>
                <w:sz w:val="20"/>
                <w:szCs w:val="20"/>
                <w:lang w:val="en-PH"/>
              </w:rPr>
            </w:pPr>
            <w:r>
              <w:rPr>
                <w:rFonts w:ascii="Arial" w:hAnsi="Arial" w:cs="Arial"/>
                <w:sz w:val="20"/>
                <w:szCs w:val="20"/>
                <w:lang w:val="en-PH"/>
              </w:rPr>
              <w:t>MDC</w:t>
            </w:r>
          </w:p>
        </w:tc>
        <w:tc>
          <w:tcPr>
            <w:tcW w:w="990" w:type="dxa"/>
            <w:tcBorders>
              <w:bottom w:val="single" w:sz="4" w:space="0" w:color="auto"/>
            </w:tcBorders>
            <w:vAlign w:val="bottom"/>
          </w:tcPr>
          <w:p w14:paraId="03391677" w14:textId="77777777" w:rsidR="007D7EEA" w:rsidRDefault="00DD2A4D">
            <w:pPr>
              <w:pStyle w:val="ListParagraph"/>
              <w:tabs>
                <w:tab w:val="left" w:pos="142"/>
              </w:tabs>
              <w:ind w:left="-57" w:right="-57"/>
              <w:jc w:val="right"/>
              <w:rPr>
                <w:rFonts w:ascii="Arial" w:hAnsi="Arial" w:cs="Arial"/>
                <w:sz w:val="20"/>
                <w:szCs w:val="20"/>
              </w:rPr>
            </w:pPr>
            <w:r>
              <w:rPr>
                <w:rFonts w:ascii="Arial" w:hAnsi="Arial" w:cs="Arial"/>
                <w:sz w:val="20"/>
                <w:szCs w:val="20"/>
              </w:rPr>
              <w:t>600.000</w:t>
            </w:r>
          </w:p>
        </w:tc>
        <w:tc>
          <w:tcPr>
            <w:tcW w:w="990" w:type="dxa"/>
            <w:tcBorders>
              <w:bottom w:val="single" w:sz="4" w:space="0" w:color="auto"/>
            </w:tcBorders>
            <w:vAlign w:val="bottom"/>
          </w:tcPr>
          <w:p w14:paraId="401F9372" w14:textId="77777777" w:rsidR="007D7EEA" w:rsidRDefault="00DD2A4D">
            <w:pPr>
              <w:pStyle w:val="ListParagraph"/>
              <w:tabs>
                <w:tab w:val="left" w:pos="142"/>
              </w:tabs>
              <w:ind w:left="-57" w:right="-57"/>
              <w:jc w:val="right"/>
              <w:rPr>
                <w:rFonts w:ascii="Arial" w:hAnsi="Arial" w:cs="Arial"/>
                <w:sz w:val="20"/>
                <w:szCs w:val="20"/>
              </w:rPr>
            </w:pPr>
            <w:r>
              <w:rPr>
                <w:rFonts w:ascii="Arial" w:hAnsi="Arial" w:cs="Arial"/>
                <w:sz w:val="20"/>
                <w:szCs w:val="20"/>
              </w:rPr>
              <w:t>870.170</w:t>
            </w:r>
          </w:p>
        </w:tc>
        <w:tc>
          <w:tcPr>
            <w:tcW w:w="1017" w:type="dxa"/>
            <w:tcBorders>
              <w:bottom w:val="single" w:sz="4" w:space="0" w:color="auto"/>
            </w:tcBorders>
            <w:vAlign w:val="bottom"/>
          </w:tcPr>
          <w:p w14:paraId="16684972" w14:textId="77777777" w:rsidR="007D7EEA" w:rsidRDefault="00DD2A4D">
            <w:pPr>
              <w:pStyle w:val="ListParagraph"/>
              <w:tabs>
                <w:tab w:val="left" w:pos="142"/>
              </w:tabs>
              <w:ind w:left="-57" w:right="-57"/>
              <w:jc w:val="right"/>
              <w:rPr>
                <w:rFonts w:ascii="Arial" w:hAnsi="Arial" w:cs="Arial"/>
                <w:sz w:val="20"/>
                <w:szCs w:val="20"/>
              </w:rPr>
            </w:pPr>
            <w:r>
              <w:rPr>
                <w:rFonts w:ascii="Arial" w:hAnsi="Arial" w:cs="Arial"/>
                <w:sz w:val="20"/>
                <w:szCs w:val="20"/>
              </w:rPr>
              <w:t>96.000</w:t>
            </w:r>
          </w:p>
        </w:tc>
        <w:tc>
          <w:tcPr>
            <w:tcW w:w="1233" w:type="dxa"/>
            <w:tcBorders>
              <w:bottom w:val="single" w:sz="4" w:space="0" w:color="auto"/>
            </w:tcBorders>
            <w:shd w:val="clear" w:color="auto" w:fill="auto"/>
            <w:vAlign w:val="bottom"/>
          </w:tcPr>
          <w:p w14:paraId="39D65A67" w14:textId="77777777" w:rsidR="007D7EEA" w:rsidRDefault="00DD2A4D">
            <w:pPr>
              <w:pStyle w:val="ListParagraph"/>
              <w:tabs>
                <w:tab w:val="left" w:pos="-57"/>
              </w:tabs>
              <w:ind w:left="-57" w:right="-58"/>
              <w:jc w:val="right"/>
              <w:rPr>
                <w:rFonts w:ascii="Arial" w:hAnsi="Arial" w:cs="Arial"/>
                <w:sz w:val="20"/>
                <w:szCs w:val="20"/>
                <w:lang w:val="en-PH"/>
              </w:rPr>
            </w:pPr>
            <w:r>
              <w:rPr>
                <w:rFonts w:ascii="Arial" w:hAnsi="Arial" w:cs="Arial"/>
                <w:sz w:val="20"/>
                <w:szCs w:val="20"/>
              </w:rPr>
              <w:t>(366.170)</w:t>
            </w:r>
          </w:p>
        </w:tc>
      </w:tr>
      <w:tr w:rsidR="007D7EEA" w14:paraId="195D553C" w14:textId="77777777">
        <w:trPr>
          <w:trHeight w:val="317"/>
        </w:trPr>
        <w:tc>
          <w:tcPr>
            <w:tcW w:w="3060" w:type="dxa"/>
            <w:tcBorders>
              <w:top w:val="single" w:sz="4" w:space="0" w:color="auto"/>
              <w:bottom w:val="double" w:sz="4" w:space="0" w:color="auto"/>
            </w:tcBorders>
            <w:shd w:val="clear" w:color="auto" w:fill="auto"/>
            <w:vAlign w:val="center"/>
          </w:tcPr>
          <w:p w14:paraId="77A41CA1" w14:textId="77777777" w:rsidR="007D7EEA" w:rsidRDefault="00DD2A4D">
            <w:pPr>
              <w:pStyle w:val="ListParagraph"/>
              <w:tabs>
                <w:tab w:val="left" w:pos="142"/>
              </w:tabs>
              <w:ind w:left="-57" w:right="-57"/>
              <w:rPr>
                <w:rFonts w:ascii="Arial" w:hAnsi="Arial" w:cs="Arial"/>
                <w:b/>
                <w:sz w:val="20"/>
                <w:szCs w:val="20"/>
                <w:lang w:val="en-PH"/>
              </w:rPr>
            </w:pPr>
            <w:r>
              <w:rPr>
                <w:rFonts w:ascii="Arial" w:hAnsi="Arial" w:cs="Arial"/>
                <w:b/>
                <w:sz w:val="20"/>
                <w:szCs w:val="20"/>
                <w:lang w:val="en-PH"/>
              </w:rPr>
              <w:t>Total</w:t>
            </w:r>
          </w:p>
        </w:tc>
        <w:tc>
          <w:tcPr>
            <w:tcW w:w="990" w:type="dxa"/>
            <w:tcBorders>
              <w:top w:val="single" w:sz="4" w:space="0" w:color="auto"/>
              <w:bottom w:val="double" w:sz="4" w:space="0" w:color="auto"/>
            </w:tcBorders>
            <w:vAlign w:val="center"/>
          </w:tcPr>
          <w:p w14:paraId="6DEB32EA" w14:textId="77777777" w:rsidR="007D7EEA" w:rsidRDefault="00DD2A4D">
            <w:pPr>
              <w:pStyle w:val="ListParagraph"/>
              <w:tabs>
                <w:tab w:val="left" w:pos="142"/>
              </w:tabs>
              <w:ind w:left="-144" w:right="-57"/>
              <w:jc w:val="right"/>
              <w:rPr>
                <w:rFonts w:ascii="Arial" w:hAnsi="Arial" w:cs="Arial"/>
                <w:b/>
                <w:sz w:val="20"/>
                <w:szCs w:val="20"/>
              </w:rPr>
            </w:pPr>
            <w:r>
              <w:rPr>
                <w:rFonts w:ascii="Arial" w:hAnsi="Arial" w:cs="Arial"/>
                <w:b/>
                <w:sz w:val="20"/>
                <w:szCs w:val="20"/>
              </w:rPr>
              <w:t>P 630.000</w:t>
            </w:r>
          </w:p>
        </w:tc>
        <w:tc>
          <w:tcPr>
            <w:tcW w:w="990" w:type="dxa"/>
            <w:tcBorders>
              <w:top w:val="single" w:sz="4" w:space="0" w:color="auto"/>
              <w:bottom w:val="double" w:sz="4" w:space="0" w:color="auto"/>
            </w:tcBorders>
            <w:vAlign w:val="center"/>
          </w:tcPr>
          <w:p w14:paraId="730D2088" w14:textId="77777777" w:rsidR="007D7EEA" w:rsidRDefault="00DD2A4D">
            <w:pPr>
              <w:pStyle w:val="ListParagraph"/>
              <w:tabs>
                <w:tab w:val="left" w:pos="142"/>
              </w:tabs>
              <w:ind w:left="-144" w:right="-57"/>
              <w:jc w:val="right"/>
              <w:rPr>
                <w:rFonts w:ascii="Arial" w:hAnsi="Arial" w:cs="Arial"/>
                <w:b/>
                <w:sz w:val="20"/>
                <w:szCs w:val="20"/>
              </w:rPr>
            </w:pPr>
            <w:r>
              <w:rPr>
                <w:rFonts w:ascii="Arial" w:hAnsi="Arial" w:cs="Arial"/>
                <w:b/>
                <w:sz w:val="20"/>
                <w:szCs w:val="20"/>
              </w:rPr>
              <w:t>P 890.414</w:t>
            </w:r>
          </w:p>
        </w:tc>
        <w:tc>
          <w:tcPr>
            <w:tcW w:w="1017" w:type="dxa"/>
            <w:tcBorders>
              <w:top w:val="single" w:sz="4" w:space="0" w:color="auto"/>
              <w:bottom w:val="double" w:sz="4" w:space="0" w:color="auto"/>
            </w:tcBorders>
            <w:vAlign w:val="center"/>
          </w:tcPr>
          <w:p w14:paraId="59A60667" w14:textId="77777777" w:rsidR="007D7EEA" w:rsidRDefault="00DD2A4D">
            <w:pPr>
              <w:pStyle w:val="ListParagraph"/>
              <w:tabs>
                <w:tab w:val="left" w:pos="142"/>
              </w:tabs>
              <w:ind w:left="-58" w:right="-57"/>
              <w:jc w:val="right"/>
              <w:rPr>
                <w:rFonts w:ascii="Arial" w:hAnsi="Arial" w:cs="Arial"/>
                <w:b/>
                <w:sz w:val="20"/>
                <w:szCs w:val="20"/>
              </w:rPr>
            </w:pPr>
            <w:r>
              <w:rPr>
                <w:rFonts w:ascii="Arial" w:hAnsi="Arial" w:cs="Arial"/>
                <w:b/>
                <w:sz w:val="20"/>
                <w:szCs w:val="20"/>
              </w:rPr>
              <w:t>P 100.800</w:t>
            </w:r>
          </w:p>
        </w:tc>
        <w:tc>
          <w:tcPr>
            <w:tcW w:w="1233" w:type="dxa"/>
            <w:tcBorders>
              <w:top w:val="single" w:sz="4" w:space="0" w:color="auto"/>
              <w:bottom w:val="double" w:sz="4" w:space="0" w:color="auto"/>
            </w:tcBorders>
            <w:shd w:val="clear" w:color="auto" w:fill="auto"/>
            <w:vAlign w:val="center"/>
          </w:tcPr>
          <w:p w14:paraId="51508724" w14:textId="77777777" w:rsidR="007D7EEA" w:rsidRDefault="00DD2A4D">
            <w:pPr>
              <w:pStyle w:val="ListParagraph"/>
              <w:tabs>
                <w:tab w:val="left" w:pos="142"/>
              </w:tabs>
              <w:ind w:left="-144" w:right="-58"/>
              <w:jc w:val="right"/>
              <w:rPr>
                <w:rFonts w:ascii="Arial" w:hAnsi="Arial" w:cs="Arial"/>
                <w:b/>
                <w:sz w:val="20"/>
                <w:szCs w:val="20"/>
                <w:lang w:val="en-PH"/>
              </w:rPr>
            </w:pPr>
            <w:r>
              <w:rPr>
                <w:rFonts w:ascii="Arial" w:hAnsi="Arial" w:cs="Arial"/>
                <w:b/>
                <w:sz w:val="20"/>
                <w:szCs w:val="20"/>
              </w:rPr>
              <w:t>P (361.214)</w:t>
            </w:r>
          </w:p>
        </w:tc>
      </w:tr>
    </w:tbl>
    <w:p w14:paraId="2C9B9A84" w14:textId="17311945" w:rsidR="007D7EEA" w:rsidRDefault="00DD2A4D" w:rsidP="00C108AD">
      <w:pPr>
        <w:tabs>
          <w:tab w:val="left" w:pos="1620"/>
        </w:tabs>
        <w:spacing w:line="240" w:lineRule="auto"/>
        <w:ind w:left="1350"/>
        <w:contextualSpacing/>
        <w:rPr>
          <w:rFonts w:ascii="Arial" w:hAnsi="Arial" w:cs="Arial"/>
          <w:i/>
          <w:sz w:val="18"/>
        </w:rPr>
      </w:pPr>
      <w:r>
        <w:rPr>
          <w:rFonts w:ascii="Arial" w:hAnsi="Arial" w:cs="Arial"/>
          <w:i/>
          <w:sz w:val="18"/>
        </w:rPr>
        <w:t xml:space="preserve">* </w:t>
      </w:r>
      <w:r w:rsidR="00C108AD">
        <w:rPr>
          <w:rFonts w:ascii="Arial" w:hAnsi="Arial" w:cs="Arial"/>
          <w:i/>
          <w:sz w:val="18"/>
        </w:rPr>
        <w:tab/>
      </w:r>
      <w:r>
        <w:rPr>
          <w:rFonts w:ascii="Arial" w:hAnsi="Arial" w:cs="Arial"/>
          <w:i/>
          <w:sz w:val="18"/>
        </w:rPr>
        <w:t>CGT – Capital Gains Tax</w:t>
      </w:r>
    </w:p>
    <w:p w14:paraId="68838AE0" w14:textId="51A33CC3" w:rsidR="007D7EEA" w:rsidRDefault="00DD2A4D" w:rsidP="00C108AD">
      <w:pPr>
        <w:tabs>
          <w:tab w:val="left" w:pos="1620"/>
        </w:tabs>
        <w:spacing w:line="240" w:lineRule="auto"/>
        <w:ind w:left="1350"/>
        <w:contextualSpacing/>
        <w:rPr>
          <w:rFonts w:ascii="Arial" w:hAnsi="Arial" w:cs="Arial"/>
          <w:i/>
          <w:sz w:val="18"/>
        </w:rPr>
      </w:pPr>
      <w:r>
        <w:rPr>
          <w:rFonts w:ascii="Arial" w:hAnsi="Arial" w:cs="Arial"/>
          <w:i/>
          <w:sz w:val="18"/>
        </w:rPr>
        <w:t>*</w:t>
      </w:r>
      <w:r w:rsidR="00C108AD">
        <w:rPr>
          <w:rFonts w:ascii="Arial" w:hAnsi="Arial" w:cs="Arial"/>
          <w:i/>
          <w:sz w:val="18"/>
        </w:rPr>
        <w:t>*</w:t>
      </w:r>
      <w:r>
        <w:rPr>
          <w:rFonts w:ascii="Arial" w:hAnsi="Arial" w:cs="Arial"/>
          <w:i/>
          <w:sz w:val="18"/>
        </w:rPr>
        <w:t xml:space="preserve"> </w:t>
      </w:r>
      <w:r w:rsidR="00C108AD">
        <w:rPr>
          <w:rFonts w:ascii="Arial" w:hAnsi="Arial" w:cs="Arial"/>
          <w:i/>
          <w:sz w:val="18"/>
        </w:rPr>
        <w:tab/>
      </w:r>
      <w:r>
        <w:rPr>
          <w:rFonts w:ascii="Arial" w:hAnsi="Arial" w:cs="Arial"/>
          <w:i/>
          <w:sz w:val="18"/>
        </w:rPr>
        <w:t>DST – Documentary Stamp Tax</w:t>
      </w:r>
    </w:p>
    <w:p w14:paraId="1950D985" w14:textId="77777777" w:rsidR="005B16E8" w:rsidRPr="005B16E8" w:rsidRDefault="005B16E8">
      <w:pPr>
        <w:spacing w:line="240" w:lineRule="auto"/>
        <w:ind w:left="630" w:firstLine="646"/>
        <w:contextualSpacing/>
        <w:rPr>
          <w:rFonts w:ascii="Arial" w:hAnsi="Arial" w:cs="Arial"/>
          <w:b/>
          <w:u w:val="single"/>
        </w:rPr>
      </w:pPr>
    </w:p>
    <w:p w14:paraId="01FA3D47" w14:textId="2E2D422F" w:rsidR="007D7EEA" w:rsidRPr="005B16E8" w:rsidRDefault="00DD2A4D">
      <w:pPr>
        <w:spacing w:line="240" w:lineRule="auto"/>
        <w:ind w:left="630" w:firstLine="646"/>
        <w:contextualSpacing/>
        <w:rPr>
          <w:rFonts w:ascii="Arial" w:hAnsi="Arial" w:cs="Arial"/>
          <w:b/>
          <w:u w:val="single"/>
        </w:rPr>
      </w:pPr>
      <w:r w:rsidRPr="005B16E8">
        <w:rPr>
          <w:rFonts w:ascii="Arial" w:hAnsi="Arial" w:cs="Arial"/>
          <w:b/>
          <w:u w:val="single"/>
        </w:rPr>
        <w:t xml:space="preserve">Year 2 (CY 2019) </w:t>
      </w:r>
    </w:p>
    <w:p w14:paraId="780D6E6F" w14:textId="77777777" w:rsidR="007D7EEA" w:rsidRPr="005B16E8" w:rsidRDefault="007D7EEA">
      <w:pPr>
        <w:spacing w:line="240" w:lineRule="auto"/>
        <w:contextualSpacing/>
        <w:rPr>
          <w:rFonts w:ascii="Arial" w:hAnsi="Arial" w:cs="Arial"/>
        </w:rPr>
      </w:pPr>
    </w:p>
    <w:p w14:paraId="36528785" w14:textId="77777777" w:rsidR="007D7EEA" w:rsidRPr="005B16E8" w:rsidRDefault="00DD2A4D">
      <w:pPr>
        <w:spacing w:line="240" w:lineRule="auto"/>
        <w:ind w:left="720" w:firstLine="556"/>
        <w:contextualSpacing/>
        <w:rPr>
          <w:rFonts w:ascii="Arial" w:hAnsi="Arial" w:cs="Arial"/>
        </w:rPr>
      </w:pPr>
      <w:r w:rsidRPr="005B16E8">
        <w:rPr>
          <w:rFonts w:ascii="Arial" w:hAnsi="Arial" w:cs="Arial"/>
        </w:rPr>
        <w:t>Action Plans:</w:t>
      </w:r>
    </w:p>
    <w:p w14:paraId="1725D927" w14:textId="77777777" w:rsidR="007D7EEA" w:rsidRPr="005B16E8" w:rsidRDefault="007D7EEA">
      <w:pPr>
        <w:spacing w:after="0" w:line="240" w:lineRule="auto"/>
        <w:contextualSpacing/>
        <w:rPr>
          <w:rFonts w:ascii="Arial" w:hAnsi="Arial" w:cs="Arial"/>
        </w:rPr>
      </w:pPr>
    </w:p>
    <w:p w14:paraId="22086CDC" w14:textId="77777777" w:rsidR="007D7EEA" w:rsidRPr="005B16E8" w:rsidRDefault="00DD2A4D">
      <w:pPr>
        <w:pStyle w:val="ListParagraph"/>
        <w:numPr>
          <w:ilvl w:val="0"/>
          <w:numId w:val="41"/>
        </w:numPr>
        <w:ind w:left="1620"/>
        <w:contextualSpacing/>
        <w:jc w:val="both"/>
        <w:rPr>
          <w:rFonts w:ascii="Arial" w:hAnsi="Arial" w:cs="Arial"/>
          <w:sz w:val="22"/>
          <w:szCs w:val="22"/>
        </w:rPr>
      </w:pPr>
      <w:r w:rsidRPr="005B16E8">
        <w:rPr>
          <w:rFonts w:ascii="Arial" w:hAnsi="Arial" w:cs="Arial"/>
          <w:sz w:val="22"/>
          <w:szCs w:val="22"/>
        </w:rPr>
        <w:t>Sell the following retail Real estate inventories in cash or deferred cash (maximum term of one year) basis:</w:t>
      </w:r>
    </w:p>
    <w:p w14:paraId="3844F689" w14:textId="77777777" w:rsidR="007D7EEA" w:rsidRPr="005B16E8" w:rsidRDefault="007D7EEA">
      <w:pPr>
        <w:pStyle w:val="ListParagraph"/>
        <w:ind w:left="1620"/>
        <w:contextualSpacing/>
        <w:rPr>
          <w:rFonts w:ascii="Arial" w:hAnsi="Arial" w:cs="Arial"/>
          <w:sz w:val="22"/>
          <w:szCs w:val="22"/>
        </w:rPr>
      </w:pPr>
    </w:p>
    <w:tbl>
      <w:tblPr>
        <w:tblW w:w="0" w:type="auto"/>
        <w:tblInd w:w="1305" w:type="dxa"/>
        <w:tblLook w:val="04A0" w:firstRow="1" w:lastRow="0" w:firstColumn="1" w:lastColumn="0" w:noHBand="0" w:noVBand="1"/>
      </w:tblPr>
      <w:tblGrid>
        <w:gridCol w:w="1994"/>
        <w:gridCol w:w="1114"/>
        <w:gridCol w:w="1042"/>
        <w:gridCol w:w="1003"/>
        <w:gridCol w:w="1103"/>
        <w:gridCol w:w="1079"/>
      </w:tblGrid>
      <w:tr w:rsidR="007D7EEA" w14:paraId="7E5E153D" w14:textId="77777777">
        <w:trPr>
          <w:tblHeader/>
        </w:trPr>
        <w:tc>
          <w:tcPr>
            <w:tcW w:w="1997" w:type="dxa"/>
            <w:tcBorders>
              <w:top w:val="single" w:sz="8" w:space="0" w:color="auto"/>
              <w:left w:val="nil"/>
              <w:bottom w:val="single" w:sz="8" w:space="0" w:color="auto"/>
              <w:right w:val="nil"/>
            </w:tcBorders>
            <w:shd w:val="clear" w:color="auto" w:fill="auto"/>
            <w:vAlign w:val="center"/>
          </w:tcPr>
          <w:p w14:paraId="48B2AB9A"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Properties</w:t>
            </w:r>
          </w:p>
        </w:tc>
        <w:tc>
          <w:tcPr>
            <w:tcW w:w="1108" w:type="dxa"/>
            <w:tcBorders>
              <w:top w:val="single" w:sz="8" w:space="0" w:color="auto"/>
              <w:left w:val="nil"/>
              <w:bottom w:val="single" w:sz="8" w:space="0" w:color="auto"/>
              <w:right w:val="nil"/>
            </w:tcBorders>
            <w:shd w:val="clear" w:color="auto" w:fill="auto"/>
            <w:vAlign w:val="center"/>
          </w:tcPr>
          <w:p w14:paraId="096E17E1"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Inventory/ lots</w:t>
            </w:r>
          </w:p>
        </w:tc>
        <w:tc>
          <w:tcPr>
            <w:tcW w:w="1043" w:type="dxa"/>
            <w:tcBorders>
              <w:top w:val="single" w:sz="8" w:space="0" w:color="auto"/>
              <w:left w:val="nil"/>
              <w:bottom w:val="single" w:sz="8" w:space="0" w:color="auto"/>
              <w:right w:val="nil"/>
            </w:tcBorders>
            <w:shd w:val="clear" w:color="auto" w:fill="auto"/>
            <w:vAlign w:val="center"/>
          </w:tcPr>
          <w:p w14:paraId="5F96B98D"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Gross sales</w:t>
            </w:r>
          </w:p>
        </w:tc>
        <w:tc>
          <w:tcPr>
            <w:tcW w:w="1004" w:type="dxa"/>
            <w:tcBorders>
              <w:top w:val="single" w:sz="8" w:space="0" w:color="auto"/>
              <w:left w:val="nil"/>
              <w:bottom w:val="single" w:sz="8" w:space="0" w:color="auto"/>
              <w:right w:val="nil"/>
            </w:tcBorders>
            <w:shd w:val="clear" w:color="auto" w:fill="auto"/>
            <w:vAlign w:val="center"/>
          </w:tcPr>
          <w:p w14:paraId="34593382"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Cost of Sale</w:t>
            </w:r>
          </w:p>
        </w:tc>
        <w:tc>
          <w:tcPr>
            <w:tcW w:w="1103" w:type="dxa"/>
            <w:tcBorders>
              <w:top w:val="single" w:sz="8" w:space="0" w:color="auto"/>
              <w:left w:val="nil"/>
              <w:bottom w:val="single" w:sz="8" w:space="0" w:color="auto"/>
              <w:right w:val="nil"/>
            </w:tcBorders>
            <w:shd w:val="clear" w:color="auto" w:fill="auto"/>
            <w:vAlign w:val="center"/>
          </w:tcPr>
          <w:p w14:paraId="5D19E189"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Marketing expense</w:t>
            </w:r>
          </w:p>
        </w:tc>
        <w:tc>
          <w:tcPr>
            <w:tcW w:w="1080" w:type="dxa"/>
            <w:tcBorders>
              <w:top w:val="single" w:sz="8" w:space="0" w:color="auto"/>
              <w:left w:val="nil"/>
              <w:bottom w:val="single" w:sz="8" w:space="0" w:color="auto"/>
              <w:right w:val="nil"/>
            </w:tcBorders>
            <w:shd w:val="clear" w:color="auto" w:fill="auto"/>
            <w:vAlign w:val="center"/>
          </w:tcPr>
          <w:p w14:paraId="44EE2068"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Net gain</w:t>
            </w:r>
          </w:p>
        </w:tc>
      </w:tr>
      <w:tr w:rsidR="007D7EEA" w14:paraId="10793997" w14:textId="77777777">
        <w:tc>
          <w:tcPr>
            <w:tcW w:w="0" w:type="auto"/>
            <w:gridSpan w:val="6"/>
            <w:tcBorders>
              <w:top w:val="single" w:sz="8" w:space="0" w:color="auto"/>
              <w:left w:val="nil"/>
              <w:bottom w:val="single" w:sz="8" w:space="0" w:color="auto"/>
              <w:right w:val="nil"/>
            </w:tcBorders>
            <w:shd w:val="clear" w:color="auto" w:fill="auto"/>
            <w:vAlign w:val="center"/>
          </w:tcPr>
          <w:p w14:paraId="7A61AEBB"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(In million pesos)</w:t>
            </w:r>
          </w:p>
        </w:tc>
      </w:tr>
      <w:tr w:rsidR="007D7EEA" w14:paraId="4CF0B20C" w14:textId="77777777">
        <w:tc>
          <w:tcPr>
            <w:tcW w:w="1997" w:type="dxa"/>
            <w:tcBorders>
              <w:top w:val="nil"/>
              <w:left w:val="nil"/>
              <w:bottom w:val="nil"/>
              <w:right w:val="nil"/>
            </w:tcBorders>
            <w:shd w:val="clear" w:color="auto" w:fill="auto"/>
            <w:vAlign w:val="center"/>
          </w:tcPr>
          <w:p w14:paraId="15A320DD"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Riviera Residential</w:t>
            </w:r>
          </w:p>
        </w:tc>
        <w:tc>
          <w:tcPr>
            <w:tcW w:w="1108" w:type="dxa"/>
            <w:tcBorders>
              <w:top w:val="nil"/>
              <w:left w:val="nil"/>
              <w:bottom w:val="nil"/>
              <w:right w:val="nil"/>
            </w:tcBorders>
            <w:shd w:val="clear" w:color="auto" w:fill="auto"/>
            <w:vAlign w:val="center"/>
          </w:tcPr>
          <w:p w14:paraId="2E306AF2"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36</w:t>
            </w:r>
          </w:p>
        </w:tc>
        <w:tc>
          <w:tcPr>
            <w:tcW w:w="1043" w:type="dxa"/>
            <w:tcBorders>
              <w:top w:val="nil"/>
              <w:left w:val="nil"/>
              <w:bottom w:val="nil"/>
              <w:right w:val="nil"/>
            </w:tcBorders>
            <w:shd w:val="clear" w:color="auto" w:fill="auto"/>
            <w:vAlign w:val="center"/>
          </w:tcPr>
          <w:p w14:paraId="12838349" w14:textId="77777777" w:rsidR="007D7EEA" w:rsidRDefault="00DD2A4D">
            <w:pPr>
              <w:spacing w:after="0" w:line="240" w:lineRule="auto"/>
              <w:ind w:left="-144"/>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199.773</w:t>
            </w:r>
          </w:p>
        </w:tc>
        <w:tc>
          <w:tcPr>
            <w:tcW w:w="1004" w:type="dxa"/>
            <w:tcBorders>
              <w:top w:val="nil"/>
              <w:left w:val="nil"/>
              <w:bottom w:val="nil"/>
              <w:right w:val="nil"/>
            </w:tcBorders>
            <w:shd w:val="clear" w:color="auto" w:fill="auto"/>
            <w:vAlign w:val="center"/>
          </w:tcPr>
          <w:p w14:paraId="5A5031ED" w14:textId="77777777" w:rsidR="007D7EEA" w:rsidRDefault="00DD2A4D">
            <w:pPr>
              <w:spacing w:after="0" w:line="240" w:lineRule="auto"/>
              <w:ind w:left="-144"/>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28.159</w:t>
            </w:r>
          </w:p>
        </w:tc>
        <w:tc>
          <w:tcPr>
            <w:tcW w:w="1103" w:type="dxa"/>
            <w:tcBorders>
              <w:top w:val="nil"/>
              <w:left w:val="nil"/>
              <w:bottom w:val="nil"/>
              <w:right w:val="nil"/>
            </w:tcBorders>
            <w:shd w:val="clear" w:color="auto" w:fill="auto"/>
            <w:vAlign w:val="center"/>
          </w:tcPr>
          <w:p w14:paraId="519849F5" w14:textId="77777777" w:rsidR="007D7EEA" w:rsidRDefault="00DD2A4D">
            <w:pPr>
              <w:spacing w:after="0" w:line="240" w:lineRule="auto"/>
              <w:ind w:left="-144"/>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71.918</w:t>
            </w:r>
          </w:p>
        </w:tc>
        <w:tc>
          <w:tcPr>
            <w:tcW w:w="1080" w:type="dxa"/>
            <w:tcBorders>
              <w:top w:val="nil"/>
              <w:left w:val="nil"/>
              <w:bottom w:val="nil"/>
              <w:right w:val="nil"/>
            </w:tcBorders>
            <w:shd w:val="clear" w:color="auto" w:fill="auto"/>
            <w:vAlign w:val="center"/>
          </w:tcPr>
          <w:p w14:paraId="5A5A1551" w14:textId="77777777" w:rsidR="007D7EEA" w:rsidRDefault="00DD2A4D">
            <w:pPr>
              <w:spacing w:after="0" w:line="240" w:lineRule="auto"/>
              <w:ind w:left="-144"/>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P   99.696</w:t>
            </w:r>
          </w:p>
        </w:tc>
      </w:tr>
      <w:tr w:rsidR="007D7EEA" w14:paraId="58AE78AF" w14:textId="77777777">
        <w:tc>
          <w:tcPr>
            <w:tcW w:w="1997" w:type="dxa"/>
            <w:tcBorders>
              <w:top w:val="nil"/>
              <w:left w:val="nil"/>
              <w:bottom w:val="nil"/>
              <w:right w:val="nil"/>
            </w:tcBorders>
            <w:shd w:val="clear" w:color="auto" w:fill="auto"/>
            <w:vAlign w:val="center"/>
          </w:tcPr>
          <w:p w14:paraId="48EB463C"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Caceres</w:t>
            </w:r>
          </w:p>
        </w:tc>
        <w:tc>
          <w:tcPr>
            <w:tcW w:w="1108" w:type="dxa"/>
            <w:tcBorders>
              <w:top w:val="nil"/>
              <w:left w:val="nil"/>
              <w:bottom w:val="nil"/>
              <w:right w:val="nil"/>
            </w:tcBorders>
            <w:shd w:val="clear" w:color="auto" w:fill="auto"/>
            <w:vAlign w:val="center"/>
          </w:tcPr>
          <w:p w14:paraId="04F23767" w14:textId="77777777" w:rsidR="007D7EEA" w:rsidRDefault="00DD2A4D">
            <w:pPr>
              <w:spacing w:after="0" w:line="240" w:lineRule="auto"/>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w:t>
            </w:r>
          </w:p>
        </w:tc>
        <w:tc>
          <w:tcPr>
            <w:tcW w:w="1043" w:type="dxa"/>
            <w:tcBorders>
              <w:top w:val="nil"/>
              <w:left w:val="nil"/>
              <w:bottom w:val="nil"/>
              <w:right w:val="nil"/>
            </w:tcBorders>
            <w:shd w:val="clear" w:color="auto" w:fill="auto"/>
            <w:vAlign w:val="center"/>
          </w:tcPr>
          <w:p w14:paraId="5B44287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17.280</w:t>
            </w:r>
          </w:p>
        </w:tc>
        <w:tc>
          <w:tcPr>
            <w:tcW w:w="1004" w:type="dxa"/>
            <w:tcBorders>
              <w:top w:val="nil"/>
              <w:left w:val="nil"/>
              <w:bottom w:val="nil"/>
              <w:right w:val="nil"/>
            </w:tcBorders>
            <w:shd w:val="clear" w:color="auto" w:fill="auto"/>
            <w:vAlign w:val="center"/>
          </w:tcPr>
          <w:p w14:paraId="60D0F9A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4.930</w:t>
            </w:r>
          </w:p>
        </w:tc>
        <w:tc>
          <w:tcPr>
            <w:tcW w:w="1103" w:type="dxa"/>
            <w:tcBorders>
              <w:top w:val="nil"/>
              <w:left w:val="nil"/>
              <w:bottom w:val="nil"/>
              <w:right w:val="nil"/>
            </w:tcBorders>
            <w:shd w:val="clear" w:color="auto" w:fill="auto"/>
            <w:vAlign w:val="center"/>
          </w:tcPr>
          <w:p w14:paraId="4C05694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6.221</w:t>
            </w:r>
          </w:p>
        </w:tc>
        <w:tc>
          <w:tcPr>
            <w:tcW w:w="1080" w:type="dxa"/>
            <w:tcBorders>
              <w:top w:val="nil"/>
              <w:left w:val="nil"/>
              <w:bottom w:val="nil"/>
              <w:right w:val="nil"/>
            </w:tcBorders>
            <w:shd w:val="clear" w:color="auto" w:fill="auto"/>
            <w:vAlign w:val="center"/>
          </w:tcPr>
          <w:p w14:paraId="06A3E5A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6.129</w:t>
            </w:r>
          </w:p>
        </w:tc>
      </w:tr>
      <w:tr w:rsidR="007D7EEA" w14:paraId="29EFDE2F" w14:textId="77777777">
        <w:tc>
          <w:tcPr>
            <w:tcW w:w="1997" w:type="dxa"/>
            <w:tcBorders>
              <w:top w:val="nil"/>
              <w:left w:val="nil"/>
              <w:bottom w:val="single" w:sz="8" w:space="0" w:color="auto"/>
              <w:right w:val="nil"/>
            </w:tcBorders>
            <w:shd w:val="clear" w:color="auto" w:fill="auto"/>
            <w:vAlign w:val="center"/>
          </w:tcPr>
          <w:p w14:paraId="3858A7D1"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Orchard Residential</w:t>
            </w:r>
          </w:p>
        </w:tc>
        <w:tc>
          <w:tcPr>
            <w:tcW w:w="1108" w:type="dxa"/>
            <w:tcBorders>
              <w:top w:val="nil"/>
              <w:left w:val="nil"/>
              <w:bottom w:val="single" w:sz="8" w:space="0" w:color="auto"/>
              <w:right w:val="nil"/>
            </w:tcBorders>
            <w:shd w:val="clear" w:color="auto" w:fill="auto"/>
            <w:vAlign w:val="center"/>
          </w:tcPr>
          <w:p w14:paraId="3C2AD963" w14:textId="77777777" w:rsidR="007D7EEA" w:rsidRDefault="00DD2A4D">
            <w:pPr>
              <w:spacing w:after="0" w:line="240" w:lineRule="auto"/>
              <w:ind w:right="-72"/>
              <w:jc w:val="center"/>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w:t>
            </w:r>
          </w:p>
        </w:tc>
        <w:tc>
          <w:tcPr>
            <w:tcW w:w="1043" w:type="dxa"/>
            <w:tcBorders>
              <w:top w:val="nil"/>
              <w:left w:val="nil"/>
              <w:bottom w:val="single" w:sz="8" w:space="0" w:color="auto"/>
              <w:right w:val="nil"/>
            </w:tcBorders>
            <w:shd w:val="clear" w:color="auto" w:fill="auto"/>
            <w:vAlign w:val="center"/>
          </w:tcPr>
          <w:p w14:paraId="52E28A5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6.450</w:t>
            </w:r>
          </w:p>
        </w:tc>
        <w:tc>
          <w:tcPr>
            <w:tcW w:w="1004" w:type="dxa"/>
            <w:tcBorders>
              <w:top w:val="nil"/>
              <w:left w:val="nil"/>
              <w:bottom w:val="single" w:sz="8" w:space="0" w:color="auto"/>
              <w:right w:val="nil"/>
            </w:tcBorders>
            <w:shd w:val="clear" w:color="auto" w:fill="auto"/>
            <w:vAlign w:val="center"/>
          </w:tcPr>
          <w:p w14:paraId="57E25AF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0.864</w:t>
            </w:r>
          </w:p>
        </w:tc>
        <w:tc>
          <w:tcPr>
            <w:tcW w:w="1103" w:type="dxa"/>
            <w:tcBorders>
              <w:top w:val="nil"/>
              <w:left w:val="nil"/>
              <w:bottom w:val="single" w:sz="8" w:space="0" w:color="auto"/>
              <w:right w:val="nil"/>
            </w:tcBorders>
            <w:shd w:val="clear" w:color="auto" w:fill="auto"/>
            <w:vAlign w:val="center"/>
          </w:tcPr>
          <w:p w14:paraId="21C78487"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2.322</w:t>
            </w:r>
          </w:p>
        </w:tc>
        <w:tc>
          <w:tcPr>
            <w:tcW w:w="1080" w:type="dxa"/>
            <w:tcBorders>
              <w:top w:val="nil"/>
              <w:left w:val="nil"/>
              <w:bottom w:val="single" w:sz="8" w:space="0" w:color="auto"/>
              <w:right w:val="nil"/>
            </w:tcBorders>
            <w:shd w:val="clear" w:color="auto" w:fill="auto"/>
            <w:vAlign w:val="center"/>
          </w:tcPr>
          <w:p w14:paraId="7E33F2A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3.264</w:t>
            </w:r>
          </w:p>
        </w:tc>
      </w:tr>
      <w:tr w:rsidR="007D7EEA" w14:paraId="602330C1" w14:textId="77777777">
        <w:tc>
          <w:tcPr>
            <w:tcW w:w="1997" w:type="dxa"/>
            <w:tcBorders>
              <w:top w:val="single" w:sz="8" w:space="0" w:color="auto"/>
              <w:left w:val="nil"/>
              <w:bottom w:val="double" w:sz="4" w:space="0" w:color="auto"/>
              <w:right w:val="nil"/>
            </w:tcBorders>
            <w:shd w:val="clear" w:color="auto" w:fill="auto"/>
            <w:vAlign w:val="center"/>
          </w:tcPr>
          <w:p w14:paraId="722B86DD" w14:textId="77777777" w:rsidR="007D7EEA" w:rsidRDefault="00DD2A4D">
            <w:pPr>
              <w:spacing w:after="0" w:line="240" w:lineRule="auto"/>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Total</w:t>
            </w:r>
          </w:p>
        </w:tc>
        <w:tc>
          <w:tcPr>
            <w:tcW w:w="1108" w:type="dxa"/>
            <w:tcBorders>
              <w:top w:val="single" w:sz="8" w:space="0" w:color="auto"/>
              <w:left w:val="nil"/>
              <w:bottom w:val="double" w:sz="4" w:space="0" w:color="auto"/>
              <w:right w:val="nil"/>
            </w:tcBorders>
            <w:shd w:val="clear" w:color="auto" w:fill="auto"/>
            <w:vAlign w:val="center"/>
          </w:tcPr>
          <w:p w14:paraId="0AE1CBAB"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fldChar w:fldCharType="begin"/>
            </w:r>
            <w:r>
              <w:rPr>
                <w:rFonts w:ascii="Arial" w:eastAsia="Times New Roman" w:hAnsi="Arial" w:cs="Arial"/>
                <w:b/>
                <w:bCs/>
                <w:color w:val="000000"/>
                <w:sz w:val="20"/>
                <w:szCs w:val="20"/>
                <w:lang w:eastAsia="en-PH"/>
              </w:rPr>
              <w:instrText xml:space="preserve"> =SUM(b3:b5) </w:instrText>
            </w:r>
            <w:r>
              <w:rPr>
                <w:rFonts w:ascii="Arial" w:eastAsia="Times New Roman" w:hAnsi="Arial" w:cs="Arial"/>
                <w:b/>
                <w:bCs/>
                <w:color w:val="000000"/>
                <w:sz w:val="20"/>
                <w:szCs w:val="20"/>
                <w:lang w:eastAsia="en-PH"/>
              </w:rPr>
              <w:fldChar w:fldCharType="separate"/>
            </w:r>
            <w:r>
              <w:rPr>
                <w:rFonts w:ascii="Arial" w:eastAsia="Times New Roman" w:hAnsi="Arial" w:cs="Arial"/>
                <w:b/>
                <w:bCs/>
                <w:color w:val="000000"/>
                <w:sz w:val="20"/>
                <w:szCs w:val="20"/>
                <w:lang w:eastAsia="en-PH"/>
              </w:rPr>
              <w:t>53</w:t>
            </w:r>
            <w:r>
              <w:rPr>
                <w:rFonts w:ascii="Arial" w:eastAsia="Times New Roman" w:hAnsi="Arial" w:cs="Arial"/>
                <w:b/>
                <w:bCs/>
                <w:color w:val="000000"/>
                <w:sz w:val="20"/>
                <w:szCs w:val="20"/>
                <w:lang w:eastAsia="en-PH"/>
              </w:rPr>
              <w:fldChar w:fldCharType="end"/>
            </w:r>
          </w:p>
        </w:tc>
        <w:tc>
          <w:tcPr>
            <w:tcW w:w="1043" w:type="dxa"/>
            <w:tcBorders>
              <w:top w:val="single" w:sz="8" w:space="0" w:color="auto"/>
              <w:left w:val="nil"/>
              <w:bottom w:val="double" w:sz="4" w:space="0" w:color="auto"/>
              <w:right w:val="nil"/>
            </w:tcBorders>
            <w:shd w:val="clear" w:color="auto" w:fill="auto"/>
            <w:vAlign w:val="center"/>
          </w:tcPr>
          <w:p w14:paraId="134F0A82"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223.503</w:t>
            </w:r>
          </w:p>
        </w:tc>
        <w:tc>
          <w:tcPr>
            <w:tcW w:w="1004" w:type="dxa"/>
            <w:tcBorders>
              <w:top w:val="single" w:sz="8" w:space="0" w:color="auto"/>
              <w:left w:val="nil"/>
              <w:bottom w:val="double" w:sz="4" w:space="0" w:color="auto"/>
              <w:right w:val="nil"/>
            </w:tcBorders>
            <w:shd w:val="clear" w:color="auto" w:fill="auto"/>
            <w:vAlign w:val="center"/>
          </w:tcPr>
          <w:p w14:paraId="5A52D738"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33.953</w:t>
            </w:r>
          </w:p>
        </w:tc>
        <w:tc>
          <w:tcPr>
            <w:tcW w:w="1103" w:type="dxa"/>
            <w:tcBorders>
              <w:top w:val="single" w:sz="8" w:space="0" w:color="auto"/>
              <w:left w:val="nil"/>
              <w:bottom w:val="double" w:sz="4" w:space="0" w:color="auto"/>
              <w:right w:val="nil"/>
            </w:tcBorders>
            <w:shd w:val="clear" w:color="auto" w:fill="auto"/>
            <w:vAlign w:val="center"/>
          </w:tcPr>
          <w:p w14:paraId="37176FD0"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80.461</w:t>
            </w:r>
          </w:p>
        </w:tc>
        <w:tc>
          <w:tcPr>
            <w:tcW w:w="1080" w:type="dxa"/>
            <w:tcBorders>
              <w:top w:val="single" w:sz="8" w:space="0" w:color="auto"/>
              <w:left w:val="nil"/>
              <w:bottom w:val="double" w:sz="4" w:space="0" w:color="auto"/>
              <w:right w:val="nil"/>
            </w:tcBorders>
            <w:shd w:val="clear" w:color="auto" w:fill="auto"/>
            <w:vAlign w:val="center"/>
          </w:tcPr>
          <w:p w14:paraId="19294AB1"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109.089</w:t>
            </w:r>
          </w:p>
        </w:tc>
      </w:tr>
    </w:tbl>
    <w:p w14:paraId="41124EC1" w14:textId="77777777" w:rsidR="007D7EEA" w:rsidRPr="0096065B" w:rsidRDefault="007D7EEA">
      <w:pPr>
        <w:spacing w:after="0" w:line="240" w:lineRule="auto"/>
        <w:contextualSpacing/>
        <w:rPr>
          <w:rFonts w:ascii="Arial" w:hAnsi="Arial" w:cs="Arial"/>
        </w:rPr>
      </w:pPr>
    </w:p>
    <w:p w14:paraId="76641881" w14:textId="77777777" w:rsidR="007D7EEA" w:rsidRPr="0096065B" w:rsidRDefault="00DD2A4D">
      <w:pPr>
        <w:pStyle w:val="ListParagraph"/>
        <w:numPr>
          <w:ilvl w:val="0"/>
          <w:numId w:val="41"/>
        </w:numPr>
        <w:ind w:left="1620"/>
        <w:contextualSpacing/>
        <w:jc w:val="both"/>
        <w:rPr>
          <w:rFonts w:ascii="Arial" w:hAnsi="Arial" w:cs="Arial"/>
          <w:sz w:val="22"/>
          <w:szCs w:val="22"/>
        </w:rPr>
      </w:pPr>
      <w:r w:rsidRPr="0096065B">
        <w:rPr>
          <w:rFonts w:ascii="Arial" w:hAnsi="Arial" w:cs="Arial"/>
          <w:sz w:val="22"/>
          <w:szCs w:val="22"/>
        </w:rPr>
        <w:t>Sell the following major assets:</w:t>
      </w:r>
    </w:p>
    <w:p w14:paraId="790CF742" w14:textId="77777777" w:rsidR="007D7EEA" w:rsidRPr="0096065B" w:rsidRDefault="007D7EEA">
      <w:pPr>
        <w:spacing w:line="240" w:lineRule="auto"/>
        <w:ind w:left="1350" w:hanging="90"/>
        <w:contextualSpacing/>
        <w:rPr>
          <w:rFonts w:ascii="Arial" w:hAnsi="Arial" w:cs="Arial"/>
        </w:rPr>
      </w:pPr>
    </w:p>
    <w:tbl>
      <w:tblPr>
        <w:tblW w:w="7361" w:type="dxa"/>
        <w:tblInd w:w="1260" w:type="dxa"/>
        <w:tblLook w:val="04A0" w:firstRow="1" w:lastRow="0" w:firstColumn="1" w:lastColumn="0" w:noHBand="0" w:noVBand="1"/>
      </w:tblPr>
      <w:tblGrid>
        <w:gridCol w:w="2700"/>
        <w:gridCol w:w="90"/>
        <w:gridCol w:w="1170"/>
        <w:gridCol w:w="1071"/>
        <w:gridCol w:w="1103"/>
        <w:gridCol w:w="1227"/>
      </w:tblGrid>
      <w:tr w:rsidR="007D7EEA" w14:paraId="74ABD299" w14:textId="77777777">
        <w:trPr>
          <w:trHeight w:val="525"/>
          <w:tblHeader/>
        </w:trPr>
        <w:tc>
          <w:tcPr>
            <w:tcW w:w="2790" w:type="dxa"/>
            <w:gridSpan w:val="2"/>
            <w:tcBorders>
              <w:top w:val="single" w:sz="8" w:space="0" w:color="auto"/>
              <w:left w:val="nil"/>
              <w:bottom w:val="single" w:sz="8" w:space="0" w:color="auto"/>
              <w:right w:val="nil"/>
            </w:tcBorders>
            <w:shd w:val="clear" w:color="auto" w:fill="auto"/>
            <w:vAlign w:val="center"/>
          </w:tcPr>
          <w:p w14:paraId="01769C7C"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Properties</w:t>
            </w:r>
          </w:p>
        </w:tc>
        <w:tc>
          <w:tcPr>
            <w:tcW w:w="1170" w:type="dxa"/>
            <w:tcBorders>
              <w:top w:val="single" w:sz="8" w:space="0" w:color="auto"/>
              <w:left w:val="nil"/>
              <w:bottom w:val="single" w:sz="8" w:space="0" w:color="auto"/>
              <w:right w:val="nil"/>
            </w:tcBorders>
            <w:shd w:val="clear" w:color="auto" w:fill="auto"/>
            <w:vAlign w:val="center"/>
          </w:tcPr>
          <w:p w14:paraId="3E5DFE1D"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Gross sales</w:t>
            </w:r>
          </w:p>
        </w:tc>
        <w:tc>
          <w:tcPr>
            <w:tcW w:w="1071" w:type="dxa"/>
            <w:tcBorders>
              <w:top w:val="single" w:sz="8" w:space="0" w:color="auto"/>
              <w:left w:val="nil"/>
              <w:bottom w:val="single" w:sz="8" w:space="0" w:color="auto"/>
              <w:right w:val="nil"/>
            </w:tcBorders>
            <w:shd w:val="clear" w:color="auto" w:fill="auto"/>
            <w:vAlign w:val="center"/>
          </w:tcPr>
          <w:p w14:paraId="36EA79CD"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Cost of Sale</w:t>
            </w:r>
          </w:p>
        </w:tc>
        <w:tc>
          <w:tcPr>
            <w:tcW w:w="1103" w:type="dxa"/>
            <w:tcBorders>
              <w:top w:val="single" w:sz="8" w:space="0" w:color="auto"/>
              <w:left w:val="nil"/>
              <w:bottom w:val="single" w:sz="8" w:space="0" w:color="auto"/>
              <w:right w:val="nil"/>
            </w:tcBorders>
            <w:shd w:val="clear" w:color="auto" w:fill="auto"/>
            <w:vAlign w:val="center"/>
          </w:tcPr>
          <w:p w14:paraId="5C4F758D"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Marketing expense</w:t>
            </w:r>
          </w:p>
        </w:tc>
        <w:tc>
          <w:tcPr>
            <w:tcW w:w="1227" w:type="dxa"/>
            <w:tcBorders>
              <w:top w:val="single" w:sz="8" w:space="0" w:color="auto"/>
              <w:left w:val="nil"/>
              <w:bottom w:val="single" w:sz="8" w:space="0" w:color="auto"/>
              <w:right w:val="nil"/>
            </w:tcBorders>
            <w:shd w:val="clear" w:color="auto" w:fill="auto"/>
            <w:vAlign w:val="center"/>
          </w:tcPr>
          <w:p w14:paraId="6F5D9862" w14:textId="77777777" w:rsidR="007D7EEA" w:rsidRDefault="00DD2A4D">
            <w:pPr>
              <w:spacing w:after="0" w:line="240" w:lineRule="auto"/>
              <w:ind w:left="-58" w:right="-58"/>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Net gain</w:t>
            </w:r>
          </w:p>
        </w:tc>
      </w:tr>
      <w:tr w:rsidR="007D7EEA" w14:paraId="6BCB94A2" w14:textId="77777777">
        <w:trPr>
          <w:trHeight w:val="256"/>
        </w:trPr>
        <w:tc>
          <w:tcPr>
            <w:tcW w:w="7361" w:type="dxa"/>
            <w:gridSpan w:val="6"/>
            <w:tcBorders>
              <w:top w:val="single" w:sz="8" w:space="0" w:color="auto"/>
              <w:left w:val="nil"/>
              <w:bottom w:val="nil"/>
              <w:right w:val="nil"/>
            </w:tcBorders>
            <w:shd w:val="clear" w:color="auto" w:fill="auto"/>
            <w:vAlign w:val="center"/>
          </w:tcPr>
          <w:p w14:paraId="7EBB201A"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(In million pesos)</w:t>
            </w:r>
          </w:p>
        </w:tc>
      </w:tr>
      <w:tr w:rsidR="007D7EEA" w14:paraId="41117ED4" w14:textId="77777777">
        <w:trPr>
          <w:trHeight w:val="144"/>
        </w:trPr>
        <w:tc>
          <w:tcPr>
            <w:tcW w:w="2790" w:type="dxa"/>
            <w:gridSpan w:val="2"/>
            <w:tcBorders>
              <w:top w:val="nil"/>
              <w:left w:val="nil"/>
              <w:bottom w:val="nil"/>
              <w:right w:val="nil"/>
            </w:tcBorders>
            <w:shd w:val="clear" w:color="auto" w:fill="auto"/>
            <w:vAlign w:val="center"/>
          </w:tcPr>
          <w:p w14:paraId="7C11E92F" w14:textId="77777777" w:rsidR="007D7EEA" w:rsidRDefault="00DD2A4D">
            <w:pPr>
              <w:spacing w:after="0" w:line="240" w:lineRule="auto"/>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Heaven's Gate</w:t>
            </w:r>
          </w:p>
        </w:tc>
        <w:tc>
          <w:tcPr>
            <w:tcW w:w="1170" w:type="dxa"/>
            <w:tcBorders>
              <w:top w:val="nil"/>
              <w:left w:val="nil"/>
              <w:bottom w:val="nil"/>
              <w:right w:val="nil"/>
            </w:tcBorders>
            <w:shd w:val="clear" w:color="auto" w:fill="auto"/>
            <w:vAlign w:val="center"/>
          </w:tcPr>
          <w:p w14:paraId="562BA449" w14:textId="77777777" w:rsidR="007D7EEA" w:rsidRDefault="00DD2A4D">
            <w:pPr>
              <w:spacing w:after="0" w:line="240" w:lineRule="auto"/>
              <w:ind w:left="-144"/>
              <w:jc w:val="right"/>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   635.789</w:t>
            </w:r>
          </w:p>
        </w:tc>
        <w:tc>
          <w:tcPr>
            <w:tcW w:w="1071" w:type="dxa"/>
            <w:tcBorders>
              <w:top w:val="nil"/>
              <w:left w:val="nil"/>
              <w:bottom w:val="nil"/>
              <w:right w:val="nil"/>
            </w:tcBorders>
            <w:shd w:val="clear" w:color="auto" w:fill="auto"/>
            <w:vAlign w:val="center"/>
          </w:tcPr>
          <w:p w14:paraId="634A7A3B" w14:textId="77777777" w:rsidR="007D7EEA" w:rsidRDefault="00DD2A4D">
            <w:pPr>
              <w:spacing w:after="0" w:line="240" w:lineRule="auto"/>
              <w:ind w:left="-144"/>
              <w:jc w:val="right"/>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 298.089</w:t>
            </w:r>
          </w:p>
        </w:tc>
        <w:tc>
          <w:tcPr>
            <w:tcW w:w="1103" w:type="dxa"/>
            <w:tcBorders>
              <w:top w:val="nil"/>
              <w:left w:val="nil"/>
              <w:bottom w:val="nil"/>
              <w:right w:val="nil"/>
            </w:tcBorders>
            <w:shd w:val="clear" w:color="auto" w:fill="auto"/>
            <w:vAlign w:val="center"/>
          </w:tcPr>
          <w:p w14:paraId="3B4010FC" w14:textId="77777777" w:rsidR="007D7EEA" w:rsidRDefault="00DD2A4D">
            <w:pPr>
              <w:spacing w:after="0" w:line="240" w:lineRule="auto"/>
              <w:ind w:left="-144"/>
              <w:jc w:val="right"/>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  38.147</w:t>
            </w:r>
          </w:p>
        </w:tc>
        <w:tc>
          <w:tcPr>
            <w:tcW w:w="1227" w:type="dxa"/>
            <w:tcBorders>
              <w:top w:val="nil"/>
              <w:left w:val="nil"/>
              <w:bottom w:val="nil"/>
              <w:right w:val="nil"/>
            </w:tcBorders>
            <w:shd w:val="clear" w:color="auto" w:fill="auto"/>
            <w:vAlign w:val="center"/>
          </w:tcPr>
          <w:p w14:paraId="23D86E70" w14:textId="77777777" w:rsidR="007D7EEA" w:rsidRDefault="00DD2A4D">
            <w:pPr>
              <w:spacing w:after="0" w:line="240" w:lineRule="auto"/>
              <w:ind w:left="-144"/>
              <w:jc w:val="right"/>
              <w:rPr>
                <w:rFonts w:ascii="Arial" w:eastAsia="Times New Roman" w:hAnsi="Arial" w:cs="Arial"/>
                <w:color w:val="000000"/>
                <w:sz w:val="20"/>
                <w:szCs w:val="20"/>
                <w:lang w:eastAsia="en-PH"/>
              </w:rPr>
            </w:pPr>
            <w:r>
              <w:rPr>
                <w:rFonts w:ascii="Arial" w:eastAsia="Times New Roman" w:hAnsi="Arial" w:cs="Arial"/>
                <w:color w:val="000000"/>
                <w:sz w:val="20"/>
                <w:szCs w:val="20"/>
                <w:lang w:eastAsia="en-PH"/>
              </w:rPr>
              <w:t>P    299.553</w:t>
            </w:r>
          </w:p>
        </w:tc>
      </w:tr>
      <w:tr w:rsidR="007D7EEA" w14:paraId="3BCE2887" w14:textId="77777777">
        <w:trPr>
          <w:trHeight w:val="144"/>
        </w:trPr>
        <w:tc>
          <w:tcPr>
            <w:tcW w:w="2790" w:type="dxa"/>
            <w:gridSpan w:val="2"/>
            <w:tcBorders>
              <w:top w:val="nil"/>
              <w:left w:val="nil"/>
              <w:bottom w:val="nil"/>
              <w:right w:val="nil"/>
            </w:tcBorders>
            <w:shd w:val="clear" w:color="auto" w:fill="auto"/>
            <w:vAlign w:val="center"/>
          </w:tcPr>
          <w:p w14:paraId="573B5113"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San Lorenzo Lot 5</w:t>
            </w:r>
          </w:p>
        </w:tc>
        <w:tc>
          <w:tcPr>
            <w:tcW w:w="1170" w:type="dxa"/>
            <w:tcBorders>
              <w:top w:val="nil"/>
              <w:left w:val="nil"/>
              <w:bottom w:val="nil"/>
              <w:right w:val="nil"/>
            </w:tcBorders>
            <w:shd w:val="clear" w:color="auto" w:fill="auto"/>
            <w:vAlign w:val="center"/>
          </w:tcPr>
          <w:p w14:paraId="19A2196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229.600</w:t>
            </w:r>
          </w:p>
        </w:tc>
        <w:tc>
          <w:tcPr>
            <w:tcW w:w="1071" w:type="dxa"/>
            <w:tcBorders>
              <w:top w:val="nil"/>
              <w:left w:val="nil"/>
              <w:bottom w:val="nil"/>
              <w:right w:val="nil"/>
            </w:tcBorders>
            <w:shd w:val="clear" w:color="auto" w:fill="auto"/>
            <w:vAlign w:val="center"/>
          </w:tcPr>
          <w:p w14:paraId="7AB438AF"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15.927</w:t>
            </w:r>
          </w:p>
        </w:tc>
        <w:tc>
          <w:tcPr>
            <w:tcW w:w="1103" w:type="dxa"/>
            <w:tcBorders>
              <w:top w:val="nil"/>
              <w:left w:val="nil"/>
              <w:bottom w:val="nil"/>
              <w:right w:val="nil"/>
            </w:tcBorders>
            <w:shd w:val="clear" w:color="auto" w:fill="auto"/>
            <w:vAlign w:val="center"/>
          </w:tcPr>
          <w:p w14:paraId="6EEF965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13.776</w:t>
            </w:r>
          </w:p>
        </w:tc>
        <w:tc>
          <w:tcPr>
            <w:tcW w:w="1227" w:type="dxa"/>
            <w:tcBorders>
              <w:top w:val="nil"/>
              <w:left w:val="nil"/>
              <w:bottom w:val="nil"/>
              <w:right w:val="nil"/>
            </w:tcBorders>
            <w:shd w:val="clear" w:color="auto" w:fill="auto"/>
            <w:vAlign w:val="center"/>
          </w:tcPr>
          <w:p w14:paraId="7867A913"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199.897</w:t>
            </w:r>
          </w:p>
        </w:tc>
      </w:tr>
      <w:tr w:rsidR="007D7EEA" w14:paraId="351ABFB6" w14:textId="77777777">
        <w:trPr>
          <w:trHeight w:val="144"/>
        </w:trPr>
        <w:tc>
          <w:tcPr>
            <w:tcW w:w="2790" w:type="dxa"/>
            <w:gridSpan w:val="2"/>
            <w:tcBorders>
              <w:top w:val="nil"/>
              <w:left w:val="nil"/>
              <w:bottom w:val="nil"/>
              <w:right w:val="nil"/>
            </w:tcBorders>
            <w:shd w:val="clear" w:color="auto" w:fill="auto"/>
            <w:vAlign w:val="center"/>
          </w:tcPr>
          <w:p w14:paraId="6EF588CC"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Gen San Property Lot Y</w:t>
            </w:r>
          </w:p>
        </w:tc>
        <w:tc>
          <w:tcPr>
            <w:tcW w:w="1170" w:type="dxa"/>
            <w:tcBorders>
              <w:top w:val="nil"/>
              <w:left w:val="nil"/>
              <w:bottom w:val="nil"/>
              <w:right w:val="nil"/>
            </w:tcBorders>
            <w:shd w:val="clear" w:color="auto" w:fill="auto"/>
            <w:vAlign w:val="center"/>
          </w:tcPr>
          <w:p w14:paraId="5C8DFE6E"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395.912</w:t>
            </w:r>
          </w:p>
        </w:tc>
        <w:tc>
          <w:tcPr>
            <w:tcW w:w="1071" w:type="dxa"/>
            <w:tcBorders>
              <w:top w:val="nil"/>
              <w:left w:val="nil"/>
              <w:bottom w:val="nil"/>
              <w:right w:val="nil"/>
            </w:tcBorders>
            <w:shd w:val="clear" w:color="auto" w:fill="auto"/>
            <w:vAlign w:val="center"/>
          </w:tcPr>
          <w:p w14:paraId="4E66B9C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211.665</w:t>
            </w:r>
          </w:p>
        </w:tc>
        <w:tc>
          <w:tcPr>
            <w:tcW w:w="1103" w:type="dxa"/>
            <w:tcBorders>
              <w:top w:val="nil"/>
              <w:left w:val="nil"/>
              <w:bottom w:val="nil"/>
              <w:right w:val="nil"/>
            </w:tcBorders>
            <w:shd w:val="clear" w:color="auto" w:fill="auto"/>
            <w:vAlign w:val="center"/>
          </w:tcPr>
          <w:p w14:paraId="55F1A56A"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23.755</w:t>
            </w:r>
          </w:p>
        </w:tc>
        <w:tc>
          <w:tcPr>
            <w:tcW w:w="1227" w:type="dxa"/>
            <w:tcBorders>
              <w:top w:val="nil"/>
              <w:left w:val="nil"/>
              <w:bottom w:val="nil"/>
              <w:right w:val="nil"/>
            </w:tcBorders>
            <w:shd w:val="clear" w:color="auto" w:fill="auto"/>
            <w:vAlign w:val="center"/>
          </w:tcPr>
          <w:p w14:paraId="3263AE19"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160.492</w:t>
            </w:r>
          </w:p>
        </w:tc>
      </w:tr>
      <w:tr w:rsidR="007D7EEA" w14:paraId="1AB89E04" w14:textId="77777777">
        <w:trPr>
          <w:trHeight w:val="144"/>
        </w:trPr>
        <w:tc>
          <w:tcPr>
            <w:tcW w:w="2790" w:type="dxa"/>
            <w:gridSpan w:val="2"/>
            <w:tcBorders>
              <w:top w:val="nil"/>
              <w:left w:val="nil"/>
              <w:bottom w:val="nil"/>
              <w:right w:val="nil"/>
            </w:tcBorders>
            <w:shd w:val="clear" w:color="auto" w:fill="auto"/>
            <w:vAlign w:val="center"/>
          </w:tcPr>
          <w:p w14:paraId="5E397FA8"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San Lorenzo Mt. Zion</w:t>
            </w:r>
          </w:p>
        </w:tc>
        <w:tc>
          <w:tcPr>
            <w:tcW w:w="1170" w:type="dxa"/>
            <w:tcBorders>
              <w:top w:val="nil"/>
              <w:left w:val="nil"/>
              <w:bottom w:val="nil"/>
              <w:right w:val="nil"/>
            </w:tcBorders>
            <w:shd w:val="clear" w:color="auto" w:fill="auto"/>
            <w:vAlign w:val="center"/>
          </w:tcPr>
          <w:p w14:paraId="5EE3485D"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191.982</w:t>
            </w:r>
          </w:p>
        </w:tc>
        <w:tc>
          <w:tcPr>
            <w:tcW w:w="1071" w:type="dxa"/>
            <w:tcBorders>
              <w:top w:val="nil"/>
              <w:left w:val="nil"/>
              <w:bottom w:val="nil"/>
              <w:right w:val="nil"/>
            </w:tcBorders>
            <w:shd w:val="clear" w:color="auto" w:fill="auto"/>
            <w:vAlign w:val="center"/>
          </w:tcPr>
          <w:p w14:paraId="505C0D0C"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54.636</w:t>
            </w:r>
          </w:p>
        </w:tc>
        <w:tc>
          <w:tcPr>
            <w:tcW w:w="1103" w:type="dxa"/>
            <w:tcBorders>
              <w:top w:val="nil"/>
              <w:left w:val="nil"/>
              <w:bottom w:val="nil"/>
              <w:right w:val="nil"/>
            </w:tcBorders>
            <w:shd w:val="clear" w:color="auto" w:fill="auto"/>
            <w:vAlign w:val="center"/>
          </w:tcPr>
          <w:p w14:paraId="766D6976"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11.519</w:t>
            </w:r>
          </w:p>
        </w:tc>
        <w:tc>
          <w:tcPr>
            <w:tcW w:w="1227" w:type="dxa"/>
            <w:tcBorders>
              <w:top w:val="nil"/>
              <w:left w:val="nil"/>
              <w:bottom w:val="nil"/>
              <w:right w:val="nil"/>
            </w:tcBorders>
            <w:shd w:val="clear" w:color="auto" w:fill="auto"/>
            <w:vAlign w:val="center"/>
          </w:tcPr>
          <w:p w14:paraId="5E73C77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125.827</w:t>
            </w:r>
          </w:p>
        </w:tc>
      </w:tr>
      <w:tr w:rsidR="007D7EEA" w14:paraId="7BAD65F4" w14:textId="77777777">
        <w:trPr>
          <w:trHeight w:val="144"/>
        </w:trPr>
        <w:tc>
          <w:tcPr>
            <w:tcW w:w="2790" w:type="dxa"/>
            <w:gridSpan w:val="2"/>
            <w:tcBorders>
              <w:top w:val="nil"/>
              <w:left w:val="nil"/>
              <w:bottom w:val="nil"/>
              <w:right w:val="nil"/>
            </w:tcBorders>
            <w:shd w:val="clear" w:color="auto" w:fill="auto"/>
            <w:vAlign w:val="center"/>
          </w:tcPr>
          <w:p w14:paraId="3792BB3F"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xml:space="preserve">Sta Rosa </w:t>
            </w:r>
            <w:proofErr w:type="spellStart"/>
            <w:r>
              <w:rPr>
                <w:rFonts w:ascii="Arial" w:eastAsia="Times New Roman" w:hAnsi="Arial" w:cs="Arial"/>
                <w:color w:val="000000"/>
                <w:sz w:val="20"/>
                <w:szCs w:val="20"/>
                <w:lang w:eastAsia="en-PH"/>
              </w:rPr>
              <w:t>Rawlands</w:t>
            </w:r>
            <w:proofErr w:type="spellEnd"/>
            <w:r>
              <w:rPr>
                <w:rFonts w:ascii="Arial" w:eastAsia="Times New Roman" w:hAnsi="Arial" w:cs="Arial"/>
                <w:color w:val="000000"/>
                <w:sz w:val="20"/>
                <w:szCs w:val="20"/>
                <w:lang w:eastAsia="en-PH"/>
              </w:rPr>
              <w:t xml:space="preserve"> (7 Lots)</w:t>
            </w:r>
          </w:p>
        </w:tc>
        <w:tc>
          <w:tcPr>
            <w:tcW w:w="1170" w:type="dxa"/>
            <w:tcBorders>
              <w:top w:val="nil"/>
              <w:left w:val="nil"/>
              <w:bottom w:val="nil"/>
              <w:right w:val="nil"/>
            </w:tcBorders>
            <w:shd w:val="clear" w:color="auto" w:fill="auto"/>
            <w:vAlign w:val="center"/>
          </w:tcPr>
          <w:p w14:paraId="132637C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126.317</w:t>
            </w:r>
          </w:p>
        </w:tc>
        <w:tc>
          <w:tcPr>
            <w:tcW w:w="1071" w:type="dxa"/>
            <w:tcBorders>
              <w:top w:val="nil"/>
              <w:left w:val="nil"/>
              <w:bottom w:val="nil"/>
              <w:right w:val="nil"/>
            </w:tcBorders>
            <w:shd w:val="clear" w:color="auto" w:fill="auto"/>
            <w:vAlign w:val="center"/>
          </w:tcPr>
          <w:p w14:paraId="3C36A99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35.949</w:t>
            </w:r>
          </w:p>
        </w:tc>
        <w:tc>
          <w:tcPr>
            <w:tcW w:w="1103" w:type="dxa"/>
            <w:tcBorders>
              <w:top w:val="nil"/>
              <w:left w:val="nil"/>
              <w:bottom w:val="nil"/>
              <w:right w:val="nil"/>
            </w:tcBorders>
            <w:shd w:val="clear" w:color="auto" w:fill="auto"/>
            <w:vAlign w:val="center"/>
          </w:tcPr>
          <w:p w14:paraId="181570C2"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7.579</w:t>
            </w:r>
          </w:p>
        </w:tc>
        <w:tc>
          <w:tcPr>
            <w:tcW w:w="1227" w:type="dxa"/>
            <w:tcBorders>
              <w:top w:val="nil"/>
              <w:left w:val="nil"/>
              <w:bottom w:val="nil"/>
              <w:right w:val="nil"/>
            </w:tcBorders>
            <w:shd w:val="clear" w:color="auto" w:fill="auto"/>
            <w:vAlign w:val="center"/>
          </w:tcPr>
          <w:p w14:paraId="099386F7"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82.789</w:t>
            </w:r>
          </w:p>
        </w:tc>
      </w:tr>
      <w:tr w:rsidR="007D7EEA" w14:paraId="41557BF7" w14:textId="77777777">
        <w:trPr>
          <w:trHeight w:val="144"/>
        </w:trPr>
        <w:tc>
          <w:tcPr>
            <w:tcW w:w="2790" w:type="dxa"/>
            <w:gridSpan w:val="2"/>
            <w:tcBorders>
              <w:top w:val="nil"/>
              <w:left w:val="nil"/>
              <w:bottom w:val="nil"/>
              <w:right w:val="nil"/>
            </w:tcBorders>
            <w:shd w:val="clear" w:color="auto" w:fill="auto"/>
            <w:vAlign w:val="center"/>
          </w:tcPr>
          <w:p w14:paraId="462D32A2"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 xml:space="preserve">Riviera </w:t>
            </w:r>
            <w:proofErr w:type="spellStart"/>
            <w:r>
              <w:rPr>
                <w:rFonts w:ascii="Arial" w:eastAsia="Times New Roman" w:hAnsi="Arial" w:cs="Arial"/>
                <w:color w:val="000000"/>
                <w:sz w:val="20"/>
                <w:szCs w:val="20"/>
                <w:lang w:eastAsia="en-PH"/>
              </w:rPr>
              <w:t>Rawlands</w:t>
            </w:r>
            <w:proofErr w:type="spellEnd"/>
          </w:p>
        </w:tc>
        <w:tc>
          <w:tcPr>
            <w:tcW w:w="1170" w:type="dxa"/>
            <w:vMerge w:val="restart"/>
            <w:tcBorders>
              <w:top w:val="nil"/>
              <w:left w:val="nil"/>
              <w:bottom w:val="nil"/>
              <w:right w:val="nil"/>
            </w:tcBorders>
            <w:shd w:val="clear" w:color="auto" w:fill="auto"/>
            <w:vAlign w:val="bottom"/>
          </w:tcPr>
          <w:p w14:paraId="4EFC476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405.146</w:t>
            </w:r>
          </w:p>
        </w:tc>
        <w:tc>
          <w:tcPr>
            <w:tcW w:w="1071" w:type="dxa"/>
            <w:vMerge w:val="restart"/>
            <w:tcBorders>
              <w:top w:val="nil"/>
              <w:left w:val="nil"/>
              <w:bottom w:val="nil"/>
              <w:right w:val="nil"/>
            </w:tcBorders>
            <w:shd w:val="clear" w:color="auto" w:fill="auto"/>
            <w:vAlign w:val="bottom"/>
          </w:tcPr>
          <w:p w14:paraId="3F4BBFAA"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pacing w:val="-2"/>
                <w:sz w:val="20"/>
                <w:szCs w:val="20"/>
                <w:lang w:eastAsia="en-PH"/>
              </w:rPr>
              <w:t>300.168</w:t>
            </w:r>
          </w:p>
        </w:tc>
        <w:tc>
          <w:tcPr>
            <w:tcW w:w="1103" w:type="dxa"/>
            <w:vMerge w:val="restart"/>
            <w:tcBorders>
              <w:top w:val="nil"/>
              <w:left w:val="nil"/>
              <w:bottom w:val="nil"/>
              <w:right w:val="nil"/>
            </w:tcBorders>
            <w:shd w:val="clear" w:color="auto" w:fill="auto"/>
            <w:vAlign w:val="bottom"/>
          </w:tcPr>
          <w:p w14:paraId="5804ABA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pacing w:val="-2"/>
                <w:sz w:val="20"/>
                <w:szCs w:val="20"/>
                <w:lang w:eastAsia="en-PH"/>
              </w:rPr>
              <w:t>24.309</w:t>
            </w:r>
          </w:p>
        </w:tc>
        <w:tc>
          <w:tcPr>
            <w:tcW w:w="1227" w:type="dxa"/>
            <w:vMerge w:val="restart"/>
            <w:tcBorders>
              <w:top w:val="nil"/>
              <w:left w:val="nil"/>
              <w:bottom w:val="nil"/>
              <w:right w:val="nil"/>
            </w:tcBorders>
            <w:shd w:val="clear" w:color="auto" w:fill="auto"/>
            <w:vAlign w:val="bottom"/>
          </w:tcPr>
          <w:p w14:paraId="463A3023"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pacing w:val="-2"/>
                <w:sz w:val="20"/>
                <w:szCs w:val="20"/>
                <w:lang w:eastAsia="en-PH"/>
              </w:rPr>
              <w:t>80.669</w:t>
            </w:r>
          </w:p>
        </w:tc>
      </w:tr>
      <w:tr w:rsidR="007D7EEA" w14:paraId="604B8408" w14:textId="77777777">
        <w:trPr>
          <w:trHeight w:val="144"/>
        </w:trPr>
        <w:tc>
          <w:tcPr>
            <w:tcW w:w="2790" w:type="dxa"/>
            <w:gridSpan w:val="2"/>
            <w:tcBorders>
              <w:top w:val="nil"/>
              <w:left w:val="nil"/>
              <w:bottom w:val="nil"/>
              <w:right w:val="nil"/>
            </w:tcBorders>
            <w:shd w:val="clear" w:color="auto" w:fill="auto"/>
            <w:vAlign w:val="center"/>
          </w:tcPr>
          <w:p w14:paraId="078196FD"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Lots 1-A-2-B-1 to B-3</w:t>
            </w:r>
          </w:p>
        </w:tc>
        <w:tc>
          <w:tcPr>
            <w:tcW w:w="1170" w:type="dxa"/>
            <w:vMerge/>
            <w:tcBorders>
              <w:top w:val="nil"/>
              <w:left w:val="nil"/>
              <w:bottom w:val="nil"/>
              <w:right w:val="nil"/>
            </w:tcBorders>
            <w:vAlign w:val="center"/>
          </w:tcPr>
          <w:p w14:paraId="118A1CBD" w14:textId="77777777" w:rsidR="007D7EEA" w:rsidRDefault="007D7EEA">
            <w:pPr>
              <w:spacing w:after="0" w:line="240" w:lineRule="auto"/>
              <w:rPr>
                <w:rFonts w:ascii="Arial" w:eastAsia="Times New Roman" w:hAnsi="Arial" w:cs="Arial"/>
                <w:color w:val="000000"/>
                <w:sz w:val="20"/>
                <w:szCs w:val="20"/>
                <w:lang w:val="en-PH" w:eastAsia="en-PH"/>
              </w:rPr>
            </w:pPr>
          </w:p>
        </w:tc>
        <w:tc>
          <w:tcPr>
            <w:tcW w:w="1071" w:type="dxa"/>
            <w:vMerge/>
            <w:tcBorders>
              <w:top w:val="nil"/>
              <w:left w:val="nil"/>
              <w:bottom w:val="nil"/>
              <w:right w:val="nil"/>
            </w:tcBorders>
            <w:vAlign w:val="center"/>
          </w:tcPr>
          <w:p w14:paraId="7A7D344E" w14:textId="77777777" w:rsidR="007D7EEA" w:rsidRDefault="007D7EEA">
            <w:pPr>
              <w:spacing w:after="0" w:line="240" w:lineRule="auto"/>
              <w:rPr>
                <w:rFonts w:ascii="Arial" w:eastAsia="Times New Roman" w:hAnsi="Arial" w:cs="Arial"/>
                <w:color w:val="000000"/>
                <w:sz w:val="20"/>
                <w:szCs w:val="20"/>
                <w:lang w:val="en-PH" w:eastAsia="en-PH"/>
              </w:rPr>
            </w:pPr>
          </w:p>
        </w:tc>
        <w:tc>
          <w:tcPr>
            <w:tcW w:w="1103" w:type="dxa"/>
            <w:vMerge/>
            <w:tcBorders>
              <w:top w:val="nil"/>
              <w:left w:val="nil"/>
              <w:bottom w:val="nil"/>
              <w:right w:val="nil"/>
            </w:tcBorders>
            <w:vAlign w:val="center"/>
          </w:tcPr>
          <w:p w14:paraId="304C96A3" w14:textId="77777777" w:rsidR="007D7EEA" w:rsidRDefault="007D7EEA">
            <w:pPr>
              <w:spacing w:after="0" w:line="240" w:lineRule="auto"/>
              <w:rPr>
                <w:rFonts w:ascii="Arial" w:eastAsia="Times New Roman" w:hAnsi="Arial" w:cs="Arial"/>
                <w:color w:val="000000"/>
                <w:sz w:val="20"/>
                <w:szCs w:val="20"/>
                <w:lang w:val="en-PH" w:eastAsia="en-PH"/>
              </w:rPr>
            </w:pPr>
          </w:p>
        </w:tc>
        <w:tc>
          <w:tcPr>
            <w:tcW w:w="1227" w:type="dxa"/>
            <w:vMerge/>
            <w:tcBorders>
              <w:top w:val="nil"/>
              <w:left w:val="nil"/>
              <w:bottom w:val="nil"/>
              <w:right w:val="nil"/>
            </w:tcBorders>
            <w:vAlign w:val="center"/>
          </w:tcPr>
          <w:p w14:paraId="053BC043" w14:textId="77777777" w:rsidR="007D7EEA" w:rsidRDefault="007D7EEA">
            <w:pPr>
              <w:spacing w:after="0" w:line="240" w:lineRule="auto"/>
              <w:rPr>
                <w:rFonts w:ascii="Arial" w:eastAsia="Times New Roman" w:hAnsi="Arial" w:cs="Arial"/>
                <w:color w:val="000000"/>
                <w:sz w:val="20"/>
                <w:szCs w:val="20"/>
                <w:lang w:val="en-PH" w:eastAsia="en-PH"/>
              </w:rPr>
            </w:pPr>
          </w:p>
        </w:tc>
      </w:tr>
      <w:tr w:rsidR="007D7EEA" w14:paraId="3ABB6E8D" w14:textId="77777777">
        <w:trPr>
          <w:trHeight w:val="144"/>
        </w:trPr>
        <w:tc>
          <w:tcPr>
            <w:tcW w:w="2790" w:type="dxa"/>
            <w:gridSpan w:val="2"/>
            <w:tcBorders>
              <w:top w:val="nil"/>
              <w:left w:val="nil"/>
              <w:bottom w:val="nil"/>
              <w:right w:val="nil"/>
            </w:tcBorders>
            <w:shd w:val="clear" w:color="auto" w:fill="auto"/>
            <w:vAlign w:val="center"/>
          </w:tcPr>
          <w:p w14:paraId="4C1521DD"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Orchard</w:t>
            </w:r>
          </w:p>
        </w:tc>
        <w:tc>
          <w:tcPr>
            <w:tcW w:w="1170" w:type="dxa"/>
            <w:tcBorders>
              <w:top w:val="nil"/>
              <w:left w:val="nil"/>
              <w:bottom w:val="nil"/>
              <w:right w:val="nil"/>
            </w:tcBorders>
            <w:shd w:val="clear" w:color="auto" w:fill="auto"/>
            <w:vAlign w:val="center"/>
          </w:tcPr>
          <w:p w14:paraId="61C0F7E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35.660</w:t>
            </w:r>
          </w:p>
        </w:tc>
        <w:tc>
          <w:tcPr>
            <w:tcW w:w="1071" w:type="dxa"/>
            <w:tcBorders>
              <w:top w:val="nil"/>
              <w:left w:val="nil"/>
              <w:bottom w:val="nil"/>
              <w:right w:val="nil"/>
            </w:tcBorders>
            <w:shd w:val="clear" w:color="auto" w:fill="auto"/>
            <w:vAlign w:val="center"/>
          </w:tcPr>
          <w:p w14:paraId="42F2F983"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0.579</w:t>
            </w:r>
          </w:p>
        </w:tc>
        <w:tc>
          <w:tcPr>
            <w:tcW w:w="1103" w:type="dxa"/>
            <w:tcBorders>
              <w:top w:val="nil"/>
              <w:left w:val="nil"/>
              <w:bottom w:val="nil"/>
              <w:right w:val="nil"/>
            </w:tcBorders>
            <w:shd w:val="clear" w:color="auto" w:fill="auto"/>
            <w:vAlign w:val="center"/>
          </w:tcPr>
          <w:p w14:paraId="7E5AF0F3"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2.140</w:t>
            </w:r>
          </w:p>
        </w:tc>
        <w:tc>
          <w:tcPr>
            <w:tcW w:w="1227" w:type="dxa"/>
            <w:tcBorders>
              <w:top w:val="nil"/>
              <w:left w:val="nil"/>
              <w:bottom w:val="nil"/>
              <w:right w:val="nil"/>
            </w:tcBorders>
            <w:shd w:val="clear" w:color="auto" w:fill="auto"/>
            <w:vAlign w:val="center"/>
          </w:tcPr>
          <w:p w14:paraId="01DA9CB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32.941</w:t>
            </w:r>
          </w:p>
        </w:tc>
      </w:tr>
      <w:tr w:rsidR="007D7EEA" w14:paraId="20D818A1" w14:textId="77777777">
        <w:trPr>
          <w:trHeight w:val="144"/>
        </w:trPr>
        <w:tc>
          <w:tcPr>
            <w:tcW w:w="2790" w:type="dxa"/>
            <w:gridSpan w:val="2"/>
            <w:tcBorders>
              <w:top w:val="nil"/>
              <w:left w:val="nil"/>
              <w:bottom w:val="nil"/>
              <w:right w:val="nil"/>
            </w:tcBorders>
            <w:shd w:val="clear" w:color="auto" w:fill="auto"/>
            <w:vAlign w:val="center"/>
          </w:tcPr>
          <w:p w14:paraId="438CEF0B"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San Lorenzo Lot 2033-B</w:t>
            </w:r>
          </w:p>
        </w:tc>
        <w:tc>
          <w:tcPr>
            <w:tcW w:w="1170" w:type="dxa"/>
            <w:tcBorders>
              <w:top w:val="nil"/>
              <w:left w:val="nil"/>
              <w:bottom w:val="nil"/>
              <w:right w:val="nil"/>
            </w:tcBorders>
            <w:shd w:val="clear" w:color="auto" w:fill="auto"/>
            <w:vAlign w:val="center"/>
          </w:tcPr>
          <w:p w14:paraId="10BB3EF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33.814</w:t>
            </w:r>
          </w:p>
        </w:tc>
        <w:tc>
          <w:tcPr>
            <w:tcW w:w="1071" w:type="dxa"/>
            <w:tcBorders>
              <w:top w:val="nil"/>
              <w:left w:val="nil"/>
              <w:bottom w:val="nil"/>
              <w:right w:val="nil"/>
            </w:tcBorders>
            <w:shd w:val="clear" w:color="auto" w:fill="auto"/>
            <w:vAlign w:val="center"/>
          </w:tcPr>
          <w:p w14:paraId="7A6BEFAF"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5.361</w:t>
            </w:r>
          </w:p>
        </w:tc>
        <w:tc>
          <w:tcPr>
            <w:tcW w:w="1103" w:type="dxa"/>
            <w:tcBorders>
              <w:top w:val="nil"/>
              <w:left w:val="nil"/>
              <w:bottom w:val="nil"/>
              <w:right w:val="nil"/>
            </w:tcBorders>
            <w:shd w:val="clear" w:color="auto" w:fill="auto"/>
            <w:vAlign w:val="center"/>
          </w:tcPr>
          <w:p w14:paraId="19D6F7E0"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2.029</w:t>
            </w:r>
          </w:p>
        </w:tc>
        <w:tc>
          <w:tcPr>
            <w:tcW w:w="1227" w:type="dxa"/>
            <w:tcBorders>
              <w:top w:val="nil"/>
              <w:left w:val="nil"/>
              <w:bottom w:val="nil"/>
              <w:right w:val="nil"/>
            </w:tcBorders>
            <w:shd w:val="clear" w:color="auto" w:fill="auto"/>
            <w:vAlign w:val="center"/>
          </w:tcPr>
          <w:p w14:paraId="66F0040B"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26.424</w:t>
            </w:r>
          </w:p>
        </w:tc>
      </w:tr>
      <w:tr w:rsidR="007D7EEA" w14:paraId="1E02440F" w14:textId="77777777">
        <w:trPr>
          <w:trHeight w:val="144"/>
        </w:trPr>
        <w:tc>
          <w:tcPr>
            <w:tcW w:w="2790" w:type="dxa"/>
            <w:gridSpan w:val="2"/>
            <w:tcBorders>
              <w:top w:val="nil"/>
              <w:left w:val="nil"/>
              <w:bottom w:val="single" w:sz="8" w:space="0" w:color="auto"/>
              <w:right w:val="nil"/>
            </w:tcBorders>
            <w:shd w:val="clear" w:color="auto" w:fill="auto"/>
            <w:vAlign w:val="center"/>
          </w:tcPr>
          <w:p w14:paraId="1D358AEB" w14:textId="77777777" w:rsidR="007D7EEA" w:rsidRDefault="00DD2A4D">
            <w:pPr>
              <w:spacing w:after="0" w:line="240" w:lineRule="auto"/>
              <w:rPr>
                <w:rFonts w:ascii="Arial" w:eastAsia="Times New Roman" w:hAnsi="Arial" w:cs="Arial"/>
                <w:color w:val="000000"/>
                <w:sz w:val="20"/>
                <w:szCs w:val="20"/>
                <w:lang w:val="en-PH" w:eastAsia="en-PH"/>
              </w:rPr>
            </w:pPr>
            <w:r>
              <w:rPr>
                <w:rFonts w:ascii="Arial" w:eastAsia="Times New Roman" w:hAnsi="Arial" w:cs="Arial"/>
                <w:color w:val="000000"/>
                <w:sz w:val="20"/>
                <w:szCs w:val="20"/>
                <w:lang w:val="en-PH" w:eastAsia="en-PH"/>
              </w:rPr>
              <w:t xml:space="preserve">Zamboanga </w:t>
            </w:r>
            <w:proofErr w:type="spellStart"/>
            <w:r>
              <w:rPr>
                <w:rFonts w:ascii="Arial" w:eastAsia="Times New Roman" w:hAnsi="Arial" w:cs="Arial"/>
                <w:color w:val="000000"/>
                <w:sz w:val="20"/>
                <w:szCs w:val="20"/>
                <w:lang w:val="en-PH" w:eastAsia="en-PH"/>
              </w:rPr>
              <w:t>Mem'l</w:t>
            </w:r>
            <w:proofErr w:type="spellEnd"/>
            <w:r>
              <w:rPr>
                <w:rFonts w:ascii="Arial" w:eastAsia="Times New Roman" w:hAnsi="Arial" w:cs="Arial"/>
                <w:color w:val="000000"/>
                <w:sz w:val="20"/>
                <w:szCs w:val="20"/>
                <w:lang w:val="en-PH" w:eastAsia="en-PH"/>
              </w:rPr>
              <w:t xml:space="preserve"> Garden</w:t>
            </w:r>
          </w:p>
        </w:tc>
        <w:tc>
          <w:tcPr>
            <w:tcW w:w="1170" w:type="dxa"/>
            <w:tcBorders>
              <w:top w:val="nil"/>
              <w:left w:val="nil"/>
              <w:bottom w:val="single" w:sz="8" w:space="0" w:color="auto"/>
              <w:right w:val="nil"/>
            </w:tcBorders>
            <w:shd w:val="clear" w:color="auto" w:fill="auto"/>
            <w:vAlign w:val="center"/>
          </w:tcPr>
          <w:p w14:paraId="2A1F1637"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1.632</w:t>
            </w:r>
          </w:p>
        </w:tc>
        <w:tc>
          <w:tcPr>
            <w:tcW w:w="1071" w:type="dxa"/>
            <w:tcBorders>
              <w:top w:val="nil"/>
              <w:left w:val="nil"/>
              <w:bottom w:val="single" w:sz="8" w:space="0" w:color="auto"/>
              <w:right w:val="nil"/>
            </w:tcBorders>
            <w:shd w:val="clear" w:color="auto" w:fill="auto"/>
            <w:vAlign w:val="center"/>
          </w:tcPr>
          <w:p w14:paraId="05A40258"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1.283</w:t>
            </w:r>
          </w:p>
        </w:tc>
        <w:tc>
          <w:tcPr>
            <w:tcW w:w="1103" w:type="dxa"/>
            <w:tcBorders>
              <w:top w:val="nil"/>
              <w:left w:val="nil"/>
              <w:bottom w:val="single" w:sz="8" w:space="0" w:color="auto"/>
              <w:right w:val="nil"/>
            </w:tcBorders>
            <w:shd w:val="clear" w:color="auto" w:fill="auto"/>
            <w:vAlign w:val="center"/>
          </w:tcPr>
          <w:p w14:paraId="7FFA8C95"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0.098</w:t>
            </w:r>
          </w:p>
        </w:tc>
        <w:tc>
          <w:tcPr>
            <w:tcW w:w="1227" w:type="dxa"/>
            <w:tcBorders>
              <w:top w:val="nil"/>
              <w:left w:val="nil"/>
              <w:bottom w:val="single" w:sz="8" w:space="0" w:color="auto"/>
              <w:right w:val="nil"/>
            </w:tcBorders>
            <w:shd w:val="clear" w:color="auto" w:fill="auto"/>
            <w:vAlign w:val="center"/>
          </w:tcPr>
          <w:p w14:paraId="49F02D2F" w14:textId="77777777" w:rsidR="007D7EEA" w:rsidRDefault="00DD2A4D">
            <w:pPr>
              <w:spacing w:after="0" w:line="240" w:lineRule="auto"/>
              <w:jc w:val="right"/>
              <w:rPr>
                <w:rFonts w:ascii="Arial" w:eastAsia="Times New Roman" w:hAnsi="Arial" w:cs="Arial"/>
                <w:color w:val="000000"/>
                <w:sz w:val="20"/>
                <w:szCs w:val="20"/>
                <w:lang w:val="en-PH" w:eastAsia="en-PH"/>
              </w:rPr>
            </w:pPr>
            <w:r>
              <w:rPr>
                <w:rFonts w:ascii="Arial" w:eastAsia="Times New Roman" w:hAnsi="Arial" w:cs="Arial"/>
                <w:color w:val="000000"/>
                <w:sz w:val="20"/>
                <w:szCs w:val="20"/>
                <w:lang w:eastAsia="en-PH"/>
              </w:rPr>
              <w:t>0.251</w:t>
            </w:r>
          </w:p>
        </w:tc>
      </w:tr>
      <w:tr w:rsidR="007D7EEA" w14:paraId="7B90C0C2" w14:textId="77777777" w:rsidTr="00B16877">
        <w:trPr>
          <w:trHeight w:val="288"/>
        </w:trPr>
        <w:tc>
          <w:tcPr>
            <w:tcW w:w="2700" w:type="dxa"/>
            <w:tcBorders>
              <w:top w:val="single" w:sz="8" w:space="0" w:color="auto"/>
              <w:left w:val="nil"/>
              <w:bottom w:val="double" w:sz="4" w:space="0" w:color="auto"/>
              <w:right w:val="nil"/>
            </w:tcBorders>
            <w:shd w:val="clear" w:color="auto" w:fill="auto"/>
            <w:vAlign w:val="center"/>
          </w:tcPr>
          <w:p w14:paraId="57F9C113" w14:textId="77777777" w:rsidR="007D7EEA" w:rsidRDefault="00DD2A4D">
            <w:pPr>
              <w:spacing w:after="0" w:line="240" w:lineRule="auto"/>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Total</w:t>
            </w:r>
          </w:p>
        </w:tc>
        <w:tc>
          <w:tcPr>
            <w:tcW w:w="1260" w:type="dxa"/>
            <w:gridSpan w:val="2"/>
            <w:tcBorders>
              <w:top w:val="single" w:sz="8" w:space="0" w:color="auto"/>
              <w:left w:val="nil"/>
              <w:bottom w:val="double" w:sz="4" w:space="0" w:color="auto"/>
              <w:right w:val="nil"/>
            </w:tcBorders>
            <w:shd w:val="clear" w:color="auto" w:fill="auto"/>
            <w:vAlign w:val="center"/>
          </w:tcPr>
          <w:p w14:paraId="2370D6A3"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2,055.852</w:t>
            </w:r>
          </w:p>
        </w:tc>
        <w:tc>
          <w:tcPr>
            <w:tcW w:w="1071" w:type="dxa"/>
            <w:tcBorders>
              <w:top w:val="single" w:sz="8" w:space="0" w:color="auto"/>
              <w:left w:val="nil"/>
              <w:bottom w:val="double" w:sz="4" w:space="0" w:color="auto"/>
              <w:right w:val="nil"/>
            </w:tcBorders>
            <w:shd w:val="clear" w:color="auto" w:fill="auto"/>
            <w:vAlign w:val="center"/>
          </w:tcPr>
          <w:p w14:paraId="3AE6F1CC"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923.657</w:t>
            </w:r>
          </w:p>
        </w:tc>
        <w:tc>
          <w:tcPr>
            <w:tcW w:w="1103" w:type="dxa"/>
            <w:tcBorders>
              <w:top w:val="single" w:sz="8" w:space="0" w:color="auto"/>
              <w:left w:val="nil"/>
              <w:bottom w:val="double" w:sz="4" w:space="0" w:color="auto"/>
              <w:right w:val="nil"/>
            </w:tcBorders>
            <w:shd w:val="clear" w:color="auto" w:fill="auto"/>
            <w:vAlign w:val="center"/>
          </w:tcPr>
          <w:p w14:paraId="48D6FCFF"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123.352</w:t>
            </w:r>
          </w:p>
        </w:tc>
        <w:tc>
          <w:tcPr>
            <w:tcW w:w="1227" w:type="dxa"/>
            <w:tcBorders>
              <w:top w:val="single" w:sz="8" w:space="0" w:color="auto"/>
              <w:left w:val="nil"/>
              <w:bottom w:val="double" w:sz="4" w:space="0" w:color="auto"/>
              <w:right w:val="nil"/>
            </w:tcBorders>
            <w:shd w:val="clear" w:color="auto" w:fill="auto"/>
            <w:vAlign w:val="center"/>
          </w:tcPr>
          <w:p w14:paraId="7AB48CF6" w14:textId="77777777" w:rsidR="007D7EEA" w:rsidRDefault="00DD2A4D">
            <w:pPr>
              <w:spacing w:after="0" w:line="240" w:lineRule="auto"/>
              <w:ind w:left="-144"/>
              <w:jc w:val="right"/>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eastAsia="en-PH"/>
              </w:rPr>
              <w:t>P 1,008.843</w:t>
            </w:r>
          </w:p>
        </w:tc>
      </w:tr>
    </w:tbl>
    <w:p w14:paraId="7B3FDB5E" w14:textId="77777777" w:rsidR="007D7EEA" w:rsidRPr="0096065B" w:rsidRDefault="007D7EEA">
      <w:pPr>
        <w:spacing w:after="0" w:line="240" w:lineRule="auto"/>
        <w:contextualSpacing/>
        <w:rPr>
          <w:rFonts w:ascii="Arial" w:hAnsi="Arial" w:cs="Arial"/>
        </w:rPr>
      </w:pPr>
    </w:p>
    <w:p w14:paraId="5BCF9FF4" w14:textId="77777777" w:rsidR="007D7EEA" w:rsidRPr="0096065B" w:rsidRDefault="00DD2A4D">
      <w:pPr>
        <w:pStyle w:val="ListParagraph"/>
        <w:numPr>
          <w:ilvl w:val="0"/>
          <w:numId w:val="42"/>
        </w:numPr>
        <w:ind w:left="1530"/>
        <w:jc w:val="both"/>
        <w:rPr>
          <w:rFonts w:ascii="Arial" w:hAnsi="Arial" w:cs="Arial"/>
          <w:sz w:val="22"/>
          <w:szCs w:val="22"/>
        </w:rPr>
      </w:pPr>
      <w:r w:rsidRPr="0096065B">
        <w:rPr>
          <w:rFonts w:ascii="Arial" w:hAnsi="Arial" w:cs="Arial"/>
          <w:sz w:val="22"/>
          <w:szCs w:val="22"/>
        </w:rPr>
        <w:t>Sell equity holdings or shares of stocks in the following subsidiaries/ affiliates:</w:t>
      </w:r>
    </w:p>
    <w:p w14:paraId="473848C1" w14:textId="77777777" w:rsidR="007D7EEA" w:rsidRPr="0096065B" w:rsidRDefault="007D7EEA">
      <w:pPr>
        <w:pStyle w:val="ListParagraph"/>
        <w:ind w:left="1530"/>
        <w:rPr>
          <w:rFonts w:ascii="Arial" w:hAnsi="Arial" w:cs="Arial"/>
          <w:sz w:val="22"/>
          <w:szCs w:val="22"/>
        </w:rPr>
      </w:pPr>
    </w:p>
    <w:tbl>
      <w:tblPr>
        <w:tblW w:w="7387" w:type="dxa"/>
        <w:tblInd w:w="1260" w:type="dxa"/>
        <w:tblLayout w:type="fixed"/>
        <w:tblLook w:val="04A0" w:firstRow="1" w:lastRow="0" w:firstColumn="1" w:lastColumn="0" w:noHBand="0" w:noVBand="1"/>
      </w:tblPr>
      <w:tblGrid>
        <w:gridCol w:w="3060"/>
        <w:gridCol w:w="1170"/>
        <w:gridCol w:w="990"/>
        <w:gridCol w:w="990"/>
        <w:gridCol w:w="1177"/>
      </w:tblGrid>
      <w:tr w:rsidR="007D7EEA" w14:paraId="325EBD82" w14:textId="77777777">
        <w:trPr>
          <w:trHeight w:val="286"/>
        </w:trPr>
        <w:tc>
          <w:tcPr>
            <w:tcW w:w="3060" w:type="dxa"/>
            <w:tcBorders>
              <w:top w:val="single" w:sz="8" w:space="0" w:color="auto"/>
              <w:left w:val="nil"/>
              <w:bottom w:val="double" w:sz="4" w:space="0" w:color="auto"/>
              <w:right w:val="nil"/>
            </w:tcBorders>
            <w:shd w:val="clear" w:color="auto" w:fill="auto"/>
            <w:vAlign w:val="center"/>
          </w:tcPr>
          <w:p w14:paraId="554BEA48" w14:textId="77777777" w:rsidR="007D7EEA" w:rsidRDefault="00DD2A4D">
            <w:pPr>
              <w:spacing w:after="0" w:line="240" w:lineRule="auto"/>
              <w:jc w:val="center"/>
              <w:rPr>
                <w:rFonts w:ascii="Arial" w:eastAsia="Times New Roman" w:hAnsi="Arial" w:cs="Arial"/>
                <w:b/>
                <w:bCs/>
                <w:color w:val="000000"/>
                <w:sz w:val="20"/>
                <w:szCs w:val="20"/>
                <w:lang w:val="en-PH" w:eastAsia="en-PH"/>
              </w:rPr>
            </w:pPr>
            <w:r>
              <w:rPr>
                <w:rFonts w:ascii="Arial" w:eastAsia="Times New Roman" w:hAnsi="Arial" w:cs="Arial"/>
                <w:b/>
                <w:bCs/>
                <w:color w:val="000000"/>
                <w:sz w:val="20"/>
                <w:szCs w:val="20"/>
                <w:lang w:val="en-PH" w:eastAsia="en-PH"/>
              </w:rPr>
              <w:t>Subsidiary</w:t>
            </w:r>
          </w:p>
        </w:tc>
        <w:tc>
          <w:tcPr>
            <w:tcW w:w="1170" w:type="dxa"/>
            <w:tcBorders>
              <w:top w:val="single" w:sz="8" w:space="0" w:color="auto"/>
              <w:left w:val="nil"/>
              <w:bottom w:val="double" w:sz="4" w:space="0" w:color="auto"/>
              <w:right w:val="nil"/>
            </w:tcBorders>
            <w:shd w:val="clear" w:color="auto" w:fill="auto"/>
            <w:vAlign w:val="center"/>
          </w:tcPr>
          <w:p w14:paraId="5C67A1A6" w14:textId="77777777" w:rsidR="007D7EEA" w:rsidRDefault="00DD2A4D">
            <w:pPr>
              <w:spacing w:after="0" w:line="240" w:lineRule="auto"/>
              <w:jc w:val="center"/>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Gross sales</w:t>
            </w:r>
          </w:p>
        </w:tc>
        <w:tc>
          <w:tcPr>
            <w:tcW w:w="990" w:type="dxa"/>
            <w:tcBorders>
              <w:top w:val="single" w:sz="8" w:space="0" w:color="auto"/>
              <w:left w:val="nil"/>
              <w:bottom w:val="double" w:sz="4" w:space="0" w:color="auto"/>
              <w:right w:val="nil"/>
            </w:tcBorders>
            <w:shd w:val="clear" w:color="auto" w:fill="auto"/>
            <w:vAlign w:val="center"/>
          </w:tcPr>
          <w:p w14:paraId="0EB140D0" w14:textId="77777777" w:rsidR="007D7EEA" w:rsidRDefault="00DD2A4D">
            <w:pPr>
              <w:spacing w:after="0" w:line="240" w:lineRule="auto"/>
              <w:jc w:val="center"/>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Cost of Sale</w:t>
            </w:r>
          </w:p>
        </w:tc>
        <w:tc>
          <w:tcPr>
            <w:tcW w:w="990" w:type="dxa"/>
            <w:tcBorders>
              <w:top w:val="single" w:sz="8" w:space="0" w:color="auto"/>
              <w:left w:val="nil"/>
              <w:bottom w:val="double" w:sz="4" w:space="0" w:color="auto"/>
              <w:right w:val="nil"/>
            </w:tcBorders>
            <w:shd w:val="clear" w:color="auto" w:fill="auto"/>
            <w:vAlign w:val="center"/>
          </w:tcPr>
          <w:p w14:paraId="4110276E" w14:textId="77777777" w:rsidR="007D7EEA" w:rsidRDefault="00DD2A4D">
            <w:pPr>
              <w:spacing w:after="0" w:line="240" w:lineRule="auto"/>
              <w:jc w:val="center"/>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CGT/</w:t>
            </w:r>
          </w:p>
          <w:p w14:paraId="23C585D2" w14:textId="77777777" w:rsidR="007D7EEA" w:rsidRDefault="00DD2A4D">
            <w:pPr>
              <w:spacing w:after="0" w:line="240" w:lineRule="auto"/>
              <w:jc w:val="center"/>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DST</w:t>
            </w:r>
          </w:p>
        </w:tc>
        <w:tc>
          <w:tcPr>
            <w:tcW w:w="1177" w:type="dxa"/>
            <w:tcBorders>
              <w:top w:val="single" w:sz="8" w:space="0" w:color="auto"/>
              <w:left w:val="nil"/>
              <w:bottom w:val="double" w:sz="4" w:space="0" w:color="auto"/>
              <w:right w:val="nil"/>
            </w:tcBorders>
            <w:shd w:val="clear" w:color="auto" w:fill="auto"/>
            <w:vAlign w:val="center"/>
          </w:tcPr>
          <w:p w14:paraId="6BABA17A" w14:textId="77777777" w:rsidR="007D7EEA" w:rsidRDefault="00DD2A4D">
            <w:pPr>
              <w:spacing w:after="0" w:line="240" w:lineRule="auto"/>
              <w:jc w:val="center"/>
              <w:rPr>
                <w:rFonts w:ascii="Arial" w:eastAsia="Times New Roman" w:hAnsi="Arial" w:cs="Arial"/>
                <w:b/>
                <w:bCs/>
                <w:color w:val="000000"/>
                <w:sz w:val="20"/>
                <w:szCs w:val="20"/>
                <w:lang w:eastAsia="en-PH"/>
              </w:rPr>
            </w:pPr>
            <w:r>
              <w:rPr>
                <w:rFonts w:ascii="Arial" w:eastAsia="Times New Roman" w:hAnsi="Arial" w:cs="Arial"/>
                <w:b/>
                <w:bCs/>
                <w:color w:val="000000"/>
                <w:sz w:val="20"/>
                <w:szCs w:val="20"/>
                <w:lang w:eastAsia="en-PH"/>
              </w:rPr>
              <w:t>Net Gain/ (Loss)</w:t>
            </w:r>
          </w:p>
        </w:tc>
      </w:tr>
      <w:tr w:rsidR="007D7EEA" w14:paraId="3F9D4EC9" w14:textId="77777777">
        <w:trPr>
          <w:trHeight w:val="110"/>
        </w:trPr>
        <w:tc>
          <w:tcPr>
            <w:tcW w:w="7387" w:type="dxa"/>
            <w:gridSpan w:val="5"/>
            <w:tcBorders>
              <w:top w:val="single" w:sz="8" w:space="0" w:color="auto"/>
              <w:left w:val="nil"/>
              <w:bottom w:val="nil"/>
              <w:right w:val="nil"/>
            </w:tcBorders>
            <w:shd w:val="clear" w:color="auto" w:fill="auto"/>
            <w:vAlign w:val="center"/>
          </w:tcPr>
          <w:p w14:paraId="7798E530" w14:textId="77777777" w:rsidR="007D7EEA" w:rsidRDefault="00DD2A4D">
            <w:pPr>
              <w:spacing w:after="0" w:line="240" w:lineRule="auto"/>
              <w:jc w:val="center"/>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val="en-PH" w:eastAsia="en-PH"/>
              </w:rPr>
              <w:t>(In million pesos)</w:t>
            </w:r>
          </w:p>
        </w:tc>
      </w:tr>
      <w:tr w:rsidR="007D7EEA" w14:paraId="59DC8724" w14:textId="77777777">
        <w:trPr>
          <w:trHeight w:val="144"/>
        </w:trPr>
        <w:tc>
          <w:tcPr>
            <w:tcW w:w="3060" w:type="dxa"/>
            <w:tcBorders>
              <w:top w:val="nil"/>
              <w:left w:val="nil"/>
              <w:bottom w:val="nil"/>
              <w:right w:val="nil"/>
            </w:tcBorders>
            <w:shd w:val="clear" w:color="auto" w:fill="auto"/>
            <w:vAlign w:val="center"/>
          </w:tcPr>
          <w:p w14:paraId="10E441AD"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val="en-PH" w:eastAsia="en-PH"/>
              </w:rPr>
              <w:t>BRADCO</w:t>
            </w:r>
          </w:p>
        </w:tc>
        <w:tc>
          <w:tcPr>
            <w:tcW w:w="1170" w:type="dxa"/>
            <w:tcBorders>
              <w:top w:val="nil"/>
              <w:left w:val="nil"/>
              <w:bottom w:val="nil"/>
              <w:right w:val="nil"/>
            </w:tcBorders>
            <w:shd w:val="clear" w:color="auto" w:fill="auto"/>
            <w:vAlign w:val="center"/>
          </w:tcPr>
          <w:p w14:paraId="1FB8365B" w14:textId="77777777" w:rsidR="007D7EEA" w:rsidRDefault="00DD2A4D">
            <w:pPr>
              <w:spacing w:after="0" w:line="240" w:lineRule="auto"/>
              <w:ind w:left="-144"/>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P 5,157.660</w:t>
            </w:r>
          </w:p>
        </w:tc>
        <w:tc>
          <w:tcPr>
            <w:tcW w:w="990" w:type="dxa"/>
            <w:tcBorders>
              <w:top w:val="nil"/>
              <w:left w:val="nil"/>
              <w:bottom w:val="nil"/>
              <w:right w:val="nil"/>
            </w:tcBorders>
            <w:shd w:val="clear" w:color="auto" w:fill="auto"/>
            <w:vAlign w:val="center"/>
          </w:tcPr>
          <w:p w14:paraId="790A16D9" w14:textId="77777777" w:rsidR="007D7EEA" w:rsidRDefault="00DD2A4D">
            <w:pPr>
              <w:spacing w:after="0" w:line="240" w:lineRule="auto"/>
              <w:ind w:left="-144"/>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P 414.722</w:t>
            </w:r>
          </w:p>
        </w:tc>
        <w:tc>
          <w:tcPr>
            <w:tcW w:w="990" w:type="dxa"/>
            <w:tcBorders>
              <w:top w:val="nil"/>
              <w:left w:val="nil"/>
              <w:bottom w:val="nil"/>
              <w:right w:val="nil"/>
            </w:tcBorders>
            <w:shd w:val="clear" w:color="auto" w:fill="auto"/>
            <w:vAlign w:val="center"/>
          </w:tcPr>
          <w:p w14:paraId="131B8237" w14:textId="77777777" w:rsidR="007D7EEA" w:rsidRDefault="00DD2A4D">
            <w:pPr>
              <w:spacing w:after="0" w:line="240" w:lineRule="auto"/>
              <w:ind w:left="-144"/>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P 825.226</w:t>
            </w:r>
          </w:p>
        </w:tc>
        <w:tc>
          <w:tcPr>
            <w:tcW w:w="1177" w:type="dxa"/>
            <w:tcBorders>
              <w:top w:val="nil"/>
              <w:left w:val="nil"/>
              <w:bottom w:val="nil"/>
              <w:right w:val="nil"/>
            </w:tcBorders>
            <w:shd w:val="clear" w:color="auto" w:fill="auto"/>
            <w:vAlign w:val="center"/>
          </w:tcPr>
          <w:p w14:paraId="215F235E" w14:textId="77777777" w:rsidR="007D7EEA" w:rsidRDefault="00DD2A4D">
            <w:pPr>
              <w:spacing w:after="0" w:line="240" w:lineRule="auto"/>
              <w:ind w:left="-144"/>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P 3,917.712</w:t>
            </w:r>
          </w:p>
        </w:tc>
      </w:tr>
      <w:tr w:rsidR="007D7EEA" w14:paraId="4210A50D" w14:textId="77777777">
        <w:trPr>
          <w:trHeight w:val="144"/>
        </w:trPr>
        <w:tc>
          <w:tcPr>
            <w:tcW w:w="3060" w:type="dxa"/>
            <w:tcBorders>
              <w:top w:val="nil"/>
              <w:left w:val="nil"/>
              <w:right w:val="nil"/>
            </w:tcBorders>
            <w:shd w:val="clear" w:color="auto" w:fill="auto"/>
            <w:vAlign w:val="center"/>
          </w:tcPr>
          <w:p w14:paraId="7C39608B" w14:textId="77777777" w:rsidR="007D7EEA" w:rsidRDefault="00DD2A4D">
            <w:pPr>
              <w:spacing w:after="0" w:line="240" w:lineRule="auto"/>
              <w:ind w:right="-106"/>
              <w:rPr>
                <w:rFonts w:ascii="Arial" w:eastAsia="Times New Roman" w:hAnsi="Arial" w:cs="Arial"/>
                <w:color w:val="000000"/>
                <w:sz w:val="19"/>
                <w:szCs w:val="19"/>
                <w:lang w:val="en-PH" w:eastAsia="en-PH"/>
              </w:rPr>
            </w:pPr>
            <w:r>
              <w:rPr>
                <w:rFonts w:ascii="Arial" w:eastAsia="Times New Roman" w:hAnsi="Arial" w:cs="Arial"/>
                <w:color w:val="000000"/>
                <w:sz w:val="19"/>
                <w:szCs w:val="19"/>
                <w:lang w:val="en-PH" w:eastAsia="en-PH"/>
              </w:rPr>
              <w:t>Enchanted Kingdom Holdings, Inc.</w:t>
            </w:r>
          </w:p>
        </w:tc>
        <w:tc>
          <w:tcPr>
            <w:tcW w:w="1170" w:type="dxa"/>
            <w:tcBorders>
              <w:top w:val="nil"/>
              <w:left w:val="nil"/>
              <w:right w:val="nil"/>
            </w:tcBorders>
            <w:shd w:val="clear" w:color="auto" w:fill="auto"/>
            <w:vAlign w:val="center"/>
          </w:tcPr>
          <w:p w14:paraId="4039A6FD"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127.000</w:t>
            </w:r>
          </w:p>
        </w:tc>
        <w:tc>
          <w:tcPr>
            <w:tcW w:w="990" w:type="dxa"/>
            <w:tcBorders>
              <w:top w:val="nil"/>
              <w:left w:val="nil"/>
              <w:right w:val="nil"/>
            </w:tcBorders>
            <w:shd w:val="clear" w:color="auto" w:fill="auto"/>
            <w:vAlign w:val="center"/>
          </w:tcPr>
          <w:p w14:paraId="7EC8005D"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0</w:t>
            </w:r>
          </w:p>
        </w:tc>
        <w:tc>
          <w:tcPr>
            <w:tcW w:w="990" w:type="dxa"/>
            <w:tcBorders>
              <w:top w:val="nil"/>
              <w:left w:val="nil"/>
              <w:right w:val="nil"/>
            </w:tcBorders>
            <w:shd w:val="clear" w:color="auto" w:fill="auto"/>
            <w:vAlign w:val="center"/>
          </w:tcPr>
          <w:p w14:paraId="59C2E26D"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20.320</w:t>
            </w:r>
          </w:p>
        </w:tc>
        <w:tc>
          <w:tcPr>
            <w:tcW w:w="1177" w:type="dxa"/>
            <w:tcBorders>
              <w:top w:val="nil"/>
              <w:left w:val="nil"/>
              <w:right w:val="nil"/>
            </w:tcBorders>
            <w:shd w:val="clear" w:color="auto" w:fill="auto"/>
            <w:vAlign w:val="center"/>
          </w:tcPr>
          <w:p w14:paraId="24754624"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106.680</w:t>
            </w:r>
          </w:p>
        </w:tc>
      </w:tr>
      <w:tr w:rsidR="007D7EEA" w14:paraId="4A870AFA" w14:textId="77777777">
        <w:trPr>
          <w:trHeight w:val="144"/>
        </w:trPr>
        <w:tc>
          <w:tcPr>
            <w:tcW w:w="3060" w:type="dxa"/>
            <w:tcBorders>
              <w:top w:val="nil"/>
              <w:left w:val="nil"/>
              <w:right w:val="nil"/>
            </w:tcBorders>
            <w:shd w:val="clear" w:color="auto" w:fill="auto"/>
            <w:vAlign w:val="center"/>
          </w:tcPr>
          <w:p w14:paraId="1398B2A0"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val="en-PH" w:eastAsia="en-PH"/>
              </w:rPr>
              <w:t>Philippine Airlines Holdings, Inc.</w:t>
            </w:r>
          </w:p>
        </w:tc>
        <w:tc>
          <w:tcPr>
            <w:tcW w:w="1170" w:type="dxa"/>
            <w:tcBorders>
              <w:top w:val="nil"/>
              <w:left w:val="nil"/>
              <w:right w:val="nil"/>
            </w:tcBorders>
            <w:shd w:val="clear" w:color="auto" w:fill="auto"/>
            <w:vAlign w:val="center"/>
          </w:tcPr>
          <w:p w14:paraId="640961DD"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79.515</w:t>
            </w:r>
          </w:p>
        </w:tc>
        <w:tc>
          <w:tcPr>
            <w:tcW w:w="990" w:type="dxa"/>
            <w:tcBorders>
              <w:top w:val="nil"/>
              <w:left w:val="nil"/>
              <w:right w:val="nil"/>
            </w:tcBorders>
            <w:shd w:val="clear" w:color="auto" w:fill="auto"/>
            <w:vAlign w:val="center"/>
          </w:tcPr>
          <w:p w14:paraId="56FC4EE6"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6.626</w:t>
            </w:r>
          </w:p>
        </w:tc>
        <w:tc>
          <w:tcPr>
            <w:tcW w:w="990" w:type="dxa"/>
            <w:tcBorders>
              <w:top w:val="nil"/>
              <w:left w:val="nil"/>
              <w:right w:val="nil"/>
            </w:tcBorders>
            <w:shd w:val="clear" w:color="auto" w:fill="auto"/>
            <w:vAlign w:val="center"/>
          </w:tcPr>
          <w:p w14:paraId="286BB1CF"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12.722</w:t>
            </w:r>
          </w:p>
        </w:tc>
        <w:tc>
          <w:tcPr>
            <w:tcW w:w="1177" w:type="dxa"/>
            <w:tcBorders>
              <w:top w:val="nil"/>
              <w:left w:val="nil"/>
              <w:right w:val="nil"/>
            </w:tcBorders>
            <w:shd w:val="clear" w:color="auto" w:fill="auto"/>
            <w:vAlign w:val="center"/>
          </w:tcPr>
          <w:p w14:paraId="46912D63"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60.167</w:t>
            </w:r>
          </w:p>
        </w:tc>
      </w:tr>
      <w:tr w:rsidR="007D7EEA" w14:paraId="568A08D7" w14:textId="77777777">
        <w:trPr>
          <w:trHeight w:val="144"/>
        </w:trPr>
        <w:tc>
          <w:tcPr>
            <w:tcW w:w="3060" w:type="dxa"/>
            <w:tcBorders>
              <w:left w:val="nil"/>
              <w:bottom w:val="nil"/>
              <w:right w:val="nil"/>
            </w:tcBorders>
            <w:shd w:val="clear" w:color="auto" w:fill="auto"/>
            <w:vAlign w:val="center"/>
          </w:tcPr>
          <w:p w14:paraId="39BCF4C2" w14:textId="77777777" w:rsidR="007D7EEA" w:rsidRDefault="00DD2A4D">
            <w:pPr>
              <w:spacing w:after="0" w:line="240" w:lineRule="auto"/>
              <w:rPr>
                <w:rFonts w:ascii="Arial" w:eastAsia="Times New Roman" w:hAnsi="Arial" w:cs="Arial"/>
                <w:color w:val="000000"/>
                <w:sz w:val="19"/>
                <w:szCs w:val="19"/>
                <w:lang w:val="en-PH" w:eastAsia="en-PH"/>
              </w:rPr>
            </w:pPr>
            <w:r>
              <w:rPr>
                <w:rFonts w:ascii="Arial" w:eastAsia="Times New Roman" w:hAnsi="Arial" w:cs="Arial"/>
                <w:color w:val="000000"/>
                <w:sz w:val="19"/>
                <w:szCs w:val="19"/>
                <w:lang w:val="en-PH" w:eastAsia="en-PH"/>
              </w:rPr>
              <w:t>MLI</w:t>
            </w:r>
          </w:p>
        </w:tc>
        <w:tc>
          <w:tcPr>
            <w:tcW w:w="1170" w:type="dxa"/>
            <w:tcBorders>
              <w:left w:val="nil"/>
              <w:bottom w:val="nil"/>
              <w:right w:val="nil"/>
            </w:tcBorders>
            <w:shd w:val="clear" w:color="auto" w:fill="auto"/>
            <w:vAlign w:val="center"/>
          </w:tcPr>
          <w:p w14:paraId="21068B73"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194.880</w:t>
            </w:r>
          </w:p>
        </w:tc>
        <w:tc>
          <w:tcPr>
            <w:tcW w:w="990" w:type="dxa"/>
            <w:tcBorders>
              <w:left w:val="nil"/>
              <w:bottom w:val="nil"/>
              <w:right w:val="nil"/>
            </w:tcBorders>
            <w:shd w:val="clear" w:color="auto" w:fill="auto"/>
            <w:vAlign w:val="center"/>
          </w:tcPr>
          <w:p w14:paraId="13206D82"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196.508</w:t>
            </w:r>
          </w:p>
        </w:tc>
        <w:tc>
          <w:tcPr>
            <w:tcW w:w="990" w:type="dxa"/>
            <w:tcBorders>
              <w:left w:val="nil"/>
              <w:bottom w:val="nil"/>
              <w:right w:val="nil"/>
            </w:tcBorders>
            <w:shd w:val="clear" w:color="auto" w:fill="auto"/>
            <w:vAlign w:val="center"/>
          </w:tcPr>
          <w:p w14:paraId="5E15C694" w14:textId="77777777" w:rsidR="007D7EEA" w:rsidRDefault="00DD2A4D">
            <w:pPr>
              <w:spacing w:after="0" w:line="240" w:lineRule="auto"/>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31.181</w:t>
            </w:r>
          </w:p>
        </w:tc>
        <w:tc>
          <w:tcPr>
            <w:tcW w:w="1177" w:type="dxa"/>
            <w:tcBorders>
              <w:left w:val="nil"/>
              <w:bottom w:val="nil"/>
              <w:right w:val="nil"/>
            </w:tcBorders>
            <w:shd w:val="clear" w:color="auto" w:fill="auto"/>
            <w:vAlign w:val="center"/>
          </w:tcPr>
          <w:p w14:paraId="046FF802" w14:textId="77777777" w:rsidR="007D7EEA" w:rsidRDefault="00DD2A4D">
            <w:pPr>
              <w:spacing w:after="0" w:line="240" w:lineRule="auto"/>
              <w:ind w:right="-58"/>
              <w:jc w:val="right"/>
              <w:rPr>
                <w:rFonts w:ascii="Arial" w:eastAsia="Times New Roman" w:hAnsi="Arial" w:cs="Arial"/>
                <w:color w:val="000000"/>
                <w:sz w:val="19"/>
                <w:szCs w:val="19"/>
                <w:lang w:val="en-PH" w:eastAsia="en-PH"/>
              </w:rPr>
            </w:pPr>
            <w:r>
              <w:rPr>
                <w:rFonts w:ascii="Arial" w:eastAsia="Times New Roman" w:hAnsi="Arial" w:cs="Arial"/>
                <w:color w:val="000000"/>
                <w:sz w:val="19"/>
                <w:szCs w:val="19"/>
                <w:lang w:eastAsia="en-PH"/>
              </w:rPr>
              <w:t>(32.809)</w:t>
            </w:r>
          </w:p>
        </w:tc>
      </w:tr>
      <w:tr w:rsidR="007D7EEA" w14:paraId="481901CF" w14:textId="77777777" w:rsidTr="00B16877">
        <w:trPr>
          <w:trHeight w:val="288"/>
        </w:trPr>
        <w:tc>
          <w:tcPr>
            <w:tcW w:w="3060" w:type="dxa"/>
            <w:tcBorders>
              <w:top w:val="single" w:sz="8" w:space="0" w:color="auto"/>
              <w:left w:val="nil"/>
              <w:bottom w:val="double" w:sz="4" w:space="0" w:color="auto"/>
              <w:right w:val="nil"/>
            </w:tcBorders>
            <w:shd w:val="clear" w:color="auto" w:fill="auto"/>
            <w:vAlign w:val="center"/>
          </w:tcPr>
          <w:p w14:paraId="08820F14" w14:textId="77777777" w:rsidR="007D7EEA" w:rsidRDefault="00DD2A4D">
            <w:pPr>
              <w:spacing w:after="0" w:line="240" w:lineRule="auto"/>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val="en-PH" w:eastAsia="en-PH"/>
              </w:rPr>
              <w:t>Total</w:t>
            </w:r>
          </w:p>
        </w:tc>
        <w:tc>
          <w:tcPr>
            <w:tcW w:w="1170" w:type="dxa"/>
            <w:tcBorders>
              <w:top w:val="single" w:sz="8" w:space="0" w:color="auto"/>
              <w:left w:val="nil"/>
              <w:bottom w:val="double" w:sz="4" w:space="0" w:color="auto"/>
              <w:right w:val="nil"/>
            </w:tcBorders>
            <w:shd w:val="clear" w:color="auto" w:fill="auto"/>
            <w:vAlign w:val="center"/>
          </w:tcPr>
          <w:p w14:paraId="0089261F" w14:textId="77777777" w:rsidR="007D7EEA" w:rsidRDefault="00DD2A4D">
            <w:pPr>
              <w:spacing w:after="0" w:line="240" w:lineRule="auto"/>
              <w:ind w:left="-144"/>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5,559.055</w:t>
            </w:r>
          </w:p>
        </w:tc>
        <w:tc>
          <w:tcPr>
            <w:tcW w:w="990" w:type="dxa"/>
            <w:tcBorders>
              <w:top w:val="single" w:sz="8" w:space="0" w:color="auto"/>
              <w:left w:val="nil"/>
              <w:bottom w:val="double" w:sz="4" w:space="0" w:color="auto"/>
              <w:right w:val="nil"/>
            </w:tcBorders>
            <w:shd w:val="clear" w:color="auto" w:fill="auto"/>
            <w:vAlign w:val="center"/>
          </w:tcPr>
          <w:p w14:paraId="28881B0D" w14:textId="77777777" w:rsidR="007D7EEA" w:rsidRDefault="00DD2A4D">
            <w:pPr>
              <w:spacing w:after="0" w:line="240" w:lineRule="auto"/>
              <w:ind w:left="-144"/>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617.856</w:t>
            </w:r>
          </w:p>
        </w:tc>
        <w:tc>
          <w:tcPr>
            <w:tcW w:w="990" w:type="dxa"/>
            <w:tcBorders>
              <w:top w:val="single" w:sz="8" w:space="0" w:color="auto"/>
              <w:left w:val="nil"/>
              <w:bottom w:val="double" w:sz="4" w:space="0" w:color="auto"/>
              <w:right w:val="nil"/>
            </w:tcBorders>
            <w:shd w:val="clear" w:color="auto" w:fill="auto"/>
            <w:vAlign w:val="center"/>
          </w:tcPr>
          <w:p w14:paraId="08828683" w14:textId="77777777" w:rsidR="007D7EEA" w:rsidRDefault="00DD2A4D">
            <w:pPr>
              <w:spacing w:after="0" w:line="240" w:lineRule="auto"/>
              <w:ind w:left="-144"/>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889.449</w:t>
            </w:r>
          </w:p>
        </w:tc>
        <w:tc>
          <w:tcPr>
            <w:tcW w:w="1177" w:type="dxa"/>
            <w:tcBorders>
              <w:top w:val="single" w:sz="8" w:space="0" w:color="auto"/>
              <w:left w:val="nil"/>
              <w:bottom w:val="double" w:sz="4" w:space="0" w:color="auto"/>
              <w:right w:val="nil"/>
            </w:tcBorders>
            <w:shd w:val="clear" w:color="auto" w:fill="auto"/>
            <w:vAlign w:val="center"/>
          </w:tcPr>
          <w:p w14:paraId="126F04D4" w14:textId="77777777" w:rsidR="007D7EEA" w:rsidRDefault="00DD2A4D">
            <w:pPr>
              <w:spacing w:after="0" w:line="240" w:lineRule="auto"/>
              <w:ind w:left="-144"/>
              <w:jc w:val="right"/>
              <w:rPr>
                <w:rFonts w:ascii="Arial" w:eastAsia="Times New Roman" w:hAnsi="Arial" w:cs="Arial"/>
                <w:b/>
                <w:bCs/>
                <w:color w:val="000000"/>
                <w:sz w:val="19"/>
                <w:szCs w:val="19"/>
                <w:lang w:val="en-PH" w:eastAsia="en-PH"/>
              </w:rPr>
            </w:pPr>
            <w:r>
              <w:rPr>
                <w:rFonts w:ascii="Arial" w:eastAsia="Times New Roman" w:hAnsi="Arial" w:cs="Arial"/>
                <w:b/>
                <w:bCs/>
                <w:color w:val="000000"/>
                <w:sz w:val="19"/>
                <w:szCs w:val="19"/>
                <w:lang w:eastAsia="en-PH"/>
              </w:rPr>
              <w:t>P 4,051.750</w:t>
            </w:r>
          </w:p>
        </w:tc>
      </w:tr>
    </w:tbl>
    <w:p w14:paraId="02673AA8" w14:textId="77777777" w:rsidR="007D7EEA" w:rsidRPr="0096065B" w:rsidRDefault="007D7EEA">
      <w:pPr>
        <w:spacing w:after="0" w:line="240" w:lineRule="auto"/>
        <w:contextualSpacing/>
        <w:rPr>
          <w:rFonts w:ascii="Arial" w:hAnsi="Arial" w:cs="Arial"/>
        </w:rPr>
      </w:pPr>
    </w:p>
    <w:p w14:paraId="4D41EFBC" w14:textId="3CA8AD3F"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summary of assets sold as at December 31, 2022 is presented in </w:t>
      </w:r>
      <w:r w:rsidRPr="0096065B">
        <w:rPr>
          <w:rFonts w:ascii="Arial" w:hAnsi="Arial" w:cs="Arial"/>
          <w:sz w:val="22"/>
          <w:szCs w:val="22"/>
        </w:rPr>
        <w:br/>
        <w:t xml:space="preserve">Table </w:t>
      </w:r>
      <w:r w:rsidR="00E4192B" w:rsidRPr="0096065B">
        <w:rPr>
          <w:rFonts w:ascii="Arial" w:hAnsi="Arial" w:cs="Arial"/>
          <w:sz w:val="22"/>
          <w:szCs w:val="22"/>
        </w:rPr>
        <w:t>11</w:t>
      </w:r>
      <w:r w:rsidRPr="0096065B">
        <w:rPr>
          <w:rFonts w:ascii="Arial" w:hAnsi="Arial" w:cs="Arial"/>
          <w:sz w:val="22"/>
          <w:szCs w:val="22"/>
        </w:rPr>
        <w:t xml:space="preserve">.2. </w:t>
      </w:r>
    </w:p>
    <w:p w14:paraId="2069ECC1" w14:textId="77777777" w:rsidR="00C7544F" w:rsidRPr="0096065B" w:rsidRDefault="00C7544F">
      <w:pPr>
        <w:spacing w:after="0" w:line="240" w:lineRule="auto"/>
        <w:contextualSpacing/>
        <w:rPr>
          <w:rFonts w:ascii="Arial" w:hAnsi="Arial" w:cs="Arial"/>
        </w:rPr>
      </w:pPr>
    </w:p>
    <w:p w14:paraId="3776B7FE" w14:textId="5D974529" w:rsidR="007D7EEA" w:rsidRPr="0096065B" w:rsidRDefault="00DD2A4D">
      <w:pPr>
        <w:spacing w:after="0" w:line="240" w:lineRule="auto"/>
        <w:ind w:left="1728"/>
        <w:contextualSpacing/>
        <w:jc w:val="center"/>
        <w:rPr>
          <w:rFonts w:ascii="Arial" w:hAnsi="Arial" w:cs="Arial"/>
          <w:b/>
        </w:rPr>
      </w:pPr>
      <w:r w:rsidRPr="0096065B">
        <w:rPr>
          <w:rFonts w:ascii="Arial" w:hAnsi="Arial" w:cs="Arial"/>
          <w:b/>
        </w:rPr>
        <w:t xml:space="preserve">Table </w:t>
      </w:r>
      <w:r w:rsidR="00873D69" w:rsidRPr="0096065B">
        <w:rPr>
          <w:rFonts w:ascii="Arial" w:hAnsi="Arial" w:cs="Arial"/>
          <w:b/>
        </w:rPr>
        <w:t>1</w:t>
      </w:r>
      <w:r w:rsidR="00E4192B" w:rsidRPr="0096065B">
        <w:rPr>
          <w:rFonts w:ascii="Arial" w:hAnsi="Arial" w:cs="Arial"/>
          <w:b/>
        </w:rPr>
        <w:t>1</w:t>
      </w:r>
      <w:r w:rsidRPr="0096065B">
        <w:rPr>
          <w:rFonts w:ascii="Arial" w:hAnsi="Arial" w:cs="Arial"/>
          <w:b/>
        </w:rPr>
        <w:t xml:space="preserve">.2 – Assets sold via Public Bidding </w:t>
      </w:r>
    </w:p>
    <w:p w14:paraId="607D6902" w14:textId="77777777" w:rsidR="007D7EEA" w:rsidRPr="0096065B" w:rsidRDefault="00DD2A4D">
      <w:pPr>
        <w:spacing w:after="0" w:line="240" w:lineRule="auto"/>
        <w:ind w:left="1728"/>
        <w:contextualSpacing/>
        <w:jc w:val="center"/>
        <w:rPr>
          <w:rFonts w:ascii="Arial" w:hAnsi="Arial" w:cs="Arial"/>
          <w:b/>
        </w:rPr>
      </w:pPr>
      <w:r w:rsidRPr="0096065B">
        <w:rPr>
          <w:rFonts w:ascii="Arial" w:hAnsi="Arial" w:cs="Arial"/>
          <w:b/>
        </w:rPr>
        <w:t>As at December 31, 2022</w:t>
      </w:r>
    </w:p>
    <w:p w14:paraId="4632547B" w14:textId="77777777" w:rsidR="007D7EEA" w:rsidRPr="0096065B" w:rsidRDefault="007D7EEA">
      <w:pPr>
        <w:spacing w:after="0" w:line="240" w:lineRule="auto"/>
        <w:contextualSpacing/>
        <w:rPr>
          <w:rFonts w:ascii="Arial" w:hAnsi="Arial" w:cs="Arial"/>
        </w:rPr>
      </w:pPr>
    </w:p>
    <w:tbl>
      <w:tblPr>
        <w:tblW w:w="7387" w:type="dxa"/>
        <w:tblInd w:w="1260" w:type="dxa"/>
        <w:tblLayout w:type="fixed"/>
        <w:tblLook w:val="04A0" w:firstRow="1" w:lastRow="0" w:firstColumn="1" w:lastColumn="0" w:noHBand="0" w:noVBand="1"/>
      </w:tblPr>
      <w:tblGrid>
        <w:gridCol w:w="4530"/>
        <w:gridCol w:w="2857"/>
      </w:tblGrid>
      <w:tr w:rsidR="007D7EEA" w:rsidRPr="00663D1C" w14:paraId="1D2E4590" w14:textId="77777777">
        <w:trPr>
          <w:trHeight w:val="243"/>
          <w:tblHeader/>
        </w:trPr>
        <w:tc>
          <w:tcPr>
            <w:tcW w:w="4530" w:type="dxa"/>
            <w:tcBorders>
              <w:top w:val="single" w:sz="4" w:space="0" w:color="auto"/>
              <w:bottom w:val="single" w:sz="4" w:space="0" w:color="auto"/>
            </w:tcBorders>
            <w:shd w:val="clear" w:color="auto" w:fill="auto"/>
          </w:tcPr>
          <w:p w14:paraId="13DFDBF6" w14:textId="77777777" w:rsidR="007D7EEA" w:rsidRPr="00B83144" w:rsidRDefault="00DD2A4D">
            <w:pPr>
              <w:pStyle w:val="ListParagraph"/>
              <w:ind w:left="252" w:hanging="360"/>
              <w:jc w:val="center"/>
              <w:rPr>
                <w:rFonts w:ascii="Arial" w:hAnsi="Arial" w:cs="Arial"/>
                <w:b/>
                <w:sz w:val="22"/>
                <w:szCs w:val="20"/>
                <w:lang w:val="en-PH"/>
              </w:rPr>
            </w:pPr>
            <w:r w:rsidRPr="00B83144">
              <w:rPr>
                <w:rFonts w:ascii="Arial" w:hAnsi="Arial" w:cs="Arial"/>
                <w:b/>
                <w:sz w:val="22"/>
                <w:szCs w:val="20"/>
                <w:lang w:val="en-PH"/>
              </w:rPr>
              <w:t>Real estate assets for auction</w:t>
            </w:r>
          </w:p>
        </w:tc>
        <w:tc>
          <w:tcPr>
            <w:tcW w:w="2857" w:type="dxa"/>
            <w:tcBorders>
              <w:top w:val="single" w:sz="4" w:space="0" w:color="auto"/>
              <w:bottom w:val="single" w:sz="4" w:space="0" w:color="auto"/>
            </w:tcBorders>
            <w:shd w:val="clear" w:color="auto" w:fill="auto"/>
          </w:tcPr>
          <w:p w14:paraId="0E0627B7" w14:textId="77777777" w:rsidR="007D7EEA" w:rsidRPr="00B83144" w:rsidRDefault="00DD2A4D">
            <w:pPr>
              <w:pStyle w:val="ListParagraph"/>
              <w:tabs>
                <w:tab w:val="left" w:pos="142"/>
              </w:tabs>
              <w:ind w:left="175"/>
              <w:jc w:val="center"/>
              <w:rPr>
                <w:rFonts w:ascii="Arial" w:hAnsi="Arial" w:cs="Arial"/>
                <w:b/>
                <w:sz w:val="22"/>
                <w:szCs w:val="20"/>
                <w:lang w:val="en-PH"/>
              </w:rPr>
            </w:pPr>
            <w:r w:rsidRPr="00B83144">
              <w:rPr>
                <w:rFonts w:ascii="Arial" w:hAnsi="Arial" w:cs="Arial"/>
                <w:b/>
                <w:sz w:val="22"/>
                <w:szCs w:val="20"/>
                <w:lang w:val="en-PH"/>
              </w:rPr>
              <w:t>Award of sale amount</w:t>
            </w:r>
          </w:p>
        </w:tc>
      </w:tr>
      <w:tr w:rsidR="007D7EEA" w:rsidRPr="00663D1C" w14:paraId="691C8BC9" w14:textId="77777777">
        <w:trPr>
          <w:trHeight w:val="20"/>
        </w:trPr>
        <w:tc>
          <w:tcPr>
            <w:tcW w:w="4530" w:type="dxa"/>
            <w:shd w:val="clear" w:color="auto" w:fill="auto"/>
            <w:vAlign w:val="bottom"/>
          </w:tcPr>
          <w:p w14:paraId="132F73FE" w14:textId="77777777" w:rsidR="007D7EEA" w:rsidRPr="00B83144" w:rsidRDefault="00DD2A4D">
            <w:pPr>
              <w:pStyle w:val="ListParagraph"/>
              <w:tabs>
                <w:tab w:val="left" w:pos="142"/>
              </w:tabs>
              <w:ind w:left="-57" w:right="-57"/>
              <w:rPr>
                <w:rFonts w:ascii="Arial" w:hAnsi="Arial" w:cs="Arial"/>
                <w:sz w:val="22"/>
                <w:szCs w:val="20"/>
                <w:lang w:val="en-PH"/>
              </w:rPr>
            </w:pPr>
            <w:r w:rsidRPr="00B83144">
              <w:rPr>
                <w:rFonts w:ascii="Arial" w:hAnsi="Arial" w:cs="Arial"/>
                <w:sz w:val="22"/>
                <w:szCs w:val="20"/>
                <w:lang w:val="en-PH"/>
              </w:rPr>
              <w:t xml:space="preserve">Lots 6B/6C/6D, </w:t>
            </w:r>
            <w:proofErr w:type="spellStart"/>
            <w:r w:rsidRPr="00B83144">
              <w:rPr>
                <w:rFonts w:ascii="Arial" w:hAnsi="Arial" w:cs="Arial"/>
                <w:sz w:val="22"/>
                <w:szCs w:val="20"/>
                <w:lang w:val="en-PH"/>
              </w:rPr>
              <w:t>Aseana</w:t>
            </w:r>
            <w:proofErr w:type="spellEnd"/>
            <w:r w:rsidRPr="00B83144">
              <w:rPr>
                <w:rFonts w:ascii="Arial" w:hAnsi="Arial" w:cs="Arial"/>
                <w:sz w:val="22"/>
                <w:szCs w:val="20"/>
                <w:lang w:val="en-PH"/>
              </w:rPr>
              <w:t xml:space="preserve"> City</w:t>
            </w:r>
          </w:p>
        </w:tc>
        <w:tc>
          <w:tcPr>
            <w:tcW w:w="2857" w:type="dxa"/>
            <w:shd w:val="clear" w:color="auto" w:fill="auto"/>
          </w:tcPr>
          <w:p w14:paraId="1E81801D" w14:textId="77777777" w:rsidR="007D7EEA" w:rsidRPr="00B83144" w:rsidRDefault="00DD2A4D">
            <w:pPr>
              <w:pStyle w:val="ListParagraph"/>
              <w:tabs>
                <w:tab w:val="left" w:pos="142"/>
              </w:tabs>
              <w:ind w:left="-57" w:right="-57"/>
              <w:jc w:val="right"/>
              <w:rPr>
                <w:rFonts w:ascii="Arial" w:hAnsi="Arial" w:cs="Arial"/>
                <w:sz w:val="22"/>
                <w:szCs w:val="20"/>
                <w:lang w:val="en-PH"/>
              </w:rPr>
            </w:pPr>
            <w:r w:rsidRPr="00B83144">
              <w:rPr>
                <w:rFonts w:ascii="Arial" w:hAnsi="Arial" w:cs="Arial"/>
                <w:sz w:val="22"/>
                <w:szCs w:val="20"/>
              </w:rPr>
              <w:t>P    3,316,509,038</w:t>
            </w:r>
          </w:p>
        </w:tc>
      </w:tr>
      <w:tr w:rsidR="007D7EEA" w:rsidRPr="00663D1C" w14:paraId="31B25F0D" w14:textId="77777777">
        <w:trPr>
          <w:trHeight w:val="20"/>
        </w:trPr>
        <w:tc>
          <w:tcPr>
            <w:tcW w:w="4530" w:type="dxa"/>
            <w:shd w:val="clear" w:color="auto" w:fill="auto"/>
            <w:vAlign w:val="bottom"/>
          </w:tcPr>
          <w:p w14:paraId="072B8127" w14:textId="77777777" w:rsidR="007D7EEA" w:rsidRPr="00B83144" w:rsidRDefault="00DD2A4D">
            <w:pPr>
              <w:pStyle w:val="ListParagraph"/>
              <w:tabs>
                <w:tab w:val="left" w:pos="142"/>
              </w:tabs>
              <w:ind w:left="-57" w:right="-57"/>
              <w:rPr>
                <w:rFonts w:ascii="Arial" w:hAnsi="Arial" w:cs="Arial"/>
                <w:sz w:val="22"/>
                <w:szCs w:val="20"/>
                <w:lang w:val="en-PH"/>
              </w:rPr>
            </w:pPr>
            <w:r w:rsidRPr="00B83144">
              <w:rPr>
                <w:rFonts w:ascii="Arial" w:hAnsi="Arial" w:cs="Arial"/>
                <w:sz w:val="22"/>
                <w:szCs w:val="20"/>
                <w:lang w:val="en-PH"/>
              </w:rPr>
              <w:t xml:space="preserve">Lot 6E, </w:t>
            </w:r>
            <w:proofErr w:type="spellStart"/>
            <w:r w:rsidRPr="00B83144">
              <w:rPr>
                <w:rFonts w:ascii="Arial" w:hAnsi="Arial" w:cs="Arial"/>
                <w:sz w:val="22"/>
                <w:szCs w:val="20"/>
                <w:lang w:val="en-PH"/>
              </w:rPr>
              <w:t>Aseana</w:t>
            </w:r>
            <w:proofErr w:type="spellEnd"/>
            <w:r w:rsidRPr="00B83144">
              <w:rPr>
                <w:rFonts w:ascii="Arial" w:hAnsi="Arial" w:cs="Arial"/>
                <w:sz w:val="22"/>
                <w:szCs w:val="20"/>
                <w:lang w:val="en-PH"/>
              </w:rPr>
              <w:t xml:space="preserve"> City</w:t>
            </w:r>
          </w:p>
        </w:tc>
        <w:tc>
          <w:tcPr>
            <w:tcW w:w="2857" w:type="dxa"/>
            <w:shd w:val="clear" w:color="auto" w:fill="auto"/>
            <w:vAlign w:val="center"/>
          </w:tcPr>
          <w:p w14:paraId="2B06748F" w14:textId="77777777" w:rsidR="007D7EEA" w:rsidRPr="00B83144" w:rsidRDefault="00DD2A4D">
            <w:pPr>
              <w:pStyle w:val="ListParagraph"/>
              <w:tabs>
                <w:tab w:val="left" w:pos="142"/>
              </w:tabs>
              <w:ind w:left="-57" w:right="-57"/>
              <w:jc w:val="right"/>
              <w:rPr>
                <w:rFonts w:ascii="Arial" w:hAnsi="Arial" w:cs="Arial"/>
                <w:b/>
                <w:sz w:val="22"/>
                <w:szCs w:val="20"/>
                <w:lang w:val="en-PH"/>
              </w:rPr>
            </w:pPr>
            <w:r w:rsidRPr="00B83144">
              <w:rPr>
                <w:rFonts w:ascii="Arial" w:hAnsi="Arial" w:cs="Arial"/>
                <w:sz w:val="22"/>
                <w:szCs w:val="20"/>
              </w:rPr>
              <w:t>1,794,344,509</w:t>
            </w:r>
          </w:p>
        </w:tc>
      </w:tr>
      <w:tr w:rsidR="007D7EEA" w:rsidRPr="00663D1C" w14:paraId="51AFE413" w14:textId="77777777">
        <w:trPr>
          <w:trHeight w:val="20"/>
        </w:trPr>
        <w:tc>
          <w:tcPr>
            <w:tcW w:w="4530" w:type="dxa"/>
            <w:shd w:val="clear" w:color="auto" w:fill="auto"/>
            <w:vAlign w:val="bottom"/>
          </w:tcPr>
          <w:p w14:paraId="22F54C0B" w14:textId="77777777" w:rsidR="007D7EEA" w:rsidRPr="00B83144" w:rsidRDefault="00DD2A4D">
            <w:pPr>
              <w:pStyle w:val="ListParagraph"/>
              <w:tabs>
                <w:tab w:val="left" w:pos="142"/>
              </w:tabs>
              <w:ind w:left="-57" w:right="-57"/>
              <w:rPr>
                <w:rFonts w:ascii="Arial" w:hAnsi="Arial" w:cs="Arial"/>
                <w:sz w:val="22"/>
                <w:szCs w:val="20"/>
                <w:lang w:val="en-PH"/>
              </w:rPr>
            </w:pPr>
            <w:r w:rsidRPr="00B83144">
              <w:rPr>
                <w:rFonts w:ascii="Arial" w:hAnsi="Arial" w:cs="Arial"/>
                <w:sz w:val="22"/>
                <w:szCs w:val="20"/>
                <w:lang w:val="en-PH"/>
              </w:rPr>
              <w:t>Green Meadows Phase 2, Iloilo</w:t>
            </w:r>
          </w:p>
        </w:tc>
        <w:tc>
          <w:tcPr>
            <w:tcW w:w="2857" w:type="dxa"/>
            <w:shd w:val="clear" w:color="auto" w:fill="auto"/>
          </w:tcPr>
          <w:p w14:paraId="3772FF10" w14:textId="77777777" w:rsidR="007D7EEA" w:rsidRPr="00B83144" w:rsidRDefault="00DD2A4D">
            <w:pPr>
              <w:pStyle w:val="ListParagraph"/>
              <w:tabs>
                <w:tab w:val="left" w:pos="142"/>
              </w:tabs>
              <w:ind w:left="-57" w:right="-57"/>
              <w:jc w:val="right"/>
              <w:rPr>
                <w:rFonts w:ascii="Arial" w:hAnsi="Arial" w:cs="Arial"/>
                <w:sz w:val="22"/>
                <w:szCs w:val="20"/>
                <w:lang w:val="en-PH"/>
              </w:rPr>
            </w:pPr>
            <w:r w:rsidRPr="00B83144">
              <w:rPr>
                <w:rFonts w:ascii="Arial" w:hAnsi="Arial" w:cs="Arial"/>
                <w:sz w:val="22"/>
                <w:szCs w:val="20"/>
                <w:lang w:val="en-PH"/>
              </w:rPr>
              <w:t xml:space="preserve">  1,251,000,000</w:t>
            </w:r>
          </w:p>
        </w:tc>
      </w:tr>
      <w:tr w:rsidR="007D7EEA" w:rsidRPr="00663D1C" w14:paraId="39FE14B7" w14:textId="77777777">
        <w:trPr>
          <w:trHeight w:val="20"/>
        </w:trPr>
        <w:tc>
          <w:tcPr>
            <w:tcW w:w="4530" w:type="dxa"/>
            <w:shd w:val="clear" w:color="auto" w:fill="auto"/>
            <w:vAlign w:val="bottom"/>
          </w:tcPr>
          <w:p w14:paraId="63CD8FE1" w14:textId="77777777" w:rsidR="007D7EEA" w:rsidRPr="00B83144" w:rsidRDefault="00DD2A4D">
            <w:pPr>
              <w:pStyle w:val="ListParagraph"/>
              <w:tabs>
                <w:tab w:val="left" w:pos="142"/>
              </w:tabs>
              <w:ind w:left="193" w:right="-57" w:hanging="250"/>
              <w:rPr>
                <w:rFonts w:ascii="Arial" w:hAnsi="Arial" w:cs="Arial"/>
                <w:sz w:val="22"/>
                <w:szCs w:val="20"/>
                <w:lang w:val="en-PH"/>
              </w:rPr>
            </w:pPr>
            <w:r w:rsidRPr="00B83144">
              <w:rPr>
                <w:rFonts w:ascii="Arial" w:hAnsi="Arial" w:cs="Arial"/>
                <w:sz w:val="22"/>
                <w:szCs w:val="20"/>
                <w:lang w:val="en-PH"/>
              </w:rPr>
              <w:t>SUMSI – Shares</w:t>
            </w:r>
          </w:p>
        </w:tc>
        <w:tc>
          <w:tcPr>
            <w:tcW w:w="2857" w:type="dxa"/>
            <w:shd w:val="clear" w:color="auto" w:fill="auto"/>
            <w:vAlign w:val="bottom"/>
          </w:tcPr>
          <w:p w14:paraId="6015A8EA" w14:textId="77777777" w:rsidR="007D7EEA" w:rsidRPr="00B83144" w:rsidRDefault="00DD2A4D">
            <w:pPr>
              <w:tabs>
                <w:tab w:val="left" w:pos="142"/>
              </w:tabs>
              <w:spacing w:after="0"/>
              <w:ind w:right="-57"/>
              <w:jc w:val="right"/>
              <w:rPr>
                <w:rFonts w:ascii="Arial" w:hAnsi="Arial" w:cs="Arial"/>
                <w:szCs w:val="20"/>
              </w:rPr>
            </w:pPr>
            <w:r w:rsidRPr="00B83144">
              <w:rPr>
                <w:rFonts w:ascii="Arial" w:hAnsi="Arial" w:cs="Arial"/>
                <w:szCs w:val="20"/>
              </w:rPr>
              <w:t>158,780,000</w:t>
            </w:r>
          </w:p>
        </w:tc>
      </w:tr>
      <w:tr w:rsidR="007D7EEA" w:rsidRPr="00663D1C" w14:paraId="05751D7E" w14:textId="77777777">
        <w:trPr>
          <w:trHeight w:val="20"/>
        </w:trPr>
        <w:tc>
          <w:tcPr>
            <w:tcW w:w="4530" w:type="dxa"/>
            <w:shd w:val="clear" w:color="auto" w:fill="auto"/>
            <w:vAlign w:val="bottom"/>
          </w:tcPr>
          <w:p w14:paraId="636D860C" w14:textId="77777777" w:rsidR="007D7EEA" w:rsidRPr="00B83144" w:rsidRDefault="00DD2A4D">
            <w:pPr>
              <w:pStyle w:val="ListParagraph"/>
              <w:tabs>
                <w:tab w:val="left" w:pos="142"/>
              </w:tabs>
              <w:ind w:left="-57" w:right="-57"/>
              <w:rPr>
                <w:rFonts w:ascii="Arial" w:hAnsi="Arial" w:cs="Arial"/>
                <w:sz w:val="22"/>
                <w:szCs w:val="20"/>
                <w:lang w:val="en-PH"/>
              </w:rPr>
            </w:pPr>
            <w:r w:rsidRPr="00B83144">
              <w:rPr>
                <w:rFonts w:ascii="Arial" w:hAnsi="Arial" w:cs="Arial"/>
                <w:sz w:val="22"/>
                <w:szCs w:val="20"/>
                <w:lang w:val="en-PH"/>
              </w:rPr>
              <w:t>Lot 1979-I, Sta Rosa, Laguna</w:t>
            </w:r>
          </w:p>
        </w:tc>
        <w:tc>
          <w:tcPr>
            <w:tcW w:w="2857" w:type="dxa"/>
            <w:shd w:val="clear" w:color="auto" w:fill="auto"/>
          </w:tcPr>
          <w:p w14:paraId="7BBC64D4" w14:textId="77777777" w:rsidR="007D7EEA" w:rsidRPr="00B83144" w:rsidRDefault="00DD2A4D">
            <w:pPr>
              <w:pStyle w:val="ListParagraph"/>
              <w:tabs>
                <w:tab w:val="left" w:pos="142"/>
              </w:tabs>
              <w:ind w:left="-57" w:right="-57"/>
              <w:jc w:val="right"/>
              <w:rPr>
                <w:rFonts w:ascii="Arial" w:hAnsi="Arial" w:cs="Arial"/>
                <w:sz w:val="22"/>
                <w:szCs w:val="20"/>
                <w:lang w:val="en-PH"/>
              </w:rPr>
            </w:pPr>
            <w:r w:rsidRPr="00B83144">
              <w:rPr>
                <w:rFonts w:ascii="Arial" w:hAnsi="Arial" w:cs="Arial"/>
                <w:sz w:val="22"/>
                <w:szCs w:val="20"/>
              </w:rPr>
              <w:t>23,641,200</w:t>
            </w:r>
          </w:p>
        </w:tc>
      </w:tr>
      <w:tr w:rsidR="007D7EEA" w:rsidRPr="00663D1C" w14:paraId="12505568" w14:textId="77777777">
        <w:trPr>
          <w:trHeight w:val="20"/>
        </w:trPr>
        <w:tc>
          <w:tcPr>
            <w:tcW w:w="4530" w:type="dxa"/>
            <w:shd w:val="clear" w:color="auto" w:fill="auto"/>
            <w:vAlign w:val="bottom"/>
          </w:tcPr>
          <w:p w14:paraId="78F923A4" w14:textId="77777777" w:rsidR="007D7EEA" w:rsidRPr="00B83144" w:rsidRDefault="00DD2A4D">
            <w:pPr>
              <w:pStyle w:val="ListParagraph"/>
              <w:tabs>
                <w:tab w:val="left" w:pos="142"/>
              </w:tabs>
              <w:ind w:left="-57" w:right="-57"/>
              <w:rPr>
                <w:rFonts w:ascii="Arial" w:hAnsi="Arial" w:cs="Arial"/>
                <w:sz w:val="22"/>
                <w:szCs w:val="20"/>
                <w:lang w:val="en-PH"/>
              </w:rPr>
            </w:pPr>
            <w:r w:rsidRPr="00B83144">
              <w:rPr>
                <w:rFonts w:ascii="Arial" w:hAnsi="Arial" w:cs="Arial"/>
                <w:sz w:val="22"/>
                <w:szCs w:val="20"/>
                <w:lang w:val="en-PH"/>
              </w:rPr>
              <w:t>Lot 1981-A, Sta Rosa, Laguna</w:t>
            </w:r>
          </w:p>
        </w:tc>
        <w:tc>
          <w:tcPr>
            <w:tcW w:w="2857" w:type="dxa"/>
            <w:shd w:val="clear" w:color="auto" w:fill="auto"/>
          </w:tcPr>
          <w:p w14:paraId="08D9459D" w14:textId="77777777" w:rsidR="007D7EEA" w:rsidRPr="00B83144" w:rsidRDefault="00DD2A4D">
            <w:pPr>
              <w:pStyle w:val="ListParagraph"/>
              <w:tabs>
                <w:tab w:val="left" w:pos="142"/>
              </w:tabs>
              <w:ind w:left="-57" w:right="-57"/>
              <w:jc w:val="right"/>
              <w:rPr>
                <w:rFonts w:ascii="Arial" w:hAnsi="Arial" w:cs="Arial"/>
                <w:sz w:val="22"/>
                <w:szCs w:val="20"/>
                <w:lang w:val="en-PH"/>
              </w:rPr>
            </w:pPr>
            <w:r w:rsidRPr="00B83144">
              <w:rPr>
                <w:rFonts w:ascii="Arial" w:hAnsi="Arial" w:cs="Arial"/>
                <w:sz w:val="22"/>
                <w:szCs w:val="20"/>
              </w:rPr>
              <w:t>10,500,000</w:t>
            </w:r>
          </w:p>
        </w:tc>
      </w:tr>
      <w:tr w:rsidR="007D7EEA" w:rsidRPr="00663D1C" w14:paraId="010F67EE" w14:textId="77777777" w:rsidTr="00B16877">
        <w:trPr>
          <w:trHeight w:val="288"/>
        </w:trPr>
        <w:tc>
          <w:tcPr>
            <w:tcW w:w="4530" w:type="dxa"/>
            <w:tcBorders>
              <w:top w:val="single" w:sz="4" w:space="0" w:color="auto"/>
              <w:bottom w:val="double" w:sz="4" w:space="0" w:color="auto"/>
            </w:tcBorders>
            <w:shd w:val="clear" w:color="auto" w:fill="auto"/>
            <w:vAlign w:val="center"/>
          </w:tcPr>
          <w:p w14:paraId="2EE92131" w14:textId="77777777" w:rsidR="007D7EEA" w:rsidRPr="00B83144" w:rsidRDefault="00DD2A4D">
            <w:pPr>
              <w:pStyle w:val="ListParagraph"/>
              <w:tabs>
                <w:tab w:val="left" w:pos="142"/>
              </w:tabs>
              <w:ind w:left="-57" w:right="-57"/>
              <w:rPr>
                <w:rFonts w:ascii="Arial" w:hAnsi="Arial" w:cs="Arial"/>
                <w:b/>
                <w:sz w:val="22"/>
                <w:szCs w:val="20"/>
                <w:lang w:val="en-PH"/>
              </w:rPr>
            </w:pPr>
            <w:r w:rsidRPr="00B83144">
              <w:rPr>
                <w:rFonts w:ascii="Arial" w:hAnsi="Arial" w:cs="Arial"/>
                <w:b/>
                <w:sz w:val="22"/>
                <w:szCs w:val="20"/>
                <w:lang w:val="en-PH"/>
              </w:rPr>
              <w:t>Total</w:t>
            </w:r>
          </w:p>
        </w:tc>
        <w:tc>
          <w:tcPr>
            <w:tcW w:w="2857" w:type="dxa"/>
            <w:tcBorders>
              <w:top w:val="single" w:sz="4" w:space="0" w:color="auto"/>
              <w:bottom w:val="double" w:sz="4" w:space="0" w:color="auto"/>
            </w:tcBorders>
            <w:shd w:val="clear" w:color="auto" w:fill="auto"/>
            <w:vAlign w:val="center"/>
          </w:tcPr>
          <w:p w14:paraId="40AB274C" w14:textId="77777777" w:rsidR="007D7EEA" w:rsidRPr="00B83144" w:rsidRDefault="00DD2A4D">
            <w:pPr>
              <w:pStyle w:val="ListParagraph"/>
              <w:tabs>
                <w:tab w:val="left" w:pos="142"/>
              </w:tabs>
              <w:ind w:left="-57" w:right="-57"/>
              <w:jc w:val="right"/>
              <w:rPr>
                <w:rFonts w:ascii="Arial" w:hAnsi="Arial" w:cs="Arial"/>
                <w:b/>
                <w:sz w:val="22"/>
                <w:szCs w:val="20"/>
                <w:lang w:val="en-PH"/>
              </w:rPr>
            </w:pPr>
            <w:r w:rsidRPr="00B83144">
              <w:rPr>
                <w:rFonts w:ascii="Arial" w:hAnsi="Arial" w:cs="Arial"/>
                <w:b/>
                <w:sz w:val="22"/>
                <w:szCs w:val="20"/>
              </w:rPr>
              <w:t>P   6,554,774,747</w:t>
            </w:r>
          </w:p>
        </w:tc>
      </w:tr>
    </w:tbl>
    <w:p w14:paraId="4712B65B" w14:textId="77777777" w:rsidR="007D7EEA" w:rsidRPr="005B16E8" w:rsidRDefault="007D7EEA">
      <w:pPr>
        <w:pStyle w:val="NoSpacing"/>
      </w:pPr>
    </w:p>
    <w:p w14:paraId="33EA90EF" w14:textId="77777777" w:rsidR="007D7EEA" w:rsidRPr="005B16E8"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5B16E8">
        <w:rPr>
          <w:rFonts w:ascii="Arial" w:hAnsi="Arial" w:cs="Arial"/>
          <w:sz w:val="22"/>
          <w:szCs w:val="22"/>
        </w:rPr>
        <w:t>The Audit Team would like to emphasize that the AFPRSBS BOL and Management should have closely coordinated with the GCG and the Technical Working Group (TWG) for the effective and expeditious abolition/liquidation of the AFPRSBS.</w:t>
      </w:r>
    </w:p>
    <w:p w14:paraId="48C6F7E4" w14:textId="77777777" w:rsidR="007D7EEA" w:rsidRPr="005B16E8" w:rsidRDefault="007D7EEA">
      <w:pPr>
        <w:spacing w:after="0" w:line="240" w:lineRule="auto"/>
        <w:contextualSpacing/>
        <w:jc w:val="both"/>
        <w:rPr>
          <w:rFonts w:ascii="Arial" w:hAnsi="Arial" w:cs="Arial"/>
        </w:rPr>
      </w:pPr>
    </w:p>
    <w:p w14:paraId="1420C238" w14:textId="77777777" w:rsidR="007D7EEA" w:rsidRPr="005B16E8"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5B16E8">
        <w:rPr>
          <w:rFonts w:ascii="Arial" w:hAnsi="Arial" w:cs="Arial"/>
          <w:sz w:val="22"/>
          <w:szCs w:val="22"/>
        </w:rPr>
        <w:t>As provided under Section 5 of MO No. 90, the GCG shall be assisted by the TWG to implement the provisions of MO No. 90. The TWG is composed of representatives from the following departments, agencies, and GOCCs:</w:t>
      </w:r>
    </w:p>
    <w:p w14:paraId="47C79065" w14:textId="77777777" w:rsidR="007D7EEA" w:rsidRPr="005B16E8" w:rsidRDefault="007D7EEA">
      <w:pPr>
        <w:spacing w:after="0" w:line="240" w:lineRule="auto"/>
        <w:ind w:firstLine="720"/>
        <w:contextualSpacing/>
        <w:jc w:val="both"/>
        <w:rPr>
          <w:rFonts w:ascii="Arial" w:hAnsi="Arial" w:cs="Arial"/>
        </w:rPr>
      </w:pPr>
    </w:p>
    <w:p w14:paraId="4DFB596B" w14:textId="77777777" w:rsidR="007D7EEA" w:rsidRPr="005B16E8" w:rsidRDefault="00DD2A4D">
      <w:pPr>
        <w:pStyle w:val="ListParagraph"/>
        <w:numPr>
          <w:ilvl w:val="0"/>
          <w:numId w:val="43"/>
        </w:numPr>
        <w:ind w:left="1627"/>
        <w:contextualSpacing/>
        <w:jc w:val="both"/>
        <w:rPr>
          <w:rFonts w:ascii="Arial" w:hAnsi="Arial" w:cs="Arial"/>
          <w:sz w:val="22"/>
          <w:szCs w:val="22"/>
        </w:rPr>
      </w:pPr>
      <w:r w:rsidRPr="005B16E8">
        <w:rPr>
          <w:rFonts w:ascii="Arial" w:hAnsi="Arial" w:cs="Arial"/>
          <w:sz w:val="22"/>
          <w:szCs w:val="22"/>
        </w:rPr>
        <w:t>Department of National Defense;</w:t>
      </w:r>
    </w:p>
    <w:p w14:paraId="3EA238D6" w14:textId="77777777" w:rsidR="007D7EEA" w:rsidRPr="005B16E8" w:rsidRDefault="00DD2A4D">
      <w:pPr>
        <w:pStyle w:val="ListParagraph"/>
        <w:numPr>
          <w:ilvl w:val="0"/>
          <w:numId w:val="43"/>
        </w:numPr>
        <w:ind w:left="1627"/>
        <w:contextualSpacing/>
        <w:jc w:val="both"/>
        <w:rPr>
          <w:rFonts w:ascii="Arial" w:hAnsi="Arial" w:cs="Arial"/>
          <w:sz w:val="22"/>
          <w:szCs w:val="22"/>
        </w:rPr>
      </w:pPr>
      <w:r w:rsidRPr="005B16E8">
        <w:rPr>
          <w:rFonts w:ascii="Arial" w:hAnsi="Arial" w:cs="Arial"/>
          <w:sz w:val="22"/>
          <w:szCs w:val="22"/>
        </w:rPr>
        <w:t>Department of Finance;</w:t>
      </w:r>
    </w:p>
    <w:p w14:paraId="706B30D9" w14:textId="77777777" w:rsidR="007D7EEA" w:rsidRPr="005B16E8" w:rsidRDefault="00DD2A4D">
      <w:pPr>
        <w:pStyle w:val="ListParagraph"/>
        <w:numPr>
          <w:ilvl w:val="0"/>
          <w:numId w:val="43"/>
        </w:numPr>
        <w:ind w:left="1627"/>
        <w:contextualSpacing/>
        <w:jc w:val="both"/>
        <w:rPr>
          <w:rFonts w:ascii="Arial" w:hAnsi="Arial" w:cs="Arial"/>
          <w:sz w:val="22"/>
          <w:szCs w:val="22"/>
        </w:rPr>
      </w:pPr>
      <w:r w:rsidRPr="005B16E8">
        <w:rPr>
          <w:rFonts w:ascii="Arial" w:hAnsi="Arial" w:cs="Arial"/>
          <w:sz w:val="22"/>
          <w:szCs w:val="22"/>
        </w:rPr>
        <w:t>Department of Budget and Management;</w:t>
      </w:r>
    </w:p>
    <w:p w14:paraId="5B3DDD22" w14:textId="77777777" w:rsidR="007D7EEA" w:rsidRPr="005B16E8" w:rsidRDefault="00DD2A4D">
      <w:pPr>
        <w:pStyle w:val="ListParagraph"/>
        <w:numPr>
          <w:ilvl w:val="0"/>
          <w:numId w:val="43"/>
        </w:numPr>
        <w:ind w:left="1627"/>
        <w:contextualSpacing/>
        <w:jc w:val="both"/>
        <w:rPr>
          <w:rFonts w:ascii="Arial" w:hAnsi="Arial" w:cs="Arial"/>
          <w:sz w:val="22"/>
          <w:szCs w:val="22"/>
        </w:rPr>
      </w:pPr>
      <w:r w:rsidRPr="005B16E8">
        <w:rPr>
          <w:rFonts w:ascii="Arial" w:hAnsi="Arial" w:cs="Arial"/>
          <w:sz w:val="22"/>
          <w:szCs w:val="22"/>
        </w:rPr>
        <w:t>Privatization Management Office;</w:t>
      </w:r>
    </w:p>
    <w:p w14:paraId="6F593532" w14:textId="77777777" w:rsidR="007D7EEA" w:rsidRPr="005B16E8" w:rsidRDefault="00DD2A4D">
      <w:pPr>
        <w:pStyle w:val="ListParagraph"/>
        <w:numPr>
          <w:ilvl w:val="0"/>
          <w:numId w:val="43"/>
        </w:numPr>
        <w:ind w:left="1627"/>
        <w:contextualSpacing/>
        <w:jc w:val="both"/>
        <w:rPr>
          <w:rFonts w:ascii="Arial" w:hAnsi="Arial" w:cs="Arial"/>
          <w:sz w:val="22"/>
          <w:szCs w:val="22"/>
        </w:rPr>
      </w:pPr>
      <w:r w:rsidRPr="005B16E8">
        <w:rPr>
          <w:rFonts w:ascii="Arial" w:hAnsi="Arial" w:cs="Arial"/>
          <w:sz w:val="22"/>
          <w:szCs w:val="22"/>
        </w:rPr>
        <w:t xml:space="preserve">AFP Retirement and Separation Benefits System; and </w:t>
      </w:r>
    </w:p>
    <w:p w14:paraId="4C5AA2D1" w14:textId="77777777" w:rsidR="007D7EEA" w:rsidRPr="005B16E8" w:rsidRDefault="00DD2A4D">
      <w:pPr>
        <w:pStyle w:val="ListParagraph"/>
        <w:numPr>
          <w:ilvl w:val="0"/>
          <w:numId w:val="43"/>
        </w:numPr>
        <w:ind w:left="1627"/>
        <w:contextualSpacing/>
        <w:jc w:val="both"/>
        <w:rPr>
          <w:rFonts w:ascii="Arial" w:hAnsi="Arial" w:cs="Arial"/>
          <w:sz w:val="22"/>
          <w:szCs w:val="22"/>
        </w:rPr>
      </w:pPr>
      <w:r w:rsidRPr="005B16E8">
        <w:rPr>
          <w:rFonts w:ascii="Arial" w:hAnsi="Arial" w:cs="Arial"/>
          <w:sz w:val="22"/>
          <w:szCs w:val="22"/>
        </w:rPr>
        <w:t>Armed Forces of the Philippines.</w:t>
      </w:r>
    </w:p>
    <w:p w14:paraId="4C251C3E" w14:textId="77777777" w:rsidR="007D7EEA" w:rsidRPr="005B16E8" w:rsidRDefault="007D7EEA">
      <w:pPr>
        <w:spacing w:after="0" w:line="240" w:lineRule="auto"/>
        <w:contextualSpacing/>
        <w:jc w:val="both"/>
        <w:rPr>
          <w:rFonts w:ascii="Arial" w:hAnsi="Arial" w:cs="Arial"/>
        </w:rPr>
      </w:pPr>
    </w:p>
    <w:p w14:paraId="46B95B14" w14:textId="77777777" w:rsidR="007D7EEA" w:rsidRPr="005B16E8"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5B16E8">
        <w:rPr>
          <w:rFonts w:ascii="Arial" w:hAnsi="Arial" w:cs="Arial"/>
          <w:sz w:val="22"/>
          <w:szCs w:val="22"/>
        </w:rPr>
        <w:t>Furthermore, under Section 4.6 of GCG MC No. 2015-03, the TWG shall resolve the following:</w:t>
      </w:r>
    </w:p>
    <w:p w14:paraId="4FE7DEF6" w14:textId="77777777" w:rsidR="007D7EEA" w:rsidRPr="005B16E8" w:rsidRDefault="007D7EEA">
      <w:pPr>
        <w:spacing w:after="0" w:line="240" w:lineRule="auto"/>
        <w:ind w:firstLine="720"/>
        <w:contextualSpacing/>
        <w:jc w:val="both"/>
        <w:rPr>
          <w:rFonts w:ascii="Arial" w:hAnsi="Arial" w:cs="Arial"/>
        </w:rPr>
      </w:pPr>
    </w:p>
    <w:p w14:paraId="0D617543" w14:textId="77777777" w:rsidR="007D7EEA" w:rsidRPr="005B16E8" w:rsidRDefault="00DD2A4D">
      <w:pPr>
        <w:pStyle w:val="ListParagraph"/>
        <w:numPr>
          <w:ilvl w:val="0"/>
          <w:numId w:val="44"/>
        </w:numPr>
        <w:ind w:left="1633"/>
        <w:contextualSpacing/>
        <w:jc w:val="both"/>
        <w:rPr>
          <w:rFonts w:ascii="Arial" w:hAnsi="Arial" w:cs="Arial"/>
          <w:sz w:val="22"/>
          <w:szCs w:val="22"/>
        </w:rPr>
      </w:pPr>
      <w:r w:rsidRPr="005B16E8">
        <w:rPr>
          <w:rFonts w:ascii="Arial" w:hAnsi="Arial" w:cs="Arial"/>
          <w:sz w:val="22"/>
          <w:szCs w:val="22"/>
        </w:rPr>
        <w:t xml:space="preserve">Settlement of separation pay of affected employees; </w:t>
      </w:r>
    </w:p>
    <w:p w14:paraId="6EDC4269" w14:textId="77777777" w:rsidR="007D7EEA" w:rsidRPr="005B16E8" w:rsidRDefault="00DD2A4D">
      <w:pPr>
        <w:pStyle w:val="ListParagraph"/>
        <w:numPr>
          <w:ilvl w:val="0"/>
          <w:numId w:val="44"/>
        </w:numPr>
        <w:ind w:left="1620"/>
        <w:contextualSpacing/>
        <w:jc w:val="both"/>
        <w:rPr>
          <w:rFonts w:ascii="Arial" w:hAnsi="Arial" w:cs="Arial"/>
          <w:sz w:val="22"/>
          <w:szCs w:val="22"/>
        </w:rPr>
      </w:pPr>
      <w:r w:rsidRPr="005B16E8">
        <w:rPr>
          <w:rFonts w:ascii="Arial" w:hAnsi="Arial" w:cs="Arial"/>
          <w:sz w:val="22"/>
          <w:szCs w:val="22"/>
        </w:rPr>
        <w:t xml:space="preserve">Surrender of original copies of corporate books of account and financial records to the Commission on Audit, and officially received by the latter; </w:t>
      </w:r>
    </w:p>
    <w:p w14:paraId="12ECA365" w14:textId="77777777" w:rsidR="007D7EEA" w:rsidRPr="0096065B" w:rsidRDefault="00DD2A4D">
      <w:pPr>
        <w:pStyle w:val="ListParagraph"/>
        <w:numPr>
          <w:ilvl w:val="0"/>
          <w:numId w:val="44"/>
        </w:numPr>
        <w:ind w:left="1620"/>
        <w:contextualSpacing/>
        <w:jc w:val="both"/>
        <w:rPr>
          <w:rFonts w:ascii="Arial" w:hAnsi="Arial" w:cs="Arial"/>
          <w:sz w:val="22"/>
          <w:szCs w:val="22"/>
        </w:rPr>
      </w:pPr>
      <w:proofErr w:type="spellStart"/>
      <w:r w:rsidRPr="0096065B">
        <w:rPr>
          <w:rFonts w:ascii="Arial" w:hAnsi="Arial" w:cs="Arial"/>
          <w:sz w:val="22"/>
          <w:szCs w:val="22"/>
        </w:rPr>
        <w:lastRenderedPageBreak/>
        <w:t>lnventory</w:t>
      </w:r>
      <w:proofErr w:type="spellEnd"/>
      <w:r w:rsidRPr="0096065B">
        <w:rPr>
          <w:rFonts w:ascii="Arial" w:hAnsi="Arial" w:cs="Arial"/>
          <w:sz w:val="22"/>
          <w:szCs w:val="22"/>
        </w:rPr>
        <w:t xml:space="preserve"> of abolished GOCC's existing programs and projects which are to be terminated or transferred to the appropriate agency, as the case may be; </w:t>
      </w:r>
    </w:p>
    <w:p w14:paraId="1B4506E0" w14:textId="77777777" w:rsidR="007D7EEA" w:rsidRPr="0096065B" w:rsidRDefault="00DD2A4D">
      <w:pPr>
        <w:pStyle w:val="ListParagraph"/>
        <w:numPr>
          <w:ilvl w:val="0"/>
          <w:numId w:val="44"/>
        </w:numPr>
        <w:ind w:left="1620"/>
        <w:contextualSpacing/>
        <w:jc w:val="both"/>
        <w:rPr>
          <w:rFonts w:ascii="Arial" w:hAnsi="Arial" w:cs="Arial"/>
          <w:sz w:val="22"/>
          <w:szCs w:val="22"/>
        </w:rPr>
      </w:pPr>
      <w:proofErr w:type="spellStart"/>
      <w:r w:rsidRPr="0096065B">
        <w:rPr>
          <w:rFonts w:ascii="Arial" w:hAnsi="Arial" w:cs="Arial"/>
          <w:sz w:val="22"/>
          <w:szCs w:val="22"/>
        </w:rPr>
        <w:t>lnventory</w:t>
      </w:r>
      <w:proofErr w:type="spellEnd"/>
      <w:r w:rsidRPr="0096065B">
        <w:rPr>
          <w:rFonts w:ascii="Arial" w:hAnsi="Arial" w:cs="Arial"/>
          <w:sz w:val="22"/>
          <w:szCs w:val="22"/>
        </w:rPr>
        <w:t xml:space="preserve"> of abolished GOCC's assets and liabilities, if any and the manner by which said assets and liabilities shall be disposed of and settled; </w:t>
      </w:r>
    </w:p>
    <w:p w14:paraId="42258728" w14:textId="77777777" w:rsidR="007D7EEA" w:rsidRPr="0096065B" w:rsidRDefault="00DD2A4D">
      <w:pPr>
        <w:pStyle w:val="ListParagraph"/>
        <w:numPr>
          <w:ilvl w:val="0"/>
          <w:numId w:val="44"/>
        </w:numPr>
        <w:ind w:left="1620"/>
        <w:contextualSpacing/>
        <w:jc w:val="both"/>
        <w:rPr>
          <w:rFonts w:ascii="Arial" w:hAnsi="Arial" w:cs="Arial"/>
          <w:sz w:val="22"/>
          <w:szCs w:val="22"/>
        </w:rPr>
      </w:pPr>
      <w:r w:rsidRPr="0096065B">
        <w:rPr>
          <w:rFonts w:ascii="Arial" w:hAnsi="Arial" w:cs="Arial"/>
          <w:sz w:val="22"/>
          <w:szCs w:val="22"/>
        </w:rPr>
        <w:t>Change Management Plan for affected stakeholders other than the creditors and employees;</w:t>
      </w:r>
    </w:p>
    <w:p w14:paraId="34BEE3D2" w14:textId="77777777" w:rsidR="007D7EEA" w:rsidRPr="0096065B" w:rsidRDefault="00DD2A4D">
      <w:pPr>
        <w:pStyle w:val="ListParagraph"/>
        <w:numPr>
          <w:ilvl w:val="0"/>
          <w:numId w:val="44"/>
        </w:numPr>
        <w:ind w:left="1620"/>
        <w:contextualSpacing/>
        <w:jc w:val="both"/>
        <w:rPr>
          <w:rFonts w:ascii="Arial" w:hAnsi="Arial" w:cs="Arial"/>
          <w:sz w:val="22"/>
          <w:szCs w:val="22"/>
        </w:rPr>
      </w:pPr>
      <w:proofErr w:type="spellStart"/>
      <w:r w:rsidRPr="0096065B">
        <w:rPr>
          <w:rFonts w:ascii="Arial" w:hAnsi="Arial" w:cs="Arial"/>
          <w:sz w:val="22"/>
          <w:szCs w:val="22"/>
        </w:rPr>
        <w:t>lnventory</w:t>
      </w:r>
      <w:proofErr w:type="spellEnd"/>
      <w:r w:rsidRPr="0096065B">
        <w:rPr>
          <w:rFonts w:ascii="Arial" w:hAnsi="Arial" w:cs="Arial"/>
          <w:sz w:val="22"/>
          <w:szCs w:val="22"/>
        </w:rPr>
        <w:t xml:space="preserve"> of all pending cases brought by and against the dissolved GOCC, the status of such cases, and corresponding actions to resolve said cases, as well as the amount of contingent liabilities from said cases, if any; </w:t>
      </w:r>
    </w:p>
    <w:p w14:paraId="1A36C469" w14:textId="77777777" w:rsidR="007D7EEA" w:rsidRPr="0096065B" w:rsidRDefault="00DD2A4D">
      <w:pPr>
        <w:pStyle w:val="ListParagraph"/>
        <w:numPr>
          <w:ilvl w:val="0"/>
          <w:numId w:val="44"/>
        </w:numPr>
        <w:ind w:left="1620"/>
        <w:contextualSpacing/>
        <w:jc w:val="both"/>
        <w:rPr>
          <w:rFonts w:ascii="Arial" w:hAnsi="Arial" w:cs="Arial"/>
          <w:sz w:val="22"/>
          <w:szCs w:val="22"/>
        </w:rPr>
      </w:pPr>
      <w:r w:rsidRPr="0096065B">
        <w:rPr>
          <w:rFonts w:ascii="Arial" w:hAnsi="Arial" w:cs="Arial"/>
          <w:sz w:val="22"/>
          <w:szCs w:val="22"/>
        </w:rPr>
        <w:t>The formal submission of the Plan of Liquidation of the GOCC which shall then be approved by all members of the TWG for implementation of the dissolved GOCC, Parent GOCC, or Supervising Agency, as the case may be; and</w:t>
      </w:r>
    </w:p>
    <w:p w14:paraId="4219B0CF" w14:textId="77777777" w:rsidR="007D7EEA" w:rsidRPr="0096065B" w:rsidRDefault="00DD2A4D">
      <w:pPr>
        <w:pStyle w:val="ListParagraph"/>
        <w:numPr>
          <w:ilvl w:val="0"/>
          <w:numId w:val="44"/>
        </w:numPr>
        <w:ind w:left="1620"/>
        <w:contextualSpacing/>
        <w:jc w:val="both"/>
        <w:rPr>
          <w:rFonts w:ascii="Arial" w:hAnsi="Arial" w:cs="Arial"/>
          <w:sz w:val="22"/>
          <w:szCs w:val="22"/>
        </w:rPr>
      </w:pPr>
      <w:r w:rsidRPr="0096065B">
        <w:rPr>
          <w:rFonts w:ascii="Arial" w:hAnsi="Arial" w:cs="Arial"/>
          <w:sz w:val="22"/>
          <w:szCs w:val="22"/>
        </w:rPr>
        <w:t>Such other matters to be resolved for the effective and expeditious abolition, dissolution and liquidation of the concerned GOCC.</w:t>
      </w:r>
    </w:p>
    <w:p w14:paraId="6EA0C5AB" w14:textId="77777777" w:rsidR="007D7EEA" w:rsidRPr="0096065B" w:rsidRDefault="007D7EEA">
      <w:pPr>
        <w:spacing w:after="0" w:line="240" w:lineRule="auto"/>
        <w:contextualSpacing/>
        <w:jc w:val="both"/>
        <w:rPr>
          <w:rFonts w:ascii="Arial" w:hAnsi="Arial" w:cs="Arial"/>
        </w:rPr>
      </w:pPr>
    </w:p>
    <w:p w14:paraId="28CC3479"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Audit Team had already requested for certified photocopies of minutes of the meetings and resolutions undertaken by the TWG but to date, the same are not yet submitted.</w:t>
      </w:r>
    </w:p>
    <w:p w14:paraId="3D05C978" w14:textId="77777777" w:rsidR="007D7EEA" w:rsidRPr="0096065B" w:rsidRDefault="007D7EEA">
      <w:pPr>
        <w:spacing w:after="0" w:line="240" w:lineRule="auto"/>
        <w:jc w:val="both"/>
        <w:rPr>
          <w:rFonts w:ascii="Arial" w:hAnsi="Arial" w:cs="Arial"/>
        </w:rPr>
      </w:pPr>
    </w:p>
    <w:p w14:paraId="220ECD53"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Consequently, the delay in the abolition/liquidation of AFPRSBS is not in accordance with the public policy considerations for the abolition of GOCCs as provided in Section 4.2 of GCG MC No. 2015-03 vis-à-vis RA No. 10149. </w:t>
      </w:r>
    </w:p>
    <w:p w14:paraId="2CE79CA1" w14:textId="77777777" w:rsidR="007D7EEA" w:rsidRPr="0096065B" w:rsidRDefault="007D7EEA">
      <w:pPr>
        <w:spacing w:after="0" w:line="240" w:lineRule="auto"/>
        <w:ind w:firstLine="720"/>
        <w:jc w:val="both"/>
        <w:rPr>
          <w:rFonts w:ascii="Arial" w:hAnsi="Arial" w:cs="Arial"/>
        </w:rPr>
      </w:pPr>
    </w:p>
    <w:bookmarkEnd w:id="14"/>
    <w:p w14:paraId="4C709E29" w14:textId="77777777" w:rsidR="007D7EEA" w:rsidRPr="0096065B" w:rsidRDefault="00DD2A4D" w:rsidP="00C7544F">
      <w:pPr>
        <w:pStyle w:val="NormalWeb"/>
        <w:numPr>
          <w:ilvl w:val="0"/>
          <w:numId w:val="92"/>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recommended that Management:</w:t>
      </w:r>
    </w:p>
    <w:p w14:paraId="17706449" w14:textId="77777777" w:rsidR="007D7EEA" w:rsidRPr="0096065B" w:rsidRDefault="007D7EEA">
      <w:pPr>
        <w:spacing w:after="0" w:line="240" w:lineRule="auto"/>
        <w:jc w:val="both"/>
        <w:rPr>
          <w:rFonts w:ascii="Arial" w:hAnsi="Arial" w:cs="Arial"/>
          <w:b/>
        </w:rPr>
      </w:pPr>
    </w:p>
    <w:p w14:paraId="4DC412BF" w14:textId="77777777"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Closely coordinate with the GCG and request for the possible issuance of the IRR for the appropriate implementation of MO No. 90;</w:t>
      </w:r>
    </w:p>
    <w:p w14:paraId="760FF523" w14:textId="77777777" w:rsidR="007D7EEA" w:rsidRPr="0096065B" w:rsidRDefault="007D7EEA">
      <w:pPr>
        <w:spacing w:after="0" w:line="240" w:lineRule="auto"/>
        <w:ind w:left="630" w:hanging="270"/>
        <w:jc w:val="both"/>
        <w:rPr>
          <w:rFonts w:ascii="Arial" w:hAnsi="Arial" w:cs="Arial"/>
          <w:b/>
        </w:rPr>
      </w:pPr>
    </w:p>
    <w:p w14:paraId="5D3C320E" w14:textId="77777777"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Prepare and submit updated LP to GCG for approval;</w:t>
      </w:r>
    </w:p>
    <w:p w14:paraId="6959241E" w14:textId="77777777" w:rsidR="007D7EEA" w:rsidRPr="0096065B" w:rsidRDefault="007D7EEA">
      <w:pPr>
        <w:spacing w:after="0" w:line="240" w:lineRule="auto"/>
        <w:ind w:left="630" w:hanging="270"/>
        <w:jc w:val="both"/>
        <w:rPr>
          <w:rFonts w:ascii="Arial" w:hAnsi="Arial" w:cs="Arial"/>
          <w:b/>
        </w:rPr>
      </w:pPr>
    </w:p>
    <w:p w14:paraId="1BCB755B" w14:textId="77777777"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Submit periodic report to BOL to closely monitor the progress of the actions taken;</w:t>
      </w:r>
    </w:p>
    <w:p w14:paraId="6761F175" w14:textId="77777777" w:rsidR="007D7EEA" w:rsidRPr="0096065B" w:rsidRDefault="007D7EEA">
      <w:pPr>
        <w:spacing w:after="0" w:line="240" w:lineRule="auto"/>
        <w:ind w:left="630" w:hanging="270"/>
        <w:jc w:val="both"/>
        <w:rPr>
          <w:rFonts w:ascii="Arial" w:hAnsi="Arial" w:cs="Arial"/>
          <w:b/>
        </w:rPr>
      </w:pPr>
    </w:p>
    <w:p w14:paraId="337907B2" w14:textId="77777777"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Communicate to GCG the concerns, challenges and limitations encountered during the winding down of AFPRSBS;</w:t>
      </w:r>
    </w:p>
    <w:p w14:paraId="45290A9C" w14:textId="77777777" w:rsidR="007D7EEA" w:rsidRPr="0096065B" w:rsidRDefault="007D7EEA">
      <w:pPr>
        <w:pStyle w:val="ListParagraph"/>
        <w:ind w:left="630" w:hanging="270"/>
        <w:rPr>
          <w:rFonts w:ascii="Arial" w:hAnsi="Arial" w:cs="Arial"/>
          <w:b/>
          <w:sz w:val="22"/>
          <w:szCs w:val="22"/>
        </w:rPr>
      </w:pPr>
    </w:p>
    <w:p w14:paraId="5288DF6F" w14:textId="77777777"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Sit down with the GCG for the proper and necessary practical procedures in the disposal of its major assets through public bidding;</w:t>
      </w:r>
    </w:p>
    <w:p w14:paraId="67F07A37" w14:textId="77777777" w:rsidR="007D7EEA" w:rsidRPr="0096065B" w:rsidRDefault="007D7EEA">
      <w:pPr>
        <w:pStyle w:val="ListParagraph"/>
        <w:ind w:left="630" w:hanging="270"/>
        <w:rPr>
          <w:rFonts w:ascii="Arial" w:hAnsi="Arial" w:cs="Arial"/>
          <w:b/>
          <w:sz w:val="22"/>
          <w:szCs w:val="22"/>
        </w:rPr>
      </w:pPr>
    </w:p>
    <w:p w14:paraId="0F8D8878" w14:textId="77777777"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Furnish the Audit Team with the certified photocopies of the minutes of the meetings and resolutions of the TWG; and</w:t>
      </w:r>
    </w:p>
    <w:p w14:paraId="43B91A11" w14:textId="77777777" w:rsidR="007D7EEA" w:rsidRPr="0096065B" w:rsidRDefault="007D7EEA">
      <w:pPr>
        <w:spacing w:after="0" w:line="240" w:lineRule="auto"/>
        <w:ind w:left="630" w:hanging="270"/>
        <w:jc w:val="both"/>
        <w:rPr>
          <w:rFonts w:ascii="Arial" w:hAnsi="Arial" w:cs="Arial"/>
          <w:b/>
        </w:rPr>
      </w:pPr>
    </w:p>
    <w:p w14:paraId="2F29DA0A" w14:textId="64CE7D96" w:rsidR="007D7EEA" w:rsidRPr="0096065B" w:rsidRDefault="00DD2A4D">
      <w:pPr>
        <w:numPr>
          <w:ilvl w:val="0"/>
          <w:numId w:val="46"/>
        </w:numPr>
        <w:spacing w:after="0" w:line="240" w:lineRule="auto"/>
        <w:ind w:left="1656"/>
        <w:jc w:val="both"/>
        <w:rPr>
          <w:rFonts w:ascii="Arial" w:hAnsi="Arial" w:cs="Arial"/>
          <w:b/>
        </w:rPr>
      </w:pPr>
      <w:r w:rsidRPr="0096065B">
        <w:rPr>
          <w:rFonts w:ascii="Arial" w:hAnsi="Arial" w:cs="Arial"/>
          <w:b/>
        </w:rPr>
        <w:t xml:space="preserve">Determine and recommend the Agency that will receive the remaining assets of the </w:t>
      </w:r>
      <w:r w:rsidR="000C5F71">
        <w:rPr>
          <w:rFonts w:ascii="Arial" w:hAnsi="Arial" w:cs="Arial"/>
          <w:b/>
        </w:rPr>
        <w:t>AFPRSBS</w:t>
      </w:r>
      <w:r w:rsidRPr="0096065B">
        <w:rPr>
          <w:rFonts w:ascii="Arial" w:hAnsi="Arial" w:cs="Arial"/>
          <w:b/>
        </w:rPr>
        <w:t xml:space="preserve"> upon the cut-off date.</w:t>
      </w:r>
    </w:p>
    <w:p w14:paraId="739E7FA1" w14:textId="77777777" w:rsidR="007D7EEA" w:rsidRPr="0096065B" w:rsidRDefault="007D7EEA">
      <w:pPr>
        <w:pStyle w:val="NormalWeb"/>
        <w:spacing w:before="0" w:beforeAutospacing="0" w:after="0" w:afterAutospacing="0"/>
        <w:ind w:left="360"/>
        <w:jc w:val="both"/>
        <w:rPr>
          <w:rFonts w:ascii="Arial" w:hAnsi="Arial" w:cs="Arial"/>
          <w:b/>
          <w:sz w:val="22"/>
          <w:szCs w:val="22"/>
        </w:rPr>
      </w:pPr>
    </w:p>
    <w:p w14:paraId="22934711" w14:textId="77777777" w:rsidR="007D7EEA" w:rsidRPr="0096065B" w:rsidRDefault="00DD2A4D" w:rsidP="00C7544F">
      <w:pPr>
        <w:pStyle w:val="NormalWeb"/>
        <w:numPr>
          <w:ilvl w:val="0"/>
          <w:numId w:val="92"/>
        </w:numPr>
        <w:spacing w:before="0" w:beforeAutospacing="0" w:after="0" w:afterAutospacing="0"/>
        <w:ind w:left="1267" w:hanging="691"/>
        <w:jc w:val="both"/>
        <w:rPr>
          <w:rFonts w:ascii="Arial" w:hAnsi="Arial" w:cs="Arial"/>
          <w:sz w:val="22"/>
          <w:szCs w:val="22"/>
          <w:lang w:val="en-PH"/>
        </w:rPr>
      </w:pPr>
      <w:r w:rsidRPr="0096065B">
        <w:rPr>
          <w:rFonts w:ascii="Arial" w:hAnsi="Arial" w:cs="Arial"/>
          <w:sz w:val="22"/>
          <w:szCs w:val="22"/>
        </w:rPr>
        <w:lastRenderedPageBreak/>
        <w:t xml:space="preserve">The Management </w:t>
      </w:r>
      <w:r w:rsidRPr="0096065B">
        <w:rPr>
          <w:rFonts w:ascii="Arial" w:hAnsi="Arial" w:cs="Arial"/>
          <w:sz w:val="22"/>
          <w:szCs w:val="22"/>
          <w:lang w:val="en-GB"/>
        </w:rPr>
        <w:t xml:space="preserve">acknowledge the delay in the abolition/liquidation of AFPRSBS.  Currently, various options are being pursued to come up with the maximum benefit of the liquidation and/or merger of the company for the members.  The AFPRSBS has pending study on how to better liquidate or merge or acquire the company which needs approval of the President of the Philippines. </w:t>
      </w:r>
      <w:r w:rsidRPr="0096065B">
        <w:rPr>
          <w:rFonts w:ascii="Arial" w:hAnsi="Arial" w:cs="Arial"/>
          <w:sz w:val="22"/>
          <w:szCs w:val="22"/>
          <w:lang w:val="en-PH"/>
        </w:rPr>
        <w:t xml:space="preserve"> Likewise, </w:t>
      </w:r>
      <w:r w:rsidRPr="0096065B">
        <w:rPr>
          <w:rFonts w:ascii="Arial" w:hAnsi="Arial" w:cs="Arial"/>
          <w:sz w:val="22"/>
          <w:szCs w:val="22"/>
          <w:lang w:val="en-GB"/>
        </w:rPr>
        <w:t>recent developments are being considered by the DND TWG.</w:t>
      </w:r>
    </w:p>
    <w:p w14:paraId="071A0928" w14:textId="77777777" w:rsidR="007D7EEA" w:rsidRPr="0096065B" w:rsidRDefault="007D7EEA">
      <w:pPr>
        <w:pStyle w:val="NormalWeb"/>
        <w:spacing w:before="0" w:beforeAutospacing="0" w:after="0" w:afterAutospacing="0"/>
        <w:ind w:left="1260"/>
        <w:jc w:val="both"/>
        <w:rPr>
          <w:rFonts w:ascii="Arial" w:hAnsi="Arial" w:cs="Arial"/>
          <w:sz w:val="22"/>
          <w:szCs w:val="22"/>
          <w:lang w:val="en-PH"/>
        </w:rPr>
      </w:pPr>
    </w:p>
    <w:p w14:paraId="0CDDFCEE" w14:textId="77777777" w:rsidR="007D7EEA" w:rsidRPr="0096065B" w:rsidRDefault="00DD2A4D" w:rsidP="00C7544F">
      <w:pPr>
        <w:pStyle w:val="NormalWeb"/>
        <w:numPr>
          <w:ilvl w:val="0"/>
          <w:numId w:val="92"/>
        </w:numPr>
        <w:spacing w:before="0" w:beforeAutospacing="0" w:after="0" w:afterAutospacing="0"/>
        <w:ind w:left="1267" w:hanging="691"/>
        <w:jc w:val="both"/>
        <w:rPr>
          <w:rFonts w:ascii="Arial" w:hAnsi="Arial" w:cs="Arial"/>
          <w:sz w:val="22"/>
          <w:szCs w:val="22"/>
          <w:lang w:val="en-PH"/>
        </w:rPr>
      </w:pPr>
      <w:r w:rsidRPr="0096065B">
        <w:rPr>
          <w:rFonts w:ascii="Arial" w:hAnsi="Arial" w:cs="Arial"/>
          <w:sz w:val="22"/>
          <w:szCs w:val="22"/>
          <w:lang w:val="en-PH"/>
        </w:rPr>
        <w:t xml:space="preserve">As a </w:t>
      </w:r>
      <w:r w:rsidRPr="00C7544F">
        <w:rPr>
          <w:rFonts w:ascii="Arial" w:hAnsi="Arial" w:cs="Arial"/>
          <w:sz w:val="22"/>
          <w:szCs w:val="22"/>
        </w:rPr>
        <w:t>rejoinder</w:t>
      </w:r>
      <w:r w:rsidRPr="0096065B">
        <w:rPr>
          <w:rFonts w:ascii="Arial" w:hAnsi="Arial" w:cs="Arial"/>
          <w:sz w:val="22"/>
          <w:szCs w:val="22"/>
          <w:lang w:val="en-PH"/>
        </w:rPr>
        <w:t xml:space="preserve">, the Audit Team appreciates the Management’s action in </w:t>
      </w:r>
      <w:r w:rsidRPr="0096065B">
        <w:rPr>
          <w:rFonts w:ascii="Arial" w:hAnsi="Arial" w:cs="Arial"/>
          <w:sz w:val="22"/>
          <w:szCs w:val="22"/>
        </w:rPr>
        <w:t>exploring various options to get the maximum benefit of the liquidation.</w:t>
      </w:r>
      <w:r w:rsidRPr="0096065B">
        <w:rPr>
          <w:rFonts w:ascii="Arial" w:hAnsi="Arial" w:cs="Arial"/>
          <w:sz w:val="22"/>
          <w:szCs w:val="22"/>
          <w:lang w:val="en-PH"/>
        </w:rPr>
        <w:t xml:space="preserve"> However, the Audit Team will closely monitor Management’s compliance with the above recommendations.</w:t>
      </w:r>
    </w:p>
    <w:p w14:paraId="3B3CEF2F" w14:textId="77777777" w:rsidR="007D7EEA" w:rsidRPr="0096065B" w:rsidRDefault="007D7EEA">
      <w:pPr>
        <w:pStyle w:val="NormalWeb"/>
        <w:spacing w:before="0" w:beforeAutospacing="0" w:after="0" w:afterAutospacing="0"/>
        <w:ind w:left="1260"/>
        <w:jc w:val="both"/>
        <w:rPr>
          <w:rFonts w:ascii="Arial" w:hAnsi="Arial" w:cs="Arial"/>
          <w:sz w:val="22"/>
          <w:szCs w:val="22"/>
          <w:lang w:val="en-PH"/>
        </w:rPr>
      </w:pPr>
    </w:p>
    <w:p w14:paraId="2BB0A4CF" w14:textId="77777777" w:rsidR="007D7EEA" w:rsidRPr="0096065B" w:rsidRDefault="007D7EEA">
      <w:pPr>
        <w:pStyle w:val="NormalWeb"/>
        <w:spacing w:before="0" w:beforeAutospacing="0" w:after="0" w:afterAutospacing="0"/>
        <w:ind w:left="360"/>
        <w:jc w:val="both"/>
        <w:rPr>
          <w:rFonts w:ascii="Arial" w:hAnsi="Arial" w:cs="Arial"/>
          <w:b/>
          <w:sz w:val="22"/>
          <w:szCs w:val="22"/>
        </w:rPr>
      </w:pPr>
    </w:p>
    <w:p w14:paraId="32AF5EA9"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sz w:val="22"/>
          <w:szCs w:val="22"/>
        </w:rPr>
        <w:t>The purchases of buyers covered by Contracts to Sell with AFPRSBS are unsecured as several TCTs relating to various ICR</w:t>
      </w:r>
      <w:r w:rsidR="00765608" w:rsidRPr="0096065B">
        <w:rPr>
          <w:rFonts w:ascii="Arial" w:hAnsi="Arial" w:cs="Arial"/>
          <w:b/>
          <w:sz w:val="22"/>
          <w:szCs w:val="22"/>
        </w:rPr>
        <w:t>-current</w:t>
      </w:r>
      <w:r w:rsidRPr="0096065B">
        <w:rPr>
          <w:rFonts w:ascii="Arial" w:hAnsi="Arial" w:cs="Arial"/>
          <w:b/>
          <w:sz w:val="22"/>
          <w:szCs w:val="22"/>
        </w:rPr>
        <w:t xml:space="preserve"> and ICR-past due accounts amounting to P4.307 million and P19.544 million, respectively, were neither found during the inventory of TCTs nor among the TCTs released in CY 2022, contrary to Section 111 of PD No. 1445 and Section II.A.2.f of AFPRSBS Policy No. CPO-001-2017.</w:t>
      </w:r>
    </w:p>
    <w:p w14:paraId="0CCF3B7C" w14:textId="77777777" w:rsidR="007D7EEA" w:rsidRPr="0096065B" w:rsidRDefault="007D7EEA">
      <w:pPr>
        <w:spacing w:after="0" w:line="240" w:lineRule="auto"/>
        <w:jc w:val="both"/>
        <w:rPr>
          <w:rFonts w:ascii="Arial" w:hAnsi="Arial" w:cs="Arial"/>
          <w:b/>
        </w:rPr>
      </w:pPr>
    </w:p>
    <w:p w14:paraId="0529BF78"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Section II.A.2.f of Policy No. CPO-001-2017 (Revised Policy on Providing Allowances for Probable Losses and Writing- Off of Accounts) dated July 26, 2017 states:</w:t>
      </w:r>
    </w:p>
    <w:p w14:paraId="2DA313A5" w14:textId="77777777" w:rsidR="007D7EEA" w:rsidRPr="0096065B" w:rsidRDefault="007D7EEA">
      <w:pPr>
        <w:spacing w:after="0" w:line="240" w:lineRule="auto"/>
        <w:jc w:val="both"/>
        <w:rPr>
          <w:rFonts w:ascii="Arial" w:hAnsi="Arial" w:cs="Arial"/>
        </w:rPr>
      </w:pPr>
    </w:p>
    <w:p w14:paraId="64356B7E" w14:textId="77777777" w:rsidR="007D7EEA" w:rsidRPr="0096065B" w:rsidRDefault="00DD2A4D">
      <w:pPr>
        <w:tabs>
          <w:tab w:val="left" w:pos="2127"/>
        </w:tabs>
        <w:spacing w:after="0" w:line="240" w:lineRule="auto"/>
        <w:ind w:left="1728" w:right="432"/>
        <w:jc w:val="both"/>
        <w:rPr>
          <w:rFonts w:ascii="Arial" w:hAnsi="Arial" w:cs="Arial"/>
          <w:i/>
          <w:iCs/>
        </w:rPr>
      </w:pPr>
      <w:r w:rsidRPr="0096065B">
        <w:rPr>
          <w:rFonts w:ascii="Arial" w:hAnsi="Arial" w:cs="Arial"/>
          <w:i/>
          <w:iCs/>
        </w:rPr>
        <w:t xml:space="preserve">f. </w:t>
      </w:r>
      <w:r w:rsidRPr="0096065B">
        <w:rPr>
          <w:rFonts w:ascii="Arial" w:hAnsi="Arial" w:cs="Arial"/>
          <w:i/>
          <w:iCs/>
        </w:rPr>
        <w:tab/>
        <w:t>Installment Contract Receivable</w:t>
      </w:r>
    </w:p>
    <w:p w14:paraId="7069B6B5" w14:textId="77777777" w:rsidR="007D7EEA" w:rsidRPr="0096065B" w:rsidRDefault="007D7EEA">
      <w:pPr>
        <w:spacing w:after="0" w:line="240" w:lineRule="auto"/>
        <w:ind w:left="1728" w:right="432"/>
        <w:jc w:val="both"/>
        <w:rPr>
          <w:rFonts w:ascii="Arial" w:hAnsi="Arial" w:cs="Arial"/>
          <w:i/>
          <w:iCs/>
        </w:rPr>
      </w:pPr>
    </w:p>
    <w:p w14:paraId="22933A36" w14:textId="77777777" w:rsidR="007D7EEA" w:rsidRPr="0096065B" w:rsidRDefault="00DD2A4D">
      <w:pPr>
        <w:spacing w:after="0" w:line="240" w:lineRule="auto"/>
        <w:ind w:left="2127" w:right="432"/>
        <w:jc w:val="both"/>
        <w:rPr>
          <w:rFonts w:ascii="Arial" w:hAnsi="Arial" w:cs="Arial"/>
        </w:rPr>
      </w:pPr>
      <w:r w:rsidRPr="0096065B">
        <w:rPr>
          <w:rFonts w:ascii="Arial" w:hAnsi="Arial" w:cs="Arial"/>
          <w:i/>
          <w:iCs/>
        </w:rPr>
        <w:t xml:space="preserve">There will be no provision for losses or allowances that will be made on this account since </w:t>
      </w:r>
      <w:r w:rsidRPr="0096065B">
        <w:rPr>
          <w:rFonts w:ascii="Arial" w:hAnsi="Arial" w:cs="Arial"/>
          <w:b/>
          <w:bCs/>
          <w:i/>
          <w:iCs/>
        </w:rPr>
        <w:t>the title of the properties subject of the receivables are not yet transferred to buyers unless fully settled.</w:t>
      </w:r>
      <w:r w:rsidRPr="0096065B">
        <w:rPr>
          <w:rFonts w:ascii="Arial" w:hAnsi="Arial" w:cs="Arial"/>
          <w:i/>
          <w:iCs/>
        </w:rPr>
        <w:t>”</w:t>
      </w:r>
      <w:r w:rsidRPr="0096065B">
        <w:rPr>
          <w:rFonts w:ascii="Arial" w:hAnsi="Arial" w:cs="Arial"/>
        </w:rPr>
        <w:t xml:space="preserve"> (Emphasis supplied)</w:t>
      </w:r>
    </w:p>
    <w:p w14:paraId="052CF839" w14:textId="77777777" w:rsidR="007D7EEA" w:rsidRPr="0096065B" w:rsidRDefault="00DD2A4D">
      <w:pPr>
        <w:overflowPunct w:val="0"/>
        <w:autoSpaceDE w:val="0"/>
        <w:autoSpaceDN w:val="0"/>
        <w:adjustRightInd w:val="0"/>
        <w:spacing w:after="0" w:line="240" w:lineRule="auto"/>
        <w:ind w:right="432"/>
        <w:jc w:val="both"/>
        <w:textAlignment w:val="baseline"/>
        <w:rPr>
          <w:rFonts w:ascii="Arial" w:hAnsi="Arial" w:cs="Arial"/>
        </w:rPr>
      </w:pPr>
      <w:r w:rsidRPr="0096065B">
        <w:rPr>
          <w:rFonts w:ascii="Arial" w:hAnsi="Arial" w:cs="Arial"/>
        </w:rPr>
        <w:tab/>
      </w:r>
    </w:p>
    <w:p w14:paraId="293B4494" w14:textId="71E13286"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 a contract to sell, the ownership and title of the subject properties will only be transferred and released, respectively, to the buyers upon full payment of the purchase price.  Relative thereto, the transactions involving ICR accounts are covered with the respective Contract to Sell to which the corresponding titles of the sold real estate are still in the custody of AFPRSBS.</w:t>
      </w:r>
    </w:p>
    <w:p w14:paraId="675C2EEC" w14:textId="77777777" w:rsidR="00DF0D75" w:rsidRPr="0096065B" w:rsidRDefault="00DF0D75" w:rsidP="00DF0D75">
      <w:pPr>
        <w:pStyle w:val="NormalWeb"/>
        <w:spacing w:before="0" w:beforeAutospacing="0" w:after="0" w:afterAutospacing="0"/>
        <w:ind w:left="1267"/>
        <w:jc w:val="both"/>
        <w:rPr>
          <w:rFonts w:ascii="Arial" w:hAnsi="Arial" w:cs="Arial"/>
          <w:sz w:val="22"/>
          <w:szCs w:val="22"/>
        </w:rPr>
      </w:pPr>
    </w:p>
    <w:p w14:paraId="0179B679"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Moreover, the IRMD as the vault custodian of AFPRSBS is tasked with the release of TCTs from their custody thru the issuance of Securities/ Documents Release Form (SRF) pursuant to the Guidelines on Document/ Check Releases dated April 11, 2006.  The said SRF provides for the possible justifications on the release of TCTs, to wit:</w:t>
      </w:r>
    </w:p>
    <w:p w14:paraId="355A02DE" w14:textId="77777777" w:rsidR="007D7EEA" w:rsidRPr="0096065B" w:rsidRDefault="007D7EEA">
      <w:pPr>
        <w:spacing w:after="0" w:line="240" w:lineRule="auto"/>
        <w:ind w:left="1260"/>
        <w:jc w:val="both"/>
        <w:rPr>
          <w:rFonts w:ascii="Arial" w:hAnsi="Arial" w:cs="Arial"/>
        </w:rPr>
      </w:pPr>
    </w:p>
    <w:p w14:paraId="592CE05B" w14:textId="77777777" w:rsidR="007D7EEA" w:rsidRPr="0096065B" w:rsidRDefault="00DD2A4D">
      <w:pPr>
        <w:pStyle w:val="ListParagraph"/>
        <w:numPr>
          <w:ilvl w:val="0"/>
          <w:numId w:val="47"/>
        </w:numPr>
        <w:ind w:left="1627"/>
        <w:jc w:val="both"/>
        <w:rPr>
          <w:rFonts w:ascii="Arial" w:hAnsi="Arial" w:cs="Arial"/>
          <w:sz w:val="22"/>
          <w:szCs w:val="22"/>
        </w:rPr>
      </w:pPr>
      <w:r w:rsidRPr="0096065B">
        <w:rPr>
          <w:rFonts w:ascii="Arial" w:hAnsi="Arial" w:cs="Arial"/>
          <w:sz w:val="22"/>
          <w:szCs w:val="22"/>
        </w:rPr>
        <w:t>Full settlement of account</w:t>
      </w:r>
    </w:p>
    <w:p w14:paraId="29A7E302" w14:textId="77777777" w:rsidR="007D7EEA" w:rsidRPr="0096065B" w:rsidRDefault="00DD2A4D">
      <w:pPr>
        <w:pStyle w:val="ListParagraph"/>
        <w:numPr>
          <w:ilvl w:val="0"/>
          <w:numId w:val="47"/>
        </w:numPr>
        <w:ind w:left="1627"/>
        <w:jc w:val="both"/>
        <w:rPr>
          <w:rFonts w:ascii="Arial" w:hAnsi="Arial" w:cs="Arial"/>
          <w:sz w:val="22"/>
          <w:szCs w:val="22"/>
        </w:rPr>
      </w:pPr>
      <w:r w:rsidRPr="0096065B">
        <w:rPr>
          <w:rFonts w:ascii="Arial" w:hAnsi="Arial" w:cs="Arial"/>
          <w:sz w:val="22"/>
          <w:szCs w:val="22"/>
        </w:rPr>
        <w:t>For bank take-out</w:t>
      </w:r>
    </w:p>
    <w:p w14:paraId="28BC7ABA" w14:textId="77777777" w:rsidR="007D7EEA" w:rsidRPr="0096065B" w:rsidRDefault="00DD2A4D">
      <w:pPr>
        <w:pStyle w:val="ListParagraph"/>
        <w:numPr>
          <w:ilvl w:val="0"/>
          <w:numId w:val="47"/>
        </w:numPr>
        <w:ind w:left="1627"/>
        <w:jc w:val="both"/>
        <w:rPr>
          <w:rFonts w:ascii="Arial" w:hAnsi="Arial" w:cs="Arial"/>
          <w:sz w:val="22"/>
          <w:szCs w:val="22"/>
        </w:rPr>
      </w:pPr>
      <w:r w:rsidRPr="0096065B">
        <w:rPr>
          <w:rFonts w:ascii="Arial" w:hAnsi="Arial" w:cs="Arial"/>
          <w:sz w:val="22"/>
          <w:szCs w:val="22"/>
        </w:rPr>
        <w:t>Temporary release due to:</w:t>
      </w:r>
    </w:p>
    <w:p w14:paraId="61BCF17B" w14:textId="77777777" w:rsidR="007D7EEA" w:rsidRPr="0096065B" w:rsidRDefault="00DD2A4D">
      <w:pPr>
        <w:spacing w:after="0" w:line="240" w:lineRule="auto"/>
        <w:ind w:left="2250" w:hanging="360"/>
        <w:jc w:val="both"/>
        <w:rPr>
          <w:rFonts w:ascii="Arial" w:hAnsi="Arial" w:cs="Arial"/>
        </w:rPr>
      </w:pPr>
      <w:r w:rsidRPr="0096065B">
        <w:rPr>
          <w:rFonts w:ascii="Arial" w:hAnsi="Arial" w:cs="Arial"/>
        </w:rPr>
        <w:t>1.</w:t>
      </w:r>
      <w:r w:rsidRPr="0096065B">
        <w:rPr>
          <w:rFonts w:ascii="Arial" w:hAnsi="Arial" w:cs="Arial"/>
        </w:rPr>
        <w:tab/>
        <w:t>Title transfer</w:t>
      </w:r>
    </w:p>
    <w:p w14:paraId="2888F991" w14:textId="77777777" w:rsidR="007D7EEA" w:rsidRPr="0096065B" w:rsidRDefault="00DD2A4D">
      <w:pPr>
        <w:spacing w:after="0" w:line="240" w:lineRule="auto"/>
        <w:ind w:left="2250" w:hanging="360"/>
        <w:jc w:val="both"/>
        <w:rPr>
          <w:rFonts w:ascii="Arial" w:hAnsi="Arial" w:cs="Arial"/>
        </w:rPr>
      </w:pPr>
      <w:r w:rsidRPr="0096065B">
        <w:rPr>
          <w:rFonts w:ascii="Arial" w:hAnsi="Arial" w:cs="Arial"/>
        </w:rPr>
        <w:t>2.</w:t>
      </w:r>
      <w:r w:rsidRPr="0096065B">
        <w:rPr>
          <w:rFonts w:ascii="Arial" w:hAnsi="Arial" w:cs="Arial"/>
        </w:rPr>
        <w:tab/>
        <w:t>Re-titling/Conveyance</w:t>
      </w:r>
    </w:p>
    <w:p w14:paraId="29DAE926" w14:textId="77777777" w:rsidR="007D7EEA" w:rsidRPr="0096065B" w:rsidRDefault="00DD2A4D">
      <w:pPr>
        <w:spacing w:after="0" w:line="240" w:lineRule="auto"/>
        <w:ind w:left="2250" w:hanging="360"/>
        <w:jc w:val="both"/>
        <w:rPr>
          <w:rFonts w:ascii="Arial" w:hAnsi="Arial" w:cs="Arial"/>
        </w:rPr>
      </w:pPr>
      <w:r w:rsidRPr="0096065B">
        <w:rPr>
          <w:rFonts w:ascii="Arial" w:hAnsi="Arial" w:cs="Arial"/>
        </w:rPr>
        <w:t>3.</w:t>
      </w:r>
      <w:r w:rsidRPr="0096065B">
        <w:rPr>
          <w:rFonts w:ascii="Arial" w:hAnsi="Arial" w:cs="Arial"/>
        </w:rPr>
        <w:tab/>
        <w:t>Court hearing</w:t>
      </w:r>
    </w:p>
    <w:p w14:paraId="4E2F167E" w14:textId="77777777" w:rsidR="007D7EEA" w:rsidRPr="0096065B" w:rsidRDefault="00DD2A4D">
      <w:pPr>
        <w:spacing w:after="0" w:line="240" w:lineRule="auto"/>
        <w:ind w:left="2250" w:hanging="360"/>
        <w:jc w:val="both"/>
        <w:rPr>
          <w:rFonts w:ascii="Arial" w:hAnsi="Arial" w:cs="Arial"/>
        </w:rPr>
      </w:pPr>
      <w:r w:rsidRPr="0096065B">
        <w:rPr>
          <w:rFonts w:ascii="Arial" w:hAnsi="Arial" w:cs="Arial"/>
        </w:rPr>
        <w:t>4.</w:t>
      </w:r>
      <w:r w:rsidRPr="0096065B">
        <w:rPr>
          <w:rFonts w:ascii="Arial" w:hAnsi="Arial" w:cs="Arial"/>
        </w:rPr>
        <w:tab/>
        <w:t>Others (Specify)</w:t>
      </w:r>
    </w:p>
    <w:p w14:paraId="3DE83395"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lastRenderedPageBreak/>
        <w:t>For CY 2022, the IRMD released 309 TCTs</w:t>
      </w:r>
      <w:r w:rsidR="00670BA8" w:rsidRPr="0096065B">
        <w:rPr>
          <w:rFonts w:ascii="Arial" w:hAnsi="Arial" w:cs="Arial"/>
          <w:sz w:val="22"/>
          <w:szCs w:val="22"/>
        </w:rPr>
        <w:t>,</w:t>
      </w:r>
      <w:r w:rsidRPr="0096065B">
        <w:rPr>
          <w:rFonts w:ascii="Arial" w:hAnsi="Arial" w:cs="Arial"/>
          <w:sz w:val="22"/>
          <w:szCs w:val="22"/>
        </w:rPr>
        <w:t xml:space="preserve"> which was approved by the Treasury Department</w:t>
      </w:r>
      <w:r w:rsidR="00670BA8" w:rsidRPr="0096065B">
        <w:rPr>
          <w:rFonts w:ascii="Arial" w:hAnsi="Arial" w:cs="Arial"/>
          <w:sz w:val="22"/>
          <w:szCs w:val="22"/>
        </w:rPr>
        <w:t>,</w:t>
      </w:r>
      <w:r w:rsidRPr="0096065B">
        <w:rPr>
          <w:rFonts w:ascii="Arial" w:hAnsi="Arial" w:cs="Arial"/>
          <w:sz w:val="22"/>
          <w:szCs w:val="22"/>
        </w:rPr>
        <w:t xml:space="preserve"> as evidenced by: a) SRFs with requests and recommendations by managing and co-managing department heads; b) clearances issued by the legal department; and c) acknowledgment receipts by buyers or authorized representatives.</w:t>
      </w:r>
    </w:p>
    <w:p w14:paraId="100FC010" w14:textId="77777777" w:rsidR="007D7EEA" w:rsidRPr="0096065B" w:rsidRDefault="007D7EEA">
      <w:pPr>
        <w:spacing w:after="0" w:line="240" w:lineRule="auto"/>
        <w:ind w:firstLine="720"/>
        <w:jc w:val="both"/>
        <w:rPr>
          <w:rFonts w:ascii="Arial" w:hAnsi="Arial" w:cs="Arial"/>
        </w:rPr>
      </w:pPr>
    </w:p>
    <w:p w14:paraId="4747CCA0" w14:textId="546C87BA"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 the review of the SL of the ICR</w:t>
      </w:r>
      <w:r w:rsidR="00765608" w:rsidRPr="0096065B">
        <w:rPr>
          <w:rFonts w:ascii="Arial" w:hAnsi="Arial" w:cs="Arial"/>
          <w:sz w:val="22"/>
          <w:szCs w:val="22"/>
        </w:rPr>
        <w:t>-current</w:t>
      </w:r>
      <w:r w:rsidRPr="0096065B">
        <w:rPr>
          <w:rFonts w:ascii="Arial" w:hAnsi="Arial" w:cs="Arial"/>
          <w:sz w:val="22"/>
          <w:szCs w:val="22"/>
        </w:rPr>
        <w:t xml:space="preserve"> and ICR-past due accounts which were vouched to the inventory record of TCTs maintained by the IRMD, the Audit Team noted that TCTs of real properties subject of ICR</w:t>
      </w:r>
      <w:r w:rsidR="00765608" w:rsidRPr="0096065B">
        <w:rPr>
          <w:rFonts w:ascii="Arial" w:hAnsi="Arial" w:cs="Arial"/>
          <w:sz w:val="22"/>
          <w:szCs w:val="22"/>
        </w:rPr>
        <w:t>-current</w:t>
      </w:r>
      <w:r w:rsidRPr="0096065B">
        <w:rPr>
          <w:rFonts w:ascii="Arial" w:hAnsi="Arial" w:cs="Arial"/>
          <w:sz w:val="22"/>
          <w:szCs w:val="22"/>
        </w:rPr>
        <w:t xml:space="preserve"> and ICR-past due accounts with a total amount of P4.307 million and P19.544 million, respectively, were neither found during the inventory of TCTs nor among the</w:t>
      </w:r>
      <w:r w:rsidRPr="0096065B">
        <w:rPr>
          <w:sz w:val="22"/>
          <w:szCs w:val="22"/>
        </w:rPr>
        <w:t xml:space="preserve"> </w:t>
      </w:r>
      <w:r w:rsidRPr="0096065B">
        <w:rPr>
          <w:rFonts w:ascii="Arial" w:hAnsi="Arial" w:cs="Arial"/>
          <w:sz w:val="22"/>
          <w:szCs w:val="22"/>
        </w:rPr>
        <w:t>TCTs released in CY 2022. The list of ICR</w:t>
      </w:r>
      <w:r w:rsidR="00765608" w:rsidRPr="0096065B">
        <w:rPr>
          <w:rFonts w:ascii="Arial" w:hAnsi="Arial" w:cs="Arial"/>
          <w:sz w:val="22"/>
          <w:szCs w:val="22"/>
        </w:rPr>
        <w:t>-current</w:t>
      </w:r>
      <w:r w:rsidRPr="0096065B">
        <w:rPr>
          <w:rFonts w:ascii="Arial" w:hAnsi="Arial" w:cs="Arial"/>
          <w:sz w:val="22"/>
          <w:szCs w:val="22"/>
        </w:rPr>
        <w:t xml:space="preserve"> and ICR-past due accounts without TCTs on file is summarized in </w:t>
      </w:r>
      <w:r w:rsidRPr="0096065B">
        <w:rPr>
          <w:rFonts w:ascii="Arial" w:hAnsi="Arial" w:cs="Arial"/>
          <w:bCs/>
          <w:sz w:val="22"/>
          <w:szCs w:val="22"/>
        </w:rPr>
        <w:t>Tables 1</w:t>
      </w:r>
      <w:r w:rsidR="00A57D4E" w:rsidRPr="0096065B">
        <w:rPr>
          <w:rFonts w:ascii="Arial" w:hAnsi="Arial" w:cs="Arial"/>
          <w:bCs/>
          <w:sz w:val="22"/>
          <w:szCs w:val="22"/>
        </w:rPr>
        <w:t>2</w:t>
      </w:r>
      <w:r w:rsidRPr="0096065B">
        <w:rPr>
          <w:rFonts w:ascii="Arial" w:hAnsi="Arial" w:cs="Arial"/>
          <w:bCs/>
          <w:sz w:val="22"/>
          <w:szCs w:val="22"/>
        </w:rPr>
        <w:t>.1 and 1</w:t>
      </w:r>
      <w:r w:rsidR="00A57D4E" w:rsidRPr="0096065B">
        <w:rPr>
          <w:rFonts w:ascii="Arial" w:hAnsi="Arial" w:cs="Arial"/>
          <w:bCs/>
          <w:sz w:val="22"/>
          <w:szCs w:val="22"/>
        </w:rPr>
        <w:t>2</w:t>
      </w:r>
      <w:r w:rsidRPr="0096065B">
        <w:rPr>
          <w:rFonts w:ascii="Arial" w:hAnsi="Arial" w:cs="Arial"/>
          <w:bCs/>
          <w:sz w:val="22"/>
          <w:szCs w:val="22"/>
        </w:rPr>
        <w:t>.2 as follows:</w:t>
      </w:r>
    </w:p>
    <w:p w14:paraId="42CF1F25" w14:textId="77777777" w:rsidR="008E03D7" w:rsidRPr="0096065B" w:rsidRDefault="008E03D7">
      <w:pPr>
        <w:pStyle w:val="NormalWeb"/>
        <w:spacing w:before="0" w:beforeAutospacing="0" w:after="0" w:afterAutospacing="0"/>
        <w:ind w:left="1260"/>
        <w:jc w:val="both"/>
        <w:rPr>
          <w:rFonts w:ascii="Arial" w:hAnsi="Arial" w:cs="Arial"/>
          <w:bCs/>
          <w:sz w:val="22"/>
          <w:szCs w:val="22"/>
        </w:rPr>
      </w:pPr>
    </w:p>
    <w:p w14:paraId="1C63E275" w14:textId="03B2A553" w:rsidR="007D7EEA" w:rsidRPr="0096065B" w:rsidRDefault="00DD2A4D">
      <w:pPr>
        <w:pStyle w:val="NormalWeb"/>
        <w:spacing w:before="0" w:beforeAutospacing="0" w:after="0" w:afterAutospacing="0"/>
        <w:ind w:left="1260"/>
        <w:jc w:val="center"/>
        <w:rPr>
          <w:rFonts w:ascii="Arial" w:hAnsi="Arial" w:cs="Arial"/>
          <w:b/>
          <w:bCs/>
          <w:sz w:val="22"/>
          <w:szCs w:val="22"/>
        </w:rPr>
      </w:pPr>
      <w:r w:rsidRPr="0096065B">
        <w:rPr>
          <w:rFonts w:ascii="Arial" w:hAnsi="Arial" w:cs="Arial"/>
          <w:b/>
          <w:bCs/>
          <w:sz w:val="22"/>
          <w:szCs w:val="22"/>
        </w:rPr>
        <w:t>Table 1</w:t>
      </w:r>
      <w:r w:rsidR="00A57D4E" w:rsidRPr="0096065B">
        <w:rPr>
          <w:rFonts w:ascii="Arial" w:hAnsi="Arial" w:cs="Arial"/>
          <w:b/>
          <w:bCs/>
          <w:sz w:val="22"/>
          <w:szCs w:val="22"/>
        </w:rPr>
        <w:t>2</w:t>
      </w:r>
      <w:r w:rsidRPr="0096065B">
        <w:rPr>
          <w:rFonts w:ascii="Arial" w:hAnsi="Arial" w:cs="Arial"/>
          <w:b/>
          <w:bCs/>
          <w:sz w:val="22"/>
          <w:szCs w:val="22"/>
        </w:rPr>
        <w:t>.1 – List of ICR-current accounts without TCTs on File</w:t>
      </w:r>
    </w:p>
    <w:p w14:paraId="3EF357C7" w14:textId="77777777" w:rsidR="007D7EEA" w:rsidRPr="0096065B" w:rsidRDefault="00DD2A4D">
      <w:pPr>
        <w:pStyle w:val="NormalWeb"/>
        <w:spacing w:before="0" w:beforeAutospacing="0" w:after="0" w:afterAutospacing="0"/>
        <w:ind w:left="1260"/>
        <w:jc w:val="center"/>
        <w:rPr>
          <w:rFonts w:ascii="Arial" w:hAnsi="Arial" w:cs="Arial"/>
          <w:b/>
          <w:bCs/>
          <w:sz w:val="22"/>
          <w:szCs w:val="22"/>
        </w:rPr>
      </w:pPr>
      <w:r w:rsidRPr="0096065B">
        <w:rPr>
          <w:rFonts w:ascii="Arial" w:hAnsi="Arial" w:cs="Arial"/>
          <w:b/>
          <w:bCs/>
          <w:sz w:val="22"/>
          <w:szCs w:val="22"/>
        </w:rPr>
        <w:t>As at December 31, 2022</w:t>
      </w:r>
    </w:p>
    <w:p w14:paraId="187B4CC1" w14:textId="77777777" w:rsidR="007D7EEA" w:rsidRPr="0096065B" w:rsidRDefault="007D7EEA">
      <w:pPr>
        <w:pStyle w:val="NormalWeb"/>
        <w:spacing w:before="0" w:beforeAutospacing="0" w:after="0" w:afterAutospacing="0"/>
        <w:ind w:left="1260"/>
        <w:jc w:val="center"/>
        <w:rPr>
          <w:rFonts w:ascii="Arial" w:hAnsi="Arial" w:cs="Arial"/>
          <w:sz w:val="22"/>
          <w:szCs w:val="22"/>
        </w:rPr>
      </w:pPr>
    </w:p>
    <w:tbl>
      <w:tblPr>
        <w:tblStyle w:val="TableGrid"/>
        <w:tblW w:w="7470" w:type="dxa"/>
        <w:tblInd w:w="126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810"/>
        <w:gridCol w:w="810"/>
        <w:gridCol w:w="900"/>
        <w:gridCol w:w="1350"/>
      </w:tblGrid>
      <w:tr w:rsidR="007D7EEA" w:rsidRPr="00663D1C" w14:paraId="5566E626" w14:textId="77777777" w:rsidTr="00670BA8">
        <w:trPr>
          <w:trHeight w:val="144"/>
          <w:tblHeader/>
        </w:trPr>
        <w:tc>
          <w:tcPr>
            <w:tcW w:w="3600" w:type="dxa"/>
            <w:tcBorders>
              <w:top w:val="single" w:sz="4" w:space="0" w:color="auto"/>
              <w:bottom w:val="single" w:sz="4" w:space="0" w:color="auto"/>
            </w:tcBorders>
            <w:vAlign w:val="center"/>
          </w:tcPr>
          <w:p w14:paraId="4D3C4B53" w14:textId="77777777" w:rsidR="007D7EEA" w:rsidRPr="00670BA8" w:rsidRDefault="00DD2A4D">
            <w:pPr>
              <w:spacing w:after="0" w:line="240" w:lineRule="auto"/>
              <w:ind w:left="-58" w:right="-58"/>
              <w:jc w:val="center"/>
              <w:rPr>
                <w:rFonts w:ascii="Arial" w:hAnsi="Arial" w:cs="Arial"/>
                <w:b/>
                <w:sz w:val="20"/>
                <w:szCs w:val="18"/>
              </w:rPr>
            </w:pPr>
            <w:r w:rsidRPr="00670BA8">
              <w:rPr>
                <w:rFonts w:ascii="Arial" w:hAnsi="Arial" w:cs="Arial"/>
                <w:b/>
                <w:sz w:val="20"/>
                <w:szCs w:val="18"/>
              </w:rPr>
              <w:t>Property name</w:t>
            </w:r>
          </w:p>
        </w:tc>
        <w:tc>
          <w:tcPr>
            <w:tcW w:w="810" w:type="dxa"/>
            <w:tcBorders>
              <w:top w:val="single" w:sz="4" w:space="0" w:color="auto"/>
              <w:bottom w:val="single" w:sz="4" w:space="0" w:color="auto"/>
            </w:tcBorders>
            <w:vAlign w:val="center"/>
          </w:tcPr>
          <w:p w14:paraId="1D22865F" w14:textId="77777777" w:rsidR="007D7EEA" w:rsidRPr="00670BA8" w:rsidRDefault="00DD2A4D">
            <w:pPr>
              <w:spacing w:after="0" w:line="240" w:lineRule="auto"/>
              <w:ind w:left="-58" w:right="-58"/>
              <w:jc w:val="center"/>
              <w:rPr>
                <w:rFonts w:ascii="Arial" w:hAnsi="Arial" w:cs="Arial"/>
                <w:b/>
                <w:sz w:val="20"/>
                <w:szCs w:val="18"/>
              </w:rPr>
            </w:pPr>
            <w:r w:rsidRPr="00670BA8">
              <w:rPr>
                <w:rFonts w:ascii="Arial" w:hAnsi="Arial" w:cs="Arial"/>
                <w:b/>
                <w:sz w:val="20"/>
                <w:szCs w:val="18"/>
              </w:rPr>
              <w:t>Phase</w:t>
            </w:r>
          </w:p>
        </w:tc>
        <w:tc>
          <w:tcPr>
            <w:tcW w:w="810" w:type="dxa"/>
            <w:tcBorders>
              <w:top w:val="single" w:sz="4" w:space="0" w:color="auto"/>
              <w:bottom w:val="single" w:sz="4" w:space="0" w:color="auto"/>
            </w:tcBorders>
            <w:vAlign w:val="center"/>
          </w:tcPr>
          <w:p w14:paraId="5089AE79" w14:textId="77777777" w:rsidR="007D7EEA" w:rsidRPr="00670BA8" w:rsidRDefault="00DD2A4D">
            <w:pPr>
              <w:spacing w:after="0" w:line="240" w:lineRule="auto"/>
              <w:ind w:left="-58" w:right="-58"/>
              <w:jc w:val="center"/>
              <w:rPr>
                <w:rFonts w:ascii="Arial" w:hAnsi="Arial" w:cs="Arial"/>
                <w:b/>
                <w:sz w:val="20"/>
                <w:szCs w:val="18"/>
              </w:rPr>
            </w:pPr>
            <w:r w:rsidRPr="00670BA8">
              <w:rPr>
                <w:rFonts w:ascii="Arial" w:hAnsi="Arial" w:cs="Arial"/>
                <w:b/>
                <w:sz w:val="20"/>
                <w:szCs w:val="18"/>
              </w:rPr>
              <w:t>Block</w:t>
            </w:r>
          </w:p>
        </w:tc>
        <w:tc>
          <w:tcPr>
            <w:tcW w:w="900" w:type="dxa"/>
            <w:tcBorders>
              <w:top w:val="single" w:sz="4" w:space="0" w:color="auto"/>
              <w:bottom w:val="single" w:sz="4" w:space="0" w:color="auto"/>
            </w:tcBorders>
            <w:vAlign w:val="center"/>
          </w:tcPr>
          <w:p w14:paraId="4CF72821" w14:textId="77777777" w:rsidR="007D7EEA" w:rsidRPr="00670BA8" w:rsidRDefault="00DD2A4D">
            <w:pPr>
              <w:spacing w:after="0" w:line="240" w:lineRule="auto"/>
              <w:ind w:left="-58" w:right="-58"/>
              <w:jc w:val="center"/>
              <w:rPr>
                <w:rFonts w:ascii="Arial" w:hAnsi="Arial" w:cs="Arial"/>
                <w:b/>
                <w:sz w:val="20"/>
                <w:szCs w:val="18"/>
              </w:rPr>
            </w:pPr>
            <w:r w:rsidRPr="00670BA8">
              <w:rPr>
                <w:rFonts w:ascii="Arial" w:hAnsi="Arial" w:cs="Arial"/>
                <w:b/>
                <w:sz w:val="20"/>
                <w:szCs w:val="18"/>
              </w:rPr>
              <w:t>Lot</w:t>
            </w:r>
          </w:p>
        </w:tc>
        <w:tc>
          <w:tcPr>
            <w:tcW w:w="1350" w:type="dxa"/>
            <w:tcBorders>
              <w:top w:val="single" w:sz="4" w:space="0" w:color="auto"/>
              <w:bottom w:val="single" w:sz="4" w:space="0" w:color="auto"/>
            </w:tcBorders>
            <w:vAlign w:val="center"/>
          </w:tcPr>
          <w:p w14:paraId="40CB6177" w14:textId="77777777" w:rsidR="007D7EEA" w:rsidRPr="00670BA8" w:rsidRDefault="00DD2A4D">
            <w:pPr>
              <w:spacing w:after="0" w:line="240" w:lineRule="auto"/>
              <w:ind w:left="-58" w:right="-58"/>
              <w:jc w:val="center"/>
              <w:rPr>
                <w:rFonts w:ascii="Arial" w:hAnsi="Arial" w:cs="Arial"/>
                <w:b/>
                <w:sz w:val="20"/>
                <w:szCs w:val="18"/>
              </w:rPr>
            </w:pPr>
            <w:r w:rsidRPr="00670BA8">
              <w:rPr>
                <w:rFonts w:ascii="Arial" w:hAnsi="Arial" w:cs="Arial"/>
                <w:b/>
                <w:sz w:val="20"/>
                <w:szCs w:val="18"/>
              </w:rPr>
              <w:t>Outstanding balance</w:t>
            </w:r>
          </w:p>
        </w:tc>
      </w:tr>
      <w:tr w:rsidR="007D7EEA" w:rsidRPr="00663D1C" w14:paraId="24A169E1" w14:textId="77777777" w:rsidTr="00670BA8">
        <w:trPr>
          <w:trHeight w:val="20"/>
        </w:trPr>
        <w:tc>
          <w:tcPr>
            <w:tcW w:w="3600" w:type="dxa"/>
            <w:tcBorders>
              <w:top w:val="single" w:sz="4" w:space="0" w:color="auto"/>
            </w:tcBorders>
            <w:vAlign w:val="bottom"/>
          </w:tcPr>
          <w:p w14:paraId="67982A6D" w14:textId="77777777" w:rsidR="007D7EEA" w:rsidRPr="00670BA8" w:rsidRDefault="00DD2A4D">
            <w:pPr>
              <w:spacing w:after="0" w:line="240" w:lineRule="auto"/>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Acquired assets</w:t>
            </w:r>
          </w:p>
        </w:tc>
        <w:tc>
          <w:tcPr>
            <w:tcW w:w="810" w:type="dxa"/>
            <w:tcBorders>
              <w:top w:val="single" w:sz="4" w:space="0" w:color="auto"/>
            </w:tcBorders>
            <w:vAlign w:val="bottom"/>
          </w:tcPr>
          <w:p w14:paraId="53A083A5"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w:t>
            </w:r>
          </w:p>
        </w:tc>
        <w:tc>
          <w:tcPr>
            <w:tcW w:w="810" w:type="dxa"/>
            <w:tcBorders>
              <w:top w:val="single" w:sz="4" w:space="0" w:color="auto"/>
            </w:tcBorders>
            <w:vAlign w:val="bottom"/>
          </w:tcPr>
          <w:p w14:paraId="4FE727EF"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3</w:t>
            </w:r>
          </w:p>
        </w:tc>
        <w:tc>
          <w:tcPr>
            <w:tcW w:w="900" w:type="dxa"/>
            <w:tcBorders>
              <w:top w:val="single" w:sz="4" w:space="0" w:color="auto"/>
            </w:tcBorders>
            <w:vAlign w:val="bottom"/>
          </w:tcPr>
          <w:p w14:paraId="71F3D13D"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12</w:t>
            </w:r>
          </w:p>
        </w:tc>
        <w:tc>
          <w:tcPr>
            <w:tcW w:w="1350" w:type="dxa"/>
            <w:tcBorders>
              <w:top w:val="single" w:sz="4" w:space="0" w:color="auto"/>
            </w:tcBorders>
            <w:vAlign w:val="bottom"/>
          </w:tcPr>
          <w:p w14:paraId="31AF1410" w14:textId="77777777" w:rsidR="007D7EEA" w:rsidRPr="00670BA8" w:rsidRDefault="00DD2A4D">
            <w:pPr>
              <w:spacing w:after="0" w:line="240" w:lineRule="auto"/>
              <w:ind w:left="-144"/>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P 1,603,660</w:t>
            </w:r>
          </w:p>
        </w:tc>
      </w:tr>
      <w:tr w:rsidR="007D7EEA" w:rsidRPr="00663D1C" w14:paraId="10715E6D" w14:textId="77777777" w:rsidTr="00670BA8">
        <w:trPr>
          <w:trHeight w:val="20"/>
        </w:trPr>
        <w:tc>
          <w:tcPr>
            <w:tcW w:w="3600" w:type="dxa"/>
            <w:vAlign w:val="bottom"/>
          </w:tcPr>
          <w:p w14:paraId="5F679BD4" w14:textId="77777777" w:rsidR="007D7EEA" w:rsidRPr="00670BA8" w:rsidRDefault="00DD2A4D">
            <w:pPr>
              <w:spacing w:after="0" w:line="240" w:lineRule="auto"/>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Green Meadows</w:t>
            </w:r>
          </w:p>
        </w:tc>
        <w:tc>
          <w:tcPr>
            <w:tcW w:w="810" w:type="dxa"/>
            <w:vAlign w:val="bottom"/>
          </w:tcPr>
          <w:p w14:paraId="24D1EB9C"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1</w:t>
            </w:r>
          </w:p>
        </w:tc>
        <w:tc>
          <w:tcPr>
            <w:tcW w:w="810" w:type="dxa"/>
            <w:vAlign w:val="bottom"/>
          </w:tcPr>
          <w:p w14:paraId="2448801D"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69</w:t>
            </w:r>
          </w:p>
        </w:tc>
        <w:tc>
          <w:tcPr>
            <w:tcW w:w="900" w:type="dxa"/>
            <w:vAlign w:val="bottom"/>
          </w:tcPr>
          <w:p w14:paraId="0C67941B"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43</w:t>
            </w:r>
          </w:p>
        </w:tc>
        <w:tc>
          <w:tcPr>
            <w:tcW w:w="1350" w:type="dxa"/>
            <w:vAlign w:val="bottom"/>
          </w:tcPr>
          <w:p w14:paraId="7CA992CB" w14:textId="77777777" w:rsidR="007D7EEA" w:rsidRPr="00670BA8" w:rsidRDefault="00DD2A4D">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1,438,086</w:t>
            </w:r>
          </w:p>
        </w:tc>
      </w:tr>
      <w:tr w:rsidR="007D7EEA" w:rsidRPr="00663D1C" w14:paraId="2134F947" w14:textId="77777777" w:rsidTr="00670BA8">
        <w:trPr>
          <w:trHeight w:val="20"/>
        </w:trPr>
        <w:tc>
          <w:tcPr>
            <w:tcW w:w="3600" w:type="dxa"/>
            <w:tcBorders>
              <w:bottom w:val="nil"/>
            </w:tcBorders>
            <w:vAlign w:val="bottom"/>
          </w:tcPr>
          <w:p w14:paraId="684025A1" w14:textId="77777777" w:rsidR="007D7EEA" w:rsidRPr="00670BA8" w:rsidRDefault="00DD2A4D">
            <w:pPr>
              <w:spacing w:after="0" w:line="240" w:lineRule="auto"/>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Tanauan</w:t>
            </w:r>
          </w:p>
        </w:tc>
        <w:tc>
          <w:tcPr>
            <w:tcW w:w="810" w:type="dxa"/>
            <w:tcBorders>
              <w:bottom w:val="nil"/>
            </w:tcBorders>
            <w:vAlign w:val="bottom"/>
          </w:tcPr>
          <w:p w14:paraId="7FF08DDE"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w:t>
            </w:r>
          </w:p>
        </w:tc>
        <w:tc>
          <w:tcPr>
            <w:tcW w:w="810" w:type="dxa"/>
            <w:tcBorders>
              <w:bottom w:val="nil"/>
            </w:tcBorders>
            <w:vAlign w:val="bottom"/>
          </w:tcPr>
          <w:p w14:paraId="4A7F6B91"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w:t>
            </w:r>
          </w:p>
        </w:tc>
        <w:tc>
          <w:tcPr>
            <w:tcW w:w="900" w:type="dxa"/>
            <w:tcBorders>
              <w:bottom w:val="nil"/>
            </w:tcBorders>
            <w:vAlign w:val="bottom"/>
          </w:tcPr>
          <w:p w14:paraId="154E8580"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6521-C</w:t>
            </w:r>
          </w:p>
        </w:tc>
        <w:tc>
          <w:tcPr>
            <w:tcW w:w="1350" w:type="dxa"/>
            <w:tcBorders>
              <w:bottom w:val="nil"/>
            </w:tcBorders>
            <w:vAlign w:val="bottom"/>
          </w:tcPr>
          <w:p w14:paraId="00644197" w14:textId="77777777" w:rsidR="007D7EEA" w:rsidRPr="00670BA8" w:rsidRDefault="00DD2A4D">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 xml:space="preserve">798,120 </w:t>
            </w:r>
          </w:p>
        </w:tc>
      </w:tr>
      <w:tr w:rsidR="007D7EEA" w:rsidRPr="00663D1C" w14:paraId="7A75C0C3" w14:textId="77777777" w:rsidTr="00670BA8">
        <w:trPr>
          <w:trHeight w:val="20"/>
        </w:trPr>
        <w:tc>
          <w:tcPr>
            <w:tcW w:w="3600" w:type="dxa"/>
            <w:tcBorders>
              <w:top w:val="nil"/>
              <w:bottom w:val="nil"/>
            </w:tcBorders>
            <w:vAlign w:val="bottom"/>
          </w:tcPr>
          <w:p w14:paraId="084BCDD9" w14:textId="77777777" w:rsidR="007D7EEA" w:rsidRPr="00670BA8" w:rsidRDefault="00DD2A4D">
            <w:pPr>
              <w:spacing w:after="0" w:line="240" w:lineRule="auto"/>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Villa Caceres</w:t>
            </w:r>
          </w:p>
        </w:tc>
        <w:tc>
          <w:tcPr>
            <w:tcW w:w="810" w:type="dxa"/>
            <w:tcBorders>
              <w:top w:val="nil"/>
              <w:bottom w:val="nil"/>
            </w:tcBorders>
            <w:vAlign w:val="bottom"/>
          </w:tcPr>
          <w:p w14:paraId="5F24B068"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4</w:t>
            </w:r>
          </w:p>
        </w:tc>
        <w:tc>
          <w:tcPr>
            <w:tcW w:w="810" w:type="dxa"/>
            <w:tcBorders>
              <w:top w:val="nil"/>
              <w:bottom w:val="nil"/>
            </w:tcBorders>
            <w:vAlign w:val="bottom"/>
          </w:tcPr>
          <w:p w14:paraId="1D9076ED"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409</w:t>
            </w:r>
          </w:p>
        </w:tc>
        <w:tc>
          <w:tcPr>
            <w:tcW w:w="900" w:type="dxa"/>
            <w:tcBorders>
              <w:top w:val="nil"/>
              <w:bottom w:val="nil"/>
            </w:tcBorders>
            <w:vAlign w:val="bottom"/>
          </w:tcPr>
          <w:p w14:paraId="4A2F2037"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9</w:t>
            </w:r>
          </w:p>
        </w:tc>
        <w:tc>
          <w:tcPr>
            <w:tcW w:w="1350" w:type="dxa"/>
            <w:tcBorders>
              <w:top w:val="nil"/>
              <w:bottom w:val="nil"/>
            </w:tcBorders>
            <w:vAlign w:val="bottom"/>
          </w:tcPr>
          <w:p w14:paraId="0CF3A7B7" w14:textId="77777777" w:rsidR="007D7EEA" w:rsidRPr="00670BA8" w:rsidRDefault="00DD2A4D">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 xml:space="preserve">378,608 </w:t>
            </w:r>
          </w:p>
        </w:tc>
      </w:tr>
      <w:tr w:rsidR="007D7EEA" w:rsidRPr="00663D1C" w14:paraId="2DBF83E8" w14:textId="77777777" w:rsidTr="00670BA8">
        <w:trPr>
          <w:trHeight w:val="20"/>
        </w:trPr>
        <w:tc>
          <w:tcPr>
            <w:tcW w:w="3600" w:type="dxa"/>
            <w:vAlign w:val="bottom"/>
          </w:tcPr>
          <w:p w14:paraId="1270FC44" w14:textId="77777777" w:rsidR="007D7EEA" w:rsidRPr="00670BA8" w:rsidRDefault="00DD2A4D">
            <w:pPr>
              <w:spacing w:after="0" w:line="240" w:lineRule="auto"/>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San Lorenzo South - Phase ID</w:t>
            </w:r>
          </w:p>
        </w:tc>
        <w:tc>
          <w:tcPr>
            <w:tcW w:w="810" w:type="dxa"/>
            <w:vAlign w:val="bottom"/>
          </w:tcPr>
          <w:p w14:paraId="138A8743"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ID</w:t>
            </w:r>
          </w:p>
        </w:tc>
        <w:tc>
          <w:tcPr>
            <w:tcW w:w="810" w:type="dxa"/>
            <w:vAlign w:val="bottom"/>
          </w:tcPr>
          <w:p w14:paraId="4473BE8D"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5</w:t>
            </w:r>
          </w:p>
        </w:tc>
        <w:tc>
          <w:tcPr>
            <w:tcW w:w="900" w:type="dxa"/>
            <w:vAlign w:val="bottom"/>
          </w:tcPr>
          <w:p w14:paraId="2761FD51"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19</w:t>
            </w:r>
          </w:p>
        </w:tc>
        <w:tc>
          <w:tcPr>
            <w:tcW w:w="1350" w:type="dxa"/>
            <w:vAlign w:val="bottom"/>
          </w:tcPr>
          <w:p w14:paraId="753FDAF3" w14:textId="77777777" w:rsidR="007D7EEA" w:rsidRPr="00670BA8" w:rsidRDefault="00DD2A4D">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 xml:space="preserve">41,389 </w:t>
            </w:r>
          </w:p>
        </w:tc>
      </w:tr>
      <w:tr w:rsidR="007D7EEA" w:rsidRPr="00663D1C" w14:paraId="38645094" w14:textId="77777777" w:rsidTr="00670BA8">
        <w:trPr>
          <w:trHeight w:val="20"/>
        </w:trPr>
        <w:tc>
          <w:tcPr>
            <w:tcW w:w="3600" w:type="dxa"/>
            <w:vAlign w:val="bottom"/>
          </w:tcPr>
          <w:p w14:paraId="273416DA" w14:textId="77777777" w:rsidR="007D7EEA" w:rsidRPr="00670BA8" w:rsidRDefault="00DD2A4D">
            <w:pPr>
              <w:spacing w:after="0" w:line="240" w:lineRule="auto"/>
              <w:ind w:right="-209"/>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San Lorenzo South - Phase IC &amp; ICA</w:t>
            </w:r>
          </w:p>
        </w:tc>
        <w:tc>
          <w:tcPr>
            <w:tcW w:w="810" w:type="dxa"/>
            <w:vAlign w:val="bottom"/>
          </w:tcPr>
          <w:p w14:paraId="145D6C2F"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IC</w:t>
            </w:r>
          </w:p>
        </w:tc>
        <w:tc>
          <w:tcPr>
            <w:tcW w:w="810" w:type="dxa"/>
            <w:vAlign w:val="bottom"/>
          </w:tcPr>
          <w:p w14:paraId="5F0C0962"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63</w:t>
            </w:r>
          </w:p>
        </w:tc>
        <w:tc>
          <w:tcPr>
            <w:tcW w:w="900" w:type="dxa"/>
            <w:vAlign w:val="bottom"/>
          </w:tcPr>
          <w:p w14:paraId="6BD0EB49"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43</w:t>
            </w:r>
          </w:p>
        </w:tc>
        <w:tc>
          <w:tcPr>
            <w:tcW w:w="1350" w:type="dxa"/>
            <w:vAlign w:val="bottom"/>
          </w:tcPr>
          <w:p w14:paraId="48DF44EF" w14:textId="77777777" w:rsidR="007D7EEA" w:rsidRPr="00670BA8" w:rsidRDefault="00DD2A4D">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 xml:space="preserve">28,301 </w:t>
            </w:r>
          </w:p>
        </w:tc>
      </w:tr>
      <w:tr w:rsidR="007D7EEA" w:rsidRPr="00663D1C" w14:paraId="00EB9A04" w14:textId="77777777" w:rsidTr="00670BA8">
        <w:trPr>
          <w:trHeight w:val="20"/>
        </w:trPr>
        <w:tc>
          <w:tcPr>
            <w:tcW w:w="3600" w:type="dxa"/>
            <w:vAlign w:val="bottom"/>
          </w:tcPr>
          <w:p w14:paraId="7B7409BD" w14:textId="77777777" w:rsidR="007D7EEA" w:rsidRPr="00670BA8" w:rsidRDefault="00DD2A4D">
            <w:pPr>
              <w:spacing w:after="0" w:line="240" w:lineRule="auto"/>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Ciudad Verde</w:t>
            </w:r>
          </w:p>
        </w:tc>
        <w:tc>
          <w:tcPr>
            <w:tcW w:w="810" w:type="dxa"/>
            <w:vAlign w:val="bottom"/>
          </w:tcPr>
          <w:p w14:paraId="2DA69EE8"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1</w:t>
            </w:r>
          </w:p>
        </w:tc>
        <w:tc>
          <w:tcPr>
            <w:tcW w:w="810" w:type="dxa"/>
            <w:vAlign w:val="bottom"/>
          </w:tcPr>
          <w:p w14:paraId="6C2AFEDF"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7</w:t>
            </w:r>
          </w:p>
        </w:tc>
        <w:tc>
          <w:tcPr>
            <w:tcW w:w="900" w:type="dxa"/>
            <w:vAlign w:val="bottom"/>
          </w:tcPr>
          <w:p w14:paraId="4880B3FC" w14:textId="77777777" w:rsidR="007D7EEA" w:rsidRPr="00670BA8" w:rsidRDefault="00DD2A4D">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6</w:t>
            </w:r>
          </w:p>
        </w:tc>
        <w:tc>
          <w:tcPr>
            <w:tcW w:w="1350" w:type="dxa"/>
            <w:vAlign w:val="bottom"/>
          </w:tcPr>
          <w:p w14:paraId="0C85B7DF" w14:textId="77777777" w:rsidR="007D7EEA" w:rsidRPr="00670BA8" w:rsidRDefault="00DD2A4D">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18,112</w:t>
            </w:r>
          </w:p>
        </w:tc>
      </w:tr>
      <w:tr w:rsidR="00663D1C" w:rsidRPr="00663D1C" w14:paraId="5FA8C58F" w14:textId="77777777" w:rsidTr="00670BA8">
        <w:trPr>
          <w:trHeight w:val="20"/>
        </w:trPr>
        <w:tc>
          <w:tcPr>
            <w:tcW w:w="3600" w:type="dxa"/>
            <w:tcBorders>
              <w:top w:val="nil"/>
            </w:tcBorders>
            <w:vAlign w:val="bottom"/>
          </w:tcPr>
          <w:p w14:paraId="6980412D" w14:textId="77777777" w:rsidR="00663D1C" w:rsidRPr="00670BA8" w:rsidRDefault="00663D1C">
            <w:pPr>
              <w:spacing w:after="0" w:line="240" w:lineRule="auto"/>
              <w:ind w:right="-68"/>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San Lorenzo South - Phase IC &amp; ICA</w:t>
            </w:r>
          </w:p>
        </w:tc>
        <w:tc>
          <w:tcPr>
            <w:tcW w:w="810" w:type="dxa"/>
            <w:tcBorders>
              <w:top w:val="nil"/>
            </w:tcBorders>
            <w:vAlign w:val="bottom"/>
          </w:tcPr>
          <w:p w14:paraId="78513E40" w14:textId="77777777" w:rsidR="00663D1C" w:rsidRPr="00670BA8" w:rsidRDefault="00663D1C">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ICA</w:t>
            </w:r>
          </w:p>
        </w:tc>
        <w:tc>
          <w:tcPr>
            <w:tcW w:w="810" w:type="dxa"/>
            <w:tcBorders>
              <w:top w:val="nil"/>
            </w:tcBorders>
            <w:vAlign w:val="bottom"/>
          </w:tcPr>
          <w:p w14:paraId="5FCE1FEC" w14:textId="77777777" w:rsidR="00663D1C" w:rsidRPr="00670BA8" w:rsidRDefault="00663D1C">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2</w:t>
            </w:r>
          </w:p>
        </w:tc>
        <w:tc>
          <w:tcPr>
            <w:tcW w:w="900" w:type="dxa"/>
            <w:tcBorders>
              <w:top w:val="nil"/>
            </w:tcBorders>
            <w:vAlign w:val="bottom"/>
          </w:tcPr>
          <w:p w14:paraId="01AB988D" w14:textId="77777777" w:rsidR="00663D1C" w:rsidRPr="00670BA8" w:rsidRDefault="00663D1C">
            <w:pPr>
              <w:spacing w:after="0" w:line="240" w:lineRule="auto"/>
              <w:jc w:val="center"/>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22</w:t>
            </w:r>
          </w:p>
        </w:tc>
        <w:tc>
          <w:tcPr>
            <w:tcW w:w="1350" w:type="dxa"/>
            <w:tcBorders>
              <w:top w:val="nil"/>
            </w:tcBorders>
            <w:vAlign w:val="bottom"/>
          </w:tcPr>
          <w:p w14:paraId="2F07F758" w14:textId="77777777" w:rsidR="00663D1C" w:rsidRPr="00670BA8" w:rsidRDefault="00663D1C">
            <w:pPr>
              <w:spacing w:after="0" w:line="240" w:lineRule="auto"/>
              <w:jc w:val="right"/>
              <w:rPr>
                <w:rFonts w:ascii="Arial" w:eastAsia="Times New Roman" w:hAnsi="Arial" w:cs="Arial"/>
                <w:color w:val="000000"/>
                <w:sz w:val="20"/>
                <w:szCs w:val="18"/>
                <w:lang w:eastAsia="en-PH"/>
              </w:rPr>
            </w:pPr>
            <w:r w:rsidRPr="00670BA8">
              <w:rPr>
                <w:rFonts w:ascii="Arial" w:eastAsia="Times New Roman" w:hAnsi="Arial" w:cs="Arial"/>
                <w:color w:val="000000"/>
                <w:sz w:val="20"/>
                <w:szCs w:val="18"/>
                <w:lang w:eastAsia="en-PH"/>
              </w:rPr>
              <w:t xml:space="preserve">860 </w:t>
            </w:r>
          </w:p>
        </w:tc>
      </w:tr>
      <w:tr w:rsidR="007D7EEA" w:rsidRPr="00663D1C" w14:paraId="78332E47" w14:textId="77777777" w:rsidTr="00B16877">
        <w:trPr>
          <w:trHeight w:val="288"/>
        </w:trPr>
        <w:tc>
          <w:tcPr>
            <w:tcW w:w="3600" w:type="dxa"/>
            <w:tcBorders>
              <w:top w:val="single" w:sz="4" w:space="0" w:color="auto"/>
              <w:bottom w:val="double" w:sz="4" w:space="0" w:color="auto"/>
            </w:tcBorders>
            <w:vAlign w:val="center"/>
          </w:tcPr>
          <w:p w14:paraId="68AFE094" w14:textId="77777777" w:rsidR="007D7EEA" w:rsidRPr="00670BA8" w:rsidRDefault="00DD2A4D">
            <w:pPr>
              <w:spacing w:after="0" w:line="240" w:lineRule="auto"/>
              <w:rPr>
                <w:rFonts w:ascii="Arial" w:eastAsia="Times New Roman" w:hAnsi="Arial" w:cs="Arial"/>
                <w:b/>
                <w:color w:val="000000"/>
                <w:sz w:val="20"/>
                <w:szCs w:val="18"/>
                <w:lang w:eastAsia="en-PH"/>
              </w:rPr>
            </w:pPr>
            <w:r w:rsidRPr="00670BA8">
              <w:rPr>
                <w:rFonts w:ascii="Arial" w:eastAsia="Times New Roman" w:hAnsi="Arial" w:cs="Arial"/>
                <w:b/>
                <w:color w:val="000000"/>
                <w:sz w:val="20"/>
                <w:szCs w:val="18"/>
                <w:lang w:eastAsia="en-PH"/>
              </w:rPr>
              <w:t>Total</w:t>
            </w:r>
          </w:p>
        </w:tc>
        <w:tc>
          <w:tcPr>
            <w:tcW w:w="810" w:type="dxa"/>
            <w:tcBorders>
              <w:top w:val="single" w:sz="4" w:space="0" w:color="auto"/>
              <w:bottom w:val="double" w:sz="4" w:space="0" w:color="auto"/>
            </w:tcBorders>
            <w:vAlign w:val="center"/>
          </w:tcPr>
          <w:p w14:paraId="3E47819B" w14:textId="77777777" w:rsidR="007D7EEA" w:rsidRPr="00670BA8" w:rsidRDefault="007D7EEA">
            <w:pPr>
              <w:spacing w:after="0" w:line="240" w:lineRule="auto"/>
              <w:jc w:val="center"/>
              <w:rPr>
                <w:rFonts w:ascii="Arial" w:eastAsia="Times New Roman" w:hAnsi="Arial" w:cs="Arial"/>
                <w:color w:val="000000"/>
                <w:sz w:val="20"/>
                <w:szCs w:val="18"/>
                <w:lang w:eastAsia="en-PH"/>
              </w:rPr>
            </w:pPr>
          </w:p>
        </w:tc>
        <w:tc>
          <w:tcPr>
            <w:tcW w:w="810" w:type="dxa"/>
            <w:tcBorders>
              <w:top w:val="single" w:sz="4" w:space="0" w:color="auto"/>
              <w:bottom w:val="double" w:sz="4" w:space="0" w:color="auto"/>
            </w:tcBorders>
            <w:vAlign w:val="center"/>
          </w:tcPr>
          <w:p w14:paraId="5843EA1A" w14:textId="77777777" w:rsidR="007D7EEA" w:rsidRPr="00670BA8" w:rsidRDefault="007D7EEA">
            <w:pPr>
              <w:spacing w:after="0" w:line="240" w:lineRule="auto"/>
              <w:jc w:val="center"/>
              <w:rPr>
                <w:rFonts w:ascii="Arial" w:eastAsia="Times New Roman" w:hAnsi="Arial" w:cs="Arial"/>
                <w:color w:val="000000"/>
                <w:sz w:val="20"/>
                <w:szCs w:val="18"/>
                <w:lang w:eastAsia="en-PH"/>
              </w:rPr>
            </w:pPr>
          </w:p>
        </w:tc>
        <w:tc>
          <w:tcPr>
            <w:tcW w:w="900" w:type="dxa"/>
            <w:tcBorders>
              <w:top w:val="single" w:sz="4" w:space="0" w:color="auto"/>
              <w:bottom w:val="double" w:sz="4" w:space="0" w:color="auto"/>
            </w:tcBorders>
            <w:vAlign w:val="center"/>
          </w:tcPr>
          <w:p w14:paraId="4078DCA2" w14:textId="77777777" w:rsidR="007D7EEA" w:rsidRPr="00670BA8" w:rsidRDefault="007D7EEA">
            <w:pPr>
              <w:spacing w:after="0" w:line="240" w:lineRule="auto"/>
              <w:jc w:val="center"/>
              <w:rPr>
                <w:rFonts w:ascii="Arial" w:eastAsia="Times New Roman" w:hAnsi="Arial" w:cs="Arial"/>
                <w:color w:val="000000"/>
                <w:sz w:val="20"/>
                <w:szCs w:val="18"/>
                <w:lang w:eastAsia="en-PH"/>
              </w:rPr>
            </w:pPr>
          </w:p>
        </w:tc>
        <w:tc>
          <w:tcPr>
            <w:tcW w:w="1350" w:type="dxa"/>
            <w:tcBorders>
              <w:top w:val="single" w:sz="4" w:space="0" w:color="auto"/>
              <w:bottom w:val="double" w:sz="4" w:space="0" w:color="auto"/>
            </w:tcBorders>
            <w:vAlign w:val="center"/>
          </w:tcPr>
          <w:p w14:paraId="77B50FFC" w14:textId="77777777" w:rsidR="007D7EEA" w:rsidRPr="00670BA8" w:rsidRDefault="00DD2A4D">
            <w:pPr>
              <w:spacing w:after="0" w:line="240" w:lineRule="auto"/>
              <w:ind w:left="-144"/>
              <w:jc w:val="right"/>
              <w:rPr>
                <w:rFonts w:ascii="Arial" w:eastAsia="Times New Roman" w:hAnsi="Arial" w:cs="Arial"/>
                <w:b/>
                <w:color w:val="000000"/>
                <w:sz w:val="20"/>
                <w:szCs w:val="18"/>
                <w:lang w:eastAsia="en-PH"/>
              </w:rPr>
            </w:pPr>
            <w:r w:rsidRPr="00670BA8">
              <w:rPr>
                <w:rFonts w:ascii="Arial" w:eastAsia="Times New Roman" w:hAnsi="Arial" w:cs="Arial"/>
                <w:b/>
                <w:color w:val="000000"/>
                <w:sz w:val="20"/>
                <w:szCs w:val="18"/>
                <w:lang w:eastAsia="en-PH"/>
              </w:rPr>
              <w:t>P 4,307,136</w:t>
            </w:r>
          </w:p>
        </w:tc>
      </w:tr>
    </w:tbl>
    <w:p w14:paraId="5E83642F" w14:textId="7AB45E8A" w:rsidR="007D7EEA" w:rsidRPr="0096065B" w:rsidRDefault="007D7EEA">
      <w:pPr>
        <w:spacing w:after="0" w:line="240" w:lineRule="auto"/>
        <w:jc w:val="both"/>
        <w:rPr>
          <w:rFonts w:ascii="Arial" w:hAnsi="Arial" w:cs="Arial"/>
        </w:rPr>
      </w:pPr>
    </w:p>
    <w:p w14:paraId="71A74BCB" w14:textId="42DA4BBB" w:rsidR="007D7EEA" w:rsidRPr="0096065B" w:rsidRDefault="00DD2A4D">
      <w:pPr>
        <w:pStyle w:val="NormalWeb"/>
        <w:spacing w:before="0" w:beforeAutospacing="0" w:after="0" w:afterAutospacing="0"/>
        <w:ind w:left="1260"/>
        <w:jc w:val="center"/>
        <w:rPr>
          <w:rFonts w:ascii="Arial" w:hAnsi="Arial" w:cs="Arial"/>
          <w:b/>
          <w:bCs/>
          <w:sz w:val="22"/>
          <w:szCs w:val="22"/>
        </w:rPr>
      </w:pPr>
      <w:r w:rsidRPr="0096065B">
        <w:rPr>
          <w:rFonts w:ascii="Arial" w:hAnsi="Arial" w:cs="Arial"/>
          <w:b/>
          <w:bCs/>
          <w:sz w:val="22"/>
          <w:szCs w:val="22"/>
        </w:rPr>
        <w:t>Table 1</w:t>
      </w:r>
      <w:r w:rsidR="00A57D4E" w:rsidRPr="0096065B">
        <w:rPr>
          <w:rFonts w:ascii="Arial" w:hAnsi="Arial" w:cs="Arial"/>
          <w:b/>
          <w:bCs/>
          <w:sz w:val="22"/>
          <w:szCs w:val="22"/>
        </w:rPr>
        <w:t>2</w:t>
      </w:r>
      <w:r w:rsidRPr="0096065B">
        <w:rPr>
          <w:rFonts w:ascii="Arial" w:hAnsi="Arial" w:cs="Arial"/>
          <w:b/>
          <w:bCs/>
          <w:sz w:val="22"/>
          <w:szCs w:val="22"/>
        </w:rPr>
        <w:t>.2 – List of ICR-past due accounts without TCTs on File</w:t>
      </w:r>
    </w:p>
    <w:p w14:paraId="3A139A17" w14:textId="77777777" w:rsidR="007D7EEA" w:rsidRPr="0096065B" w:rsidRDefault="00DD2A4D">
      <w:pPr>
        <w:pStyle w:val="NormalWeb"/>
        <w:spacing w:before="0" w:beforeAutospacing="0" w:after="0" w:afterAutospacing="0"/>
        <w:ind w:left="1260"/>
        <w:jc w:val="center"/>
        <w:rPr>
          <w:rFonts w:ascii="Arial" w:hAnsi="Arial" w:cs="Arial"/>
          <w:b/>
          <w:bCs/>
          <w:sz w:val="22"/>
          <w:szCs w:val="22"/>
        </w:rPr>
      </w:pPr>
      <w:r w:rsidRPr="0096065B">
        <w:rPr>
          <w:rFonts w:ascii="Arial" w:hAnsi="Arial" w:cs="Arial"/>
          <w:b/>
          <w:bCs/>
          <w:sz w:val="22"/>
          <w:szCs w:val="22"/>
        </w:rPr>
        <w:t>As at December 31, 2022</w:t>
      </w:r>
    </w:p>
    <w:p w14:paraId="7150F002" w14:textId="77777777" w:rsidR="00EB3FD2" w:rsidRPr="0096065B" w:rsidRDefault="00EB3FD2" w:rsidP="000966CD">
      <w:pPr>
        <w:pStyle w:val="NormalWeb"/>
        <w:spacing w:before="0" w:beforeAutospacing="0" w:after="0" w:afterAutospacing="0"/>
        <w:jc w:val="both"/>
        <w:rPr>
          <w:rFonts w:ascii="Arial" w:hAnsi="Arial" w:cs="Arial"/>
          <w:sz w:val="22"/>
          <w:szCs w:val="22"/>
        </w:rPr>
      </w:pPr>
    </w:p>
    <w:tbl>
      <w:tblPr>
        <w:tblW w:w="7528" w:type="dxa"/>
        <w:tblInd w:w="1260" w:type="dxa"/>
        <w:tblLook w:val="04A0" w:firstRow="1" w:lastRow="0" w:firstColumn="1" w:lastColumn="0" w:noHBand="0" w:noVBand="1"/>
      </w:tblPr>
      <w:tblGrid>
        <w:gridCol w:w="3420"/>
        <w:gridCol w:w="140"/>
        <w:gridCol w:w="1512"/>
        <w:gridCol w:w="148"/>
        <w:gridCol w:w="1246"/>
        <w:gridCol w:w="1062"/>
      </w:tblGrid>
      <w:tr w:rsidR="007D7EEA" w:rsidRPr="00663D1C" w14:paraId="2A72CD0A" w14:textId="77777777" w:rsidTr="00670BA8">
        <w:trPr>
          <w:trHeight w:val="20"/>
          <w:tblHeader/>
        </w:trPr>
        <w:tc>
          <w:tcPr>
            <w:tcW w:w="3560" w:type="dxa"/>
            <w:gridSpan w:val="2"/>
            <w:tcBorders>
              <w:top w:val="single" w:sz="8" w:space="0" w:color="auto"/>
              <w:left w:val="nil"/>
              <w:bottom w:val="single" w:sz="8" w:space="0" w:color="auto"/>
              <w:right w:val="nil"/>
            </w:tcBorders>
            <w:shd w:val="clear" w:color="auto" w:fill="auto"/>
            <w:vAlign w:val="center"/>
          </w:tcPr>
          <w:p w14:paraId="52EADB02" w14:textId="77777777" w:rsidR="007D7EEA" w:rsidRPr="00670BA8" w:rsidRDefault="00DD2A4D">
            <w:pPr>
              <w:spacing w:after="0" w:line="240" w:lineRule="auto"/>
              <w:jc w:val="center"/>
              <w:rPr>
                <w:rFonts w:ascii="Arial" w:eastAsia="Times New Roman" w:hAnsi="Arial" w:cs="Arial"/>
                <w:b/>
                <w:bCs/>
                <w:color w:val="000000"/>
                <w:sz w:val="20"/>
                <w:szCs w:val="18"/>
                <w:lang w:val="en-PH" w:eastAsia="en-PH"/>
              </w:rPr>
            </w:pPr>
            <w:r w:rsidRPr="00670BA8">
              <w:rPr>
                <w:rFonts w:ascii="Arial" w:eastAsia="Times New Roman" w:hAnsi="Arial" w:cs="Arial"/>
                <w:b/>
                <w:bCs/>
                <w:color w:val="000000"/>
                <w:sz w:val="20"/>
                <w:szCs w:val="18"/>
                <w:lang w:eastAsia="en-PH"/>
              </w:rPr>
              <w:t>Property name</w:t>
            </w:r>
          </w:p>
        </w:tc>
        <w:tc>
          <w:tcPr>
            <w:tcW w:w="1512" w:type="dxa"/>
            <w:tcBorders>
              <w:top w:val="single" w:sz="8" w:space="0" w:color="auto"/>
              <w:left w:val="nil"/>
              <w:bottom w:val="single" w:sz="8" w:space="0" w:color="auto"/>
              <w:right w:val="nil"/>
            </w:tcBorders>
            <w:shd w:val="clear" w:color="auto" w:fill="auto"/>
            <w:vAlign w:val="center"/>
          </w:tcPr>
          <w:p w14:paraId="16E0C082" w14:textId="77777777" w:rsidR="007D7EEA" w:rsidRPr="00670BA8" w:rsidRDefault="00DD2A4D">
            <w:pPr>
              <w:spacing w:after="0" w:line="240" w:lineRule="auto"/>
              <w:jc w:val="center"/>
              <w:rPr>
                <w:rFonts w:ascii="Arial" w:eastAsia="Times New Roman" w:hAnsi="Arial" w:cs="Arial"/>
                <w:b/>
                <w:bCs/>
                <w:color w:val="000000"/>
                <w:sz w:val="20"/>
                <w:szCs w:val="18"/>
                <w:lang w:val="en-PH" w:eastAsia="en-PH"/>
              </w:rPr>
            </w:pPr>
            <w:r w:rsidRPr="00670BA8">
              <w:rPr>
                <w:rFonts w:ascii="Arial" w:eastAsia="Times New Roman" w:hAnsi="Arial" w:cs="Arial"/>
                <w:b/>
                <w:bCs/>
                <w:color w:val="000000"/>
                <w:sz w:val="20"/>
                <w:szCs w:val="18"/>
                <w:lang w:eastAsia="en-PH"/>
              </w:rPr>
              <w:t>No of Accounts</w:t>
            </w:r>
          </w:p>
        </w:tc>
        <w:tc>
          <w:tcPr>
            <w:tcW w:w="1394" w:type="dxa"/>
            <w:gridSpan w:val="2"/>
            <w:tcBorders>
              <w:top w:val="single" w:sz="8" w:space="0" w:color="auto"/>
              <w:left w:val="nil"/>
              <w:bottom w:val="single" w:sz="8" w:space="0" w:color="auto"/>
              <w:right w:val="nil"/>
            </w:tcBorders>
            <w:shd w:val="clear" w:color="auto" w:fill="auto"/>
            <w:vAlign w:val="center"/>
          </w:tcPr>
          <w:p w14:paraId="4745FA77" w14:textId="77777777" w:rsidR="007D7EEA" w:rsidRPr="00670BA8" w:rsidRDefault="00DD2A4D">
            <w:pPr>
              <w:spacing w:after="0" w:line="240" w:lineRule="auto"/>
              <w:jc w:val="center"/>
              <w:rPr>
                <w:rFonts w:ascii="Arial" w:eastAsia="Times New Roman" w:hAnsi="Arial" w:cs="Arial"/>
                <w:b/>
                <w:bCs/>
                <w:color w:val="000000"/>
                <w:sz w:val="20"/>
                <w:szCs w:val="18"/>
                <w:lang w:val="en-PH" w:eastAsia="en-PH"/>
              </w:rPr>
            </w:pPr>
            <w:r w:rsidRPr="00670BA8">
              <w:rPr>
                <w:rFonts w:ascii="Arial" w:eastAsia="Times New Roman" w:hAnsi="Arial" w:cs="Arial"/>
                <w:b/>
                <w:bCs/>
                <w:color w:val="000000"/>
                <w:sz w:val="20"/>
                <w:szCs w:val="18"/>
                <w:lang w:eastAsia="en-PH"/>
              </w:rPr>
              <w:t>Outstanding balance</w:t>
            </w:r>
          </w:p>
        </w:tc>
        <w:tc>
          <w:tcPr>
            <w:tcW w:w="1062" w:type="dxa"/>
            <w:tcBorders>
              <w:top w:val="single" w:sz="8" w:space="0" w:color="auto"/>
              <w:left w:val="nil"/>
              <w:bottom w:val="single" w:sz="8" w:space="0" w:color="auto"/>
              <w:right w:val="nil"/>
            </w:tcBorders>
            <w:shd w:val="clear" w:color="auto" w:fill="auto"/>
            <w:vAlign w:val="center"/>
          </w:tcPr>
          <w:p w14:paraId="62A68CC2" w14:textId="77777777" w:rsidR="007D7EEA" w:rsidRPr="00670BA8" w:rsidRDefault="00DD2A4D">
            <w:pPr>
              <w:spacing w:after="0" w:line="240" w:lineRule="auto"/>
              <w:jc w:val="center"/>
              <w:rPr>
                <w:rFonts w:ascii="Arial" w:eastAsia="Times New Roman" w:hAnsi="Arial" w:cs="Arial"/>
                <w:b/>
                <w:bCs/>
                <w:color w:val="000000"/>
                <w:sz w:val="20"/>
                <w:szCs w:val="18"/>
                <w:lang w:val="en-PH" w:eastAsia="en-PH"/>
              </w:rPr>
            </w:pPr>
            <w:r w:rsidRPr="00670BA8">
              <w:rPr>
                <w:rFonts w:ascii="Arial" w:eastAsia="Times New Roman" w:hAnsi="Arial" w:cs="Arial"/>
                <w:b/>
                <w:bCs/>
                <w:color w:val="000000"/>
                <w:sz w:val="20"/>
                <w:szCs w:val="18"/>
                <w:lang w:eastAsia="en-PH"/>
              </w:rPr>
              <w:t>Remarks</w:t>
            </w:r>
          </w:p>
        </w:tc>
      </w:tr>
      <w:tr w:rsidR="007D7EEA" w:rsidRPr="00663D1C" w14:paraId="7DF35B18" w14:textId="77777777" w:rsidTr="00670BA8">
        <w:trPr>
          <w:trHeight w:val="20"/>
        </w:trPr>
        <w:tc>
          <w:tcPr>
            <w:tcW w:w="3560" w:type="dxa"/>
            <w:gridSpan w:val="2"/>
            <w:tcBorders>
              <w:top w:val="nil"/>
              <w:left w:val="nil"/>
              <w:bottom w:val="nil"/>
              <w:right w:val="nil"/>
            </w:tcBorders>
            <w:shd w:val="clear" w:color="auto" w:fill="auto"/>
            <w:vAlign w:val="center"/>
          </w:tcPr>
          <w:p w14:paraId="1130B4F4"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Eastridge</w:t>
            </w:r>
          </w:p>
        </w:tc>
        <w:tc>
          <w:tcPr>
            <w:tcW w:w="1512" w:type="dxa"/>
            <w:tcBorders>
              <w:top w:val="nil"/>
              <w:left w:val="nil"/>
              <w:bottom w:val="nil"/>
              <w:right w:val="nil"/>
            </w:tcBorders>
            <w:shd w:val="clear" w:color="auto" w:fill="auto"/>
            <w:vAlign w:val="center"/>
          </w:tcPr>
          <w:p w14:paraId="149AB096"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6</w:t>
            </w:r>
          </w:p>
        </w:tc>
        <w:tc>
          <w:tcPr>
            <w:tcW w:w="1394" w:type="dxa"/>
            <w:gridSpan w:val="2"/>
            <w:tcBorders>
              <w:top w:val="nil"/>
              <w:left w:val="nil"/>
              <w:bottom w:val="nil"/>
              <w:right w:val="nil"/>
            </w:tcBorders>
            <w:shd w:val="clear" w:color="auto" w:fill="auto"/>
            <w:vAlign w:val="center"/>
          </w:tcPr>
          <w:p w14:paraId="0D7529F6" w14:textId="77777777" w:rsidR="007D7EEA" w:rsidRPr="00670BA8" w:rsidRDefault="00DD2A4D" w:rsidP="00670BA8">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P  9,562,620 </w:t>
            </w:r>
          </w:p>
        </w:tc>
        <w:tc>
          <w:tcPr>
            <w:tcW w:w="1062" w:type="dxa"/>
            <w:tcBorders>
              <w:top w:val="nil"/>
              <w:left w:val="nil"/>
              <w:bottom w:val="nil"/>
              <w:right w:val="nil"/>
            </w:tcBorders>
            <w:shd w:val="clear" w:color="auto" w:fill="auto"/>
            <w:vAlign w:val="center"/>
          </w:tcPr>
          <w:p w14:paraId="62D77012"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No data</w:t>
            </w:r>
          </w:p>
        </w:tc>
      </w:tr>
      <w:tr w:rsidR="007D7EEA" w:rsidRPr="00663D1C" w14:paraId="24DDA87D" w14:textId="77777777" w:rsidTr="00B16877">
        <w:trPr>
          <w:trHeight w:val="20"/>
        </w:trPr>
        <w:tc>
          <w:tcPr>
            <w:tcW w:w="3420" w:type="dxa"/>
            <w:tcBorders>
              <w:top w:val="nil"/>
              <w:left w:val="nil"/>
              <w:bottom w:val="nil"/>
              <w:right w:val="nil"/>
            </w:tcBorders>
            <w:shd w:val="clear" w:color="auto" w:fill="auto"/>
            <w:vAlign w:val="center"/>
          </w:tcPr>
          <w:p w14:paraId="7BFAB1E2"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Riviera</w:t>
            </w:r>
          </w:p>
        </w:tc>
        <w:tc>
          <w:tcPr>
            <w:tcW w:w="1800" w:type="dxa"/>
            <w:gridSpan w:val="3"/>
            <w:tcBorders>
              <w:top w:val="nil"/>
              <w:left w:val="nil"/>
              <w:bottom w:val="nil"/>
              <w:right w:val="nil"/>
            </w:tcBorders>
            <w:shd w:val="clear" w:color="auto" w:fill="auto"/>
            <w:vAlign w:val="center"/>
          </w:tcPr>
          <w:p w14:paraId="5B872934" w14:textId="77777777" w:rsidR="007D7EEA" w:rsidRPr="00670BA8" w:rsidRDefault="00DD2A4D" w:rsidP="00C7544F">
            <w:pPr>
              <w:spacing w:after="0" w:line="240" w:lineRule="auto"/>
              <w:ind w:left="-144" w:right="-144"/>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Various accounts</w:t>
            </w:r>
          </w:p>
        </w:tc>
        <w:tc>
          <w:tcPr>
            <w:tcW w:w="1246" w:type="dxa"/>
            <w:tcBorders>
              <w:top w:val="nil"/>
              <w:left w:val="nil"/>
              <w:bottom w:val="nil"/>
              <w:right w:val="nil"/>
            </w:tcBorders>
            <w:shd w:val="clear" w:color="auto" w:fill="auto"/>
            <w:vAlign w:val="center"/>
          </w:tcPr>
          <w:p w14:paraId="6B44A4B4" w14:textId="5B5188ED"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2,990,136 </w:t>
            </w:r>
          </w:p>
        </w:tc>
        <w:tc>
          <w:tcPr>
            <w:tcW w:w="1062" w:type="dxa"/>
            <w:tcBorders>
              <w:top w:val="nil"/>
              <w:left w:val="nil"/>
              <w:bottom w:val="nil"/>
              <w:right w:val="nil"/>
            </w:tcBorders>
            <w:shd w:val="clear" w:color="auto" w:fill="auto"/>
            <w:vAlign w:val="center"/>
          </w:tcPr>
          <w:p w14:paraId="436F6E0C"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3C67E0F4" w14:textId="77777777" w:rsidTr="00670BA8">
        <w:trPr>
          <w:trHeight w:val="20"/>
        </w:trPr>
        <w:tc>
          <w:tcPr>
            <w:tcW w:w="3560" w:type="dxa"/>
            <w:gridSpan w:val="2"/>
            <w:tcBorders>
              <w:top w:val="nil"/>
              <w:left w:val="nil"/>
              <w:bottom w:val="nil"/>
              <w:right w:val="nil"/>
            </w:tcBorders>
            <w:shd w:val="clear" w:color="auto" w:fill="auto"/>
            <w:vAlign w:val="center"/>
          </w:tcPr>
          <w:p w14:paraId="66958CFD"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Orchard</w:t>
            </w:r>
          </w:p>
        </w:tc>
        <w:tc>
          <w:tcPr>
            <w:tcW w:w="1512" w:type="dxa"/>
            <w:tcBorders>
              <w:top w:val="nil"/>
              <w:left w:val="nil"/>
              <w:bottom w:val="nil"/>
              <w:right w:val="nil"/>
            </w:tcBorders>
            <w:shd w:val="clear" w:color="auto" w:fill="auto"/>
            <w:vAlign w:val="center"/>
          </w:tcPr>
          <w:p w14:paraId="124EADFD"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4</w:t>
            </w:r>
          </w:p>
        </w:tc>
        <w:tc>
          <w:tcPr>
            <w:tcW w:w="1394" w:type="dxa"/>
            <w:gridSpan w:val="2"/>
            <w:tcBorders>
              <w:top w:val="nil"/>
              <w:left w:val="nil"/>
              <w:bottom w:val="nil"/>
              <w:right w:val="nil"/>
            </w:tcBorders>
            <w:shd w:val="clear" w:color="auto" w:fill="auto"/>
            <w:vAlign w:val="center"/>
          </w:tcPr>
          <w:p w14:paraId="6F7581D9"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    2,806,300 </w:t>
            </w:r>
          </w:p>
        </w:tc>
        <w:tc>
          <w:tcPr>
            <w:tcW w:w="1062" w:type="dxa"/>
            <w:tcBorders>
              <w:top w:val="nil"/>
              <w:left w:val="nil"/>
              <w:bottom w:val="nil"/>
              <w:right w:val="nil"/>
            </w:tcBorders>
            <w:shd w:val="clear" w:color="auto" w:fill="auto"/>
            <w:vAlign w:val="center"/>
          </w:tcPr>
          <w:p w14:paraId="0A0351DA"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w:t>
            </w:r>
          </w:p>
        </w:tc>
      </w:tr>
      <w:tr w:rsidR="007D7EEA" w:rsidRPr="00663D1C" w14:paraId="5DA6768F" w14:textId="77777777" w:rsidTr="00B16877">
        <w:trPr>
          <w:trHeight w:val="20"/>
        </w:trPr>
        <w:tc>
          <w:tcPr>
            <w:tcW w:w="3560" w:type="dxa"/>
            <w:gridSpan w:val="2"/>
            <w:tcBorders>
              <w:top w:val="nil"/>
              <w:left w:val="nil"/>
              <w:bottom w:val="nil"/>
              <w:right w:val="nil"/>
            </w:tcBorders>
            <w:shd w:val="clear" w:color="auto" w:fill="auto"/>
            <w:vAlign w:val="center"/>
          </w:tcPr>
          <w:p w14:paraId="782DB26D" w14:textId="77777777" w:rsidR="007D7EEA" w:rsidRPr="00670BA8" w:rsidRDefault="00DD2A4D" w:rsidP="00670BA8">
            <w:pPr>
              <w:spacing w:after="0" w:line="240" w:lineRule="auto"/>
              <w:ind w:right="-260"/>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San Lorenzo South – Phase IC &amp; ICA</w:t>
            </w:r>
          </w:p>
        </w:tc>
        <w:tc>
          <w:tcPr>
            <w:tcW w:w="1512" w:type="dxa"/>
            <w:tcBorders>
              <w:top w:val="nil"/>
              <w:left w:val="nil"/>
              <w:bottom w:val="nil"/>
              <w:right w:val="nil"/>
            </w:tcBorders>
            <w:shd w:val="clear" w:color="auto" w:fill="auto"/>
            <w:vAlign w:val="center"/>
          </w:tcPr>
          <w:p w14:paraId="0C22EBDF"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9</w:t>
            </w:r>
          </w:p>
        </w:tc>
        <w:tc>
          <w:tcPr>
            <w:tcW w:w="1394" w:type="dxa"/>
            <w:gridSpan w:val="2"/>
            <w:tcBorders>
              <w:top w:val="nil"/>
              <w:left w:val="nil"/>
              <w:bottom w:val="nil"/>
              <w:right w:val="nil"/>
            </w:tcBorders>
            <w:shd w:val="clear" w:color="auto" w:fill="auto"/>
            <w:noWrap/>
            <w:vAlign w:val="center"/>
          </w:tcPr>
          <w:p w14:paraId="32BF8F9F"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     1,799,854 </w:t>
            </w:r>
          </w:p>
        </w:tc>
        <w:tc>
          <w:tcPr>
            <w:tcW w:w="1062" w:type="dxa"/>
            <w:tcBorders>
              <w:top w:val="nil"/>
              <w:left w:val="nil"/>
              <w:bottom w:val="nil"/>
              <w:right w:val="nil"/>
            </w:tcBorders>
            <w:shd w:val="clear" w:color="auto" w:fill="auto"/>
            <w:vAlign w:val="center"/>
          </w:tcPr>
          <w:p w14:paraId="79F596C8"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5A515A6B" w14:textId="77777777" w:rsidTr="00670BA8">
        <w:trPr>
          <w:trHeight w:val="20"/>
        </w:trPr>
        <w:tc>
          <w:tcPr>
            <w:tcW w:w="3560" w:type="dxa"/>
            <w:gridSpan w:val="2"/>
            <w:tcBorders>
              <w:top w:val="nil"/>
              <w:left w:val="nil"/>
              <w:bottom w:val="nil"/>
              <w:right w:val="nil"/>
            </w:tcBorders>
            <w:shd w:val="clear" w:color="auto" w:fill="auto"/>
            <w:vAlign w:val="center"/>
          </w:tcPr>
          <w:p w14:paraId="561F282F"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Green Meadows</w:t>
            </w:r>
          </w:p>
        </w:tc>
        <w:tc>
          <w:tcPr>
            <w:tcW w:w="1512" w:type="dxa"/>
            <w:tcBorders>
              <w:top w:val="nil"/>
              <w:left w:val="nil"/>
              <w:bottom w:val="nil"/>
              <w:right w:val="nil"/>
            </w:tcBorders>
            <w:shd w:val="clear" w:color="auto" w:fill="auto"/>
            <w:vAlign w:val="center"/>
          </w:tcPr>
          <w:p w14:paraId="045583EC"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1</w:t>
            </w:r>
          </w:p>
        </w:tc>
        <w:tc>
          <w:tcPr>
            <w:tcW w:w="1394" w:type="dxa"/>
            <w:gridSpan w:val="2"/>
            <w:tcBorders>
              <w:top w:val="nil"/>
              <w:left w:val="nil"/>
              <w:bottom w:val="nil"/>
              <w:right w:val="nil"/>
            </w:tcBorders>
            <w:shd w:val="clear" w:color="auto" w:fill="auto"/>
            <w:vAlign w:val="center"/>
          </w:tcPr>
          <w:p w14:paraId="5FB296FA"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 xml:space="preserve">        852,187 </w:t>
            </w:r>
          </w:p>
        </w:tc>
        <w:tc>
          <w:tcPr>
            <w:tcW w:w="1062" w:type="dxa"/>
            <w:tcBorders>
              <w:top w:val="nil"/>
              <w:left w:val="nil"/>
              <w:bottom w:val="nil"/>
              <w:right w:val="nil"/>
            </w:tcBorders>
            <w:shd w:val="clear" w:color="auto" w:fill="auto"/>
            <w:vAlign w:val="center"/>
          </w:tcPr>
          <w:p w14:paraId="6156CF08"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14B1B16A" w14:textId="77777777" w:rsidTr="00670BA8">
        <w:trPr>
          <w:trHeight w:val="20"/>
        </w:trPr>
        <w:tc>
          <w:tcPr>
            <w:tcW w:w="3560" w:type="dxa"/>
            <w:gridSpan w:val="2"/>
            <w:tcBorders>
              <w:top w:val="nil"/>
              <w:left w:val="nil"/>
              <w:bottom w:val="nil"/>
              <w:right w:val="nil"/>
            </w:tcBorders>
            <w:shd w:val="clear" w:color="auto" w:fill="auto"/>
            <w:vAlign w:val="center"/>
          </w:tcPr>
          <w:p w14:paraId="7E06A604"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San Lorenzo South – Phase I</w:t>
            </w:r>
          </w:p>
        </w:tc>
        <w:tc>
          <w:tcPr>
            <w:tcW w:w="1512" w:type="dxa"/>
            <w:tcBorders>
              <w:top w:val="nil"/>
              <w:left w:val="nil"/>
              <w:bottom w:val="nil"/>
              <w:right w:val="nil"/>
            </w:tcBorders>
            <w:shd w:val="clear" w:color="auto" w:fill="auto"/>
            <w:vAlign w:val="center"/>
          </w:tcPr>
          <w:p w14:paraId="601BDDEA"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5</w:t>
            </w:r>
          </w:p>
        </w:tc>
        <w:tc>
          <w:tcPr>
            <w:tcW w:w="1394" w:type="dxa"/>
            <w:gridSpan w:val="2"/>
            <w:tcBorders>
              <w:top w:val="nil"/>
              <w:left w:val="nil"/>
              <w:bottom w:val="nil"/>
              <w:right w:val="nil"/>
            </w:tcBorders>
            <w:shd w:val="clear" w:color="auto" w:fill="auto"/>
            <w:vAlign w:val="center"/>
          </w:tcPr>
          <w:p w14:paraId="281D3A98"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        789,957 </w:t>
            </w:r>
          </w:p>
        </w:tc>
        <w:tc>
          <w:tcPr>
            <w:tcW w:w="1062" w:type="dxa"/>
            <w:tcBorders>
              <w:top w:val="nil"/>
              <w:left w:val="nil"/>
              <w:bottom w:val="nil"/>
              <w:right w:val="nil"/>
            </w:tcBorders>
            <w:shd w:val="clear" w:color="auto" w:fill="auto"/>
            <w:vAlign w:val="center"/>
          </w:tcPr>
          <w:p w14:paraId="045D91DE"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w:t>
            </w:r>
          </w:p>
        </w:tc>
      </w:tr>
      <w:tr w:rsidR="007D7EEA" w:rsidRPr="00663D1C" w14:paraId="269E9A2E" w14:textId="77777777" w:rsidTr="00670BA8">
        <w:trPr>
          <w:trHeight w:val="20"/>
        </w:trPr>
        <w:tc>
          <w:tcPr>
            <w:tcW w:w="3560" w:type="dxa"/>
            <w:gridSpan w:val="2"/>
            <w:tcBorders>
              <w:top w:val="nil"/>
              <w:left w:val="nil"/>
              <w:bottom w:val="nil"/>
              <w:right w:val="nil"/>
            </w:tcBorders>
            <w:shd w:val="clear" w:color="auto" w:fill="auto"/>
            <w:vAlign w:val="center"/>
          </w:tcPr>
          <w:p w14:paraId="7FEFF915" w14:textId="77777777" w:rsidR="007D7EEA" w:rsidRPr="00670BA8" w:rsidRDefault="00DD2A4D">
            <w:pPr>
              <w:spacing w:after="0" w:line="240" w:lineRule="auto"/>
              <w:rPr>
                <w:rFonts w:ascii="Arial" w:eastAsia="Times New Roman" w:hAnsi="Arial" w:cs="Arial"/>
                <w:color w:val="000000"/>
                <w:sz w:val="20"/>
                <w:szCs w:val="18"/>
                <w:lang w:val="en-PH" w:eastAsia="en-PH"/>
              </w:rPr>
            </w:pPr>
            <w:proofErr w:type="spellStart"/>
            <w:r w:rsidRPr="00670BA8">
              <w:rPr>
                <w:rFonts w:ascii="Arial" w:eastAsia="Times New Roman" w:hAnsi="Arial" w:cs="Arial"/>
                <w:color w:val="000000"/>
                <w:sz w:val="20"/>
                <w:szCs w:val="18"/>
                <w:lang w:eastAsia="en-PH"/>
              </w:rPr>
              <w:t>Northmatrix</w:t>
            </w:r>
            <w:proofErr w:type="spellEnd"/>
            <w:r w:rsidRPr="00670BA8">
              <w:rPr>
                <w:rFonts w:ascii="Arial" w:eastAsia="Times New Roman" w:hAnsi="Arial" w:cs="Arial"/>
                <w:color w:val="000000"/>
                <w:sz w:val="20"/>
                <w:szCs w:val="18"/>
                <w:lang w:eastAsia="en-PH"/>
              </w:rPr>
              <w:t xml:space="preserve"> Ville 1</w:t>
            </w:r>
          </w:p>
        </w:tc>
        <w:tc>
          <w:tcPr>
            <w:tcW w:w="1512" w:type="dxa"/>
            <w:tcBorders>
              <w:top w:val="nil"/>
              <w:left w:val="nil"/>
              <w:bottom w:val="nil"/>
              <w:right w:val="nil"/>
            </w:tcBorders>
            <w:shd w:val="clear" w:color="auto" w:fill="auto"/>
            <w:vAlign w:val="center"/>
          </w:tcPr>
          <w:p w14:paraId="3433A912"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2</w:t>
            </w:r>
          </w:p>
        </w:tc>
        <w:tc>
          <w:tcPr>
            <w:tcW w:w="1394" w:type="dxa"/>
            <w:gridSpan w:val="2"/>
            <w:tcBorders>
              <w:top w:val="nil"/>
              <w:left w:val="nil"/>
              <w:bottom w:val="nil"/>
              <w:right w:val="nil"/>
            </w:tcBorders>
            <w:shd w:val="clear" w:color="auto" w:fill="auto"/>
            <w:vAlign w:val="center"/>
          </w:tcPr>
          <w:p w14:paraId="3CE9D68E"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        547,969 </w:t>
            </w:r>
          </w:p>
        </w:tc>
        <w:tc>
          <w:tcPr>
            <w:tcW w:w="1062" w:type="dxa"/>
            <w:tcBorders>
              <w:top w:val="nil"/>
              <w:left w:val="nil"/>
              <w:bottom w:val="nil"/>
              <w:right w:val="nil"/>
            </w:tcBorders>
            <w:shd w:val="clear" w:color="auto" w:fill="auto"/>
            <w:vAlign w:val="center"/>
          </w:tcPr>
          <w:p w14:paraId="71D8D635"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52D2EE43" w14:textId="77777777" w:rsidTr="00670BA8">
        <w:trPr>
          <w:trHeight w:val="20"/>
        </w:trPr>
        <w:tc>
          <w:tcPr>
            <w:tcW w:w="3560" w:type="dxa"/>
            <w:gridSpan w:val="2"/>
            <w:tcBorders>
              <w:top w:val="nil"/>
              <w:left w:val="nil"/>
              <w:bottom w:val="nil"/>
              <w:right w:val="nil"/>
            </w:tcBorders>
            <w:shd w:val="clear" w:color="auto" w:fill="auto"/>
            <w:vAlign w:val="center"/>
          </w:tcPr>
          <w:p w14:paraId="2D8D91FB"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Sta. Perpetua</w:t>
            </w:r>
          </w:p>
        </w:tc>
        <w:tc>
          <w:tcPr>
            <w:tcW w:w="1512" w:type="dxa"/>
            <w:tcBorders>
              <w:top w:val="nil"/>
              <w:left w:val="nil"/>
              <w:bottom w:val="nil"/>
              <w:right w:val="nil"/>
            </w:tcBorders>
            <w:shd w:val="clear" w:color="auto" w:fill="auto"/>
            <w:vAlign w:val="center"/>
          </w:tcPr>
          <w:p w14:paraId="2B2617A9"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2</w:t>
            </w:r>
          </w:p>
        </w:tc>
        <w:tc>
          <w:tcPr>
            <w:tcW w:w="1394" w:type="dxa"/>
            <w:gridSpan w:val="2"/>
            <w:tcBorders>
              <w:top w:val="nil"/>
              <w:left w:val="nil"/>
              <w:bottom w:val="nil"/>
              <w:right w:val="nil"/>
            </w:tcBorders>
            <w:shd w:val="clear" w:color="auto" w:fill="auto"/>
            <w:vAlign w:val="center"/>
          </w:tcPr>
          <w:p w14:paraId="6F668130"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val="en-PH" w:eastAsia="en-PH"/>
              </w:rPr>
              <w:t xml:space="preserve">        130,259 </w:t>
            </w:r>
          </w:p>
        </w:tc>
        <w:tc>
          <w:tcPr>
            <w:tcW w:w="1062" w:type="dxa"/>
            <w:tcBorders>
              <w:top w:val="nil"/>
              <w:left w:val="nil"/>
              <w:bottom w:val="nil"/>
              <w:right w:val="nil"/>
            </w:tcBorders>
            <w:shd w:val="clear" w:color="auto" w:fill="auto"/>
            <w:vAlign w:val="center"/>
          </w:tcPr>
          <w:p w14:paraId="4A7703A0"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4D5B9BB4" w14:textId="77777777" w:rsidTr="00670BA8">
        <w:trPr>
          <w:trHeight w:val="20"/>
        </w:trPr>
        <w:tc>
          <w:tcPr>
            <w:tcW w:w="3560" w:type="dxa"/>
            <w:gridSpan w:val="2"/>
            <w:tcBorders>
              <w:top w:val="nil"/>
              <w:left w:val="nil"/>
              <w:bottom w:val="nil"/>
              <w:right w:val="nil"/>
            </w:tcBorders>
            <w:shd w:val="clear" w:color="auto" w:fill="auto"/>
            <w:vAlign w:val="center"/>
          </w:tcPr>
          <w:p w14:paraId="010B51B7"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Victoria Homes</w:t>
            </w:r>
          </w:p>
        </w:tc>
        <w:tc>
          <w:tcPr>
            <w:tcW w:w="1512" w:type="dxa"/>
            <w:tcBorders>
              <w:top w:val="nil"/>
              <w:left w:val="nil"/>
              <w:bottom w:val="nil"/>
              <w:right w:val="nil"/>
            </w:tcBorders>
            <w:shd w:val="clear" w:color="auto" w:fill="auto"/>
            <w:vAlign w:val="center"/>
          </w:tcPr>
          <w:p w14:paraId="2A4A9700"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1</w:t>
            </w:r>
          </w:p>
        </w:tc>
        <w:tc>
          <w:tcPr>
            <w:tcW w:w="1394" w:type="dxa"/>
            <w:gridSpan w:val="2"/>
            <w:tcBorders>
              <w:top w:val="nil"/>
              <w:left w:val="nil"/>
              <w:bottom w:val="nil"/>
              <w:right w:val="nil"/>
            </w:tcBorders>
            <w:shd w:val="clear" w:color="auto" w:fill="auto"/>
            <w:vAlign w:val="center"/>
          </w:tcPr>
          <w:p w14:paraId="0A8F935A"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 xml:space="preserve">          35,703 </w:t>
            </w:r>
          </w:p>
        </w:tc>
        <w:tc>
          <w:tcPr>
            <w:tcW w:w="1062" w:type="dxa"/>
            <w:tcBorders>
              <w:top w:val="nil"/>
              <w:left w:val="nil"/>
              <w:bottom w:val="nil"/>
              <w:right w:val="nil"/>
            </w:tcBorders>
            <w:shd w:val="clear" w:color="auto" w:fill="auto"/>
            <w:vAlign w:val="center"/>
          </w:tcPr>
          <w:p w14:paraId="41149316"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244A3771" w14:textId="77777777" w:rsidTr="00670BA8">
        <w:trPr>
          <w:trHeight w:val="20"/>
        </w:trPr>
        <w:tc>
          <w:tcPr>
            <w:tcW w:w="3560" w:type="dxa"/>
            <w:gridSpan w:val="2"/>
            <w:tcBorders>
              <w:top w:val="nil"/>
              <w:left w:val="nil"/>
              <w:bottom w:val="nil"/>
              <w:right w:val="nil"/>
            </w:tcBorders>
            <w:shd w:val="clear" w:color="auto" w:fill="auto"/>
            <w:vAlign w:val="center"/>
          </w:tcPr>
          <w:p w14:paraId="4E712F57"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San Mateo</w:t>
            </w:r>
          </w:p>
        </w:tc>
        <w:tc>
          <w:tcPr>
            <w:tcW w:w="1512" w:type="dxa"/>
            <w:tcBorders>
              <w:top w:val="nil"/>
              <w:left w:val="nil"/>
              <w:bottom w:val="nil"/>
              <w:right w:val="nil"/>
            </w:tcBorders>
            <w:shd w:val="clear" w:color="auto" w:fill="auto"/>
            <w:vAlign w:val="center"/>
          </w:tcPr>
          <w:p w14:paraId="67320C79"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1</w:t>
            </w:r>
          </w:p>
        </w:tc>
        <w:tc>
          <w:tcPr>
            <w:tcW w:w="1394" w:type="dxa"/>
            <w:gridSpan w:val="2"/>
            <w:tcBorders>
              <w:top w:val="nil"/>
              <w:left w:val="nil"/>
              <w:bottom w:val="nil"/>
              <w:right w:val="nil"/>
            </w:tcBorders>
            <w:shd w:val="clear" w:color="auto" w:fill="auto"/>
            <w:vAlign w:val="center"/>
          </w:tcPr>
          <w:p w14:paraId="06155F11"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 xml:space="preserve">          26,414 </w:t>
            </w:r>
          </w:p>
        </w:tc>
        <w:tc>
          <w:tcPr>
            <w:tcW w:w="1062" w:type="dxa"/>
            <w:tcBorders>
              <w:top w:val="nil"/>
              <w:left w:val="nil"/>
              <w:bottom w:val="nil"/>
              <w:right w:val="nil"/>
            </w:tcBorders>
            <w:shd w:val="clear" w:color="auto" w:fill="auto"/>
            <w:vAlign w:val="center"/>
          </w:tcPr>
          <w:p w14:paraId="7CECD23C"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7FFA896A" w14:textId="77777777" w:rsidTr="00670BA8">
        <w:trPr>
          <w:trHeight w:val="20"/>
        </w:trPr>
        <w:tc>
          <w:tcPr>
            <w:tcW w:w="3560" w:type="dxa"/>
            <w:gridSpan w:val="2"/>
            <w:tcBorders>
              <w:top w:val="nil"/>
              <w:left w:val="nil"/>
              <w:bottom w:val="nil"/>
              <w:right w:val="nil"/>
            </w:tcBorders>
            <w:shd w:val="clear" w:color="auto" w:fill="auto"/>
            <w:vAlign w:val="center"/>
          </w:tcPr>
          <w:p w14:paraId="4E3DB667"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San Lorenzo South – Villa de Toledo</w:t>
            </w:r>
          </w:p>
        </w:tc>
        <w:tc>
          <w:tcPr>
            <w:tcW w:w="1512" w:type="dxa"/>
            <w:tcBorders>
              <w:top w:val="nil"/>
              <w:left w:val="nil"/>
              <w:bottom w:val="nil"/>
              <w:right w:val="nil"/>
            </w:tcBorders>
            <w:shd w:val="clear" w:color="auto" w:fill="auto"/>
            <w:vAlign w:val="center"/>
          </w:tcPr>
          <w:p w14:paraId="308B6AC8"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1</w:t>
            </w:r>
          </w:p>
        </w:tc>
        <w:tc>
          <w:tcPr>
            <w:tcW w:w="1394" w:type="dxa"/>
            <w:gridSpan w:val="2"/>
            <w:tcBorders>
              <w:top w:val="nil"/>
              <w:left w:val="nil"/>
              <w:bottom w:val="nil"/>
              <w:right w:val="nil"/>
            </w:tcBorders>
            <w:shd w:val="clear" w:color="auto" w:fill="auto"/>
            <w:vAlign w:val="center"/>
          </w:tcPr>
          <w:p w14:paraId="6F8C3A91" w14:textId="77777777" w:rsidR="007D7EEA" w:rsidRPr="00670BA8" w:rsidRDefault="00DD2A4D">
            <w:pPr>
              <w:spacing w:after="0" w:line="240" w:lineRule="auto"/>
              <w:jc w:val="right"/>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 xml:space="preserve">          2,143 </w:t>
            </w:r>
          </w:p>
        </w:tc>
        <w:tc>
          <w:tcPr>
            <w:tcW w:w="1062" w:type="dxa"/>
            <w:tcBorders>
              <w:top w:val="nil"/>
              <w:left w:val="nil"/>
              <w:bottom w:val="nil"/>
              <w:right w:val="nil"/>
            </w:tcBorders>
            <w:shd w:val="clear" w:color="auto" w:fill="auto"/>
            <w:vAlign w:val="center"/>
          </w:tcPr>
          <w:p w14:paraId="71AFCA8D"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w:t>
            </w:r>
          </w:p>
        </w:tc>
      </w:tr>
      <w:tr w:rsidR="007D7EEA" w:rsidRPr="00663D1C" w14:paraId="7BC3BD13" w14:textId="77777777" w:rsidTr="00B16877">
        <w:trPr>
          <w:trHeight w:val="288"/>
        </w:trPr>
        <w:tc>
          <w:tcPr>
            <w:tcW w:w="3560" w:type="dxa"/>
            <w:gridSpan w:val="2"/>
            <w:tcBorders>
              <w:top w:val="single" w:sz="8" w:space="0" w:color="auto"/>
              <w:left w:val="nil"/>
              <w:bottom w:val="double" w:sz="6" w:space="0" w:color="auto"/>
              <w:right w:val="nil"/>
            </w:tcBorders>
            <w:shd w:val="clear" w:color="auto" w:fill="auto"/>
            <w:vAlign w:val="center"/>
          </w:tcPr>
          <w:p w14:paraId="4976B400" w14:textId="77777777" w:rsidR="007D7EEA" w:rsidRPr="00670BA8" w:rsidRDefault="00DD2A4D">
            <w:pPr>
              <w:spacing w:after="0" w:line="240" w:lineRule="auto"/>
              <w:rPr>
                <w:rFonts w:ascii="Arial" w:eastAsia="Times New Roman" w:hAnsi="Arial" w:cs="Arial"/>
                <w:b/>
                <w:bCs/>
                <w:color w:val="000000"/>
                <w:sz w:val="20"/>
                <w:szCs w:val="18"/>
                <w:lang w:val="en-PH" w:eastAsia="en-PH"/>
              </w:rPr>
            </w:pPr>
            <w:r w:rsidRPr="00670BA8">
              <w:rPr>
                <w:rFonts w:ascii="Arial" w:eastAsia="Times New Roman" w:hAnsi="Arial" w:cs="Arial"/>
                <w:b/>
                <w:bCs/>
                <w:color w:val="000000"/>
                <w:sz w:val="20"/>
                <w:szCs w:val="18"/>
                <w:lang w:eastAsia="en-PH"/>
              </w:rPr>
              <w:t>Total</w:t>
            </w:r>
          </w:p>
        </w:tc>
        <w:tc>
          <w:tcPr>
            <w:tcW w:w="1512" w:type="dxa"/>
            <w:tcBorders>
              <w:top w:val="single" w:sz="8" w:space="0" w:color="auto"/>
              <w:left w:val="nil"/>
              <w:bottom w:val="double" w:sz="6" w:space="0" w:color="auto"/>
              <w:right w:val="nil"/>
            </w:tcBorders>
            <w:shd w:val="clear" w:color="auto" w:fill="auto"/>
            <w:vAlign w:val="center"/>
          </w:tcPr>
          <w:p w14:paraId="69E42DA7" w14:textId="77777777" w:rsidR="007D7EEA" w:rsidRPr="00670BA8" w:rsidRDefault="00DD2A4D">
            <w:pPr>
              <w:spacing w:after="0" w:line="240" w:lineRule="auto"/>
              <w:jc w:val="center"/>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 </w:t>
            </w:r>
          </w:p>
        </w:tc>
        <w:tc>
          <w:tcPr>
            <w:tcW w:w="1394" w:type="dxa"/>
            <w:gridSpan w:val="2"/>
            <w:tcBorders>
              <w:top w:val="single" w:sz="8" w:space="0" w:color="auto"/>
              <w:left w:val="nil"/>
              <w:bottom w:val="double" w:sz="6" w:space="0" w:color="auto"/>
              <w:right w:val="nil"/>
            </w:tcBorders>
            <w:shd w:val="clear" w:color="auto" w:fill="auto"/>
            <w:vAlign w:val="center"/>
          </w:tcPr>
          <w:p w14:paraId="71B84EB6" w14:textId="77777777" w:rsidR="007D7EEA" w:rsidRPr="00670BA8" w:rsidRDefault="00DD2A4D" w:rsidP="00670BA8">
            <w:pPr>
              <w:spacing w:after="0" w:line="240" w:lineRule="auto"/>
              <w:rPr>
                <w:rFonts w:ascii="Arial" w:eastAsia="Times New Roman" w:hAnsi="Arial" w:cs="Arial"/>
                <w:b/>
                <w:bCs/>
                <w:color w:val="000000"/>
                <w:sz w:val="20"/>
                <w:szCs w:val="18"/>
                <w:lang w:val="en-PH" w:eastAsia="en-PH"/>
              </w:rPr>
            </w:pPr>
            <w:r w:rsidRPr="00670BA8">
              <w:rPr>
                <w:rFonts w:ascii="Arial" w:eastAsia="Times New Roman" w:hAnsi="Arial" w:cs="Arial"/>
                <w:b/>
                <w:bCs/>
                <w:color w:val="000000"/>
                <w:sz w:val="20"/>
                <w:szCs w:val="18"/>
                <w:lang w:eastAsia="en-PH"/>
              </w:rPr>
              <w:t xml:space="preserve">P19,543,542 </w:t>
            </w:r>
          </w:p>
        </w:tc>
        <w:tc>
          <w:tcPr>
            <w:tcW w:w="1062" w:type="dxa"/>
            <w:tcBorders>
              <w:top w:val="single" w:sz="8" w:space="0" w:color="auto"/>
              <w:left w:val="nil"/>
              <w:bottom w:val="double" w:sz="6" w:space="0" w:color="auto"/>
              <w:right w:val="nil"/>
            </w:tcBorders>
            <w:shd w:val="clear" w:color="auto" w:fill="auto"/>
            <w:vAlign w:val="center"/>
          </w:tcPr>
          <w:p w14:paraId="46B07D4D" w14:textId="77777777" w:rsidR="007D7EEA" w:rsidRPr="00670BA8" w:rsidRDefault="00DD2A4D">
            <w:pPr>
              <w:spacing w:after="0" w:line="240" w:lineRule="auto"/>
              <w:rPr>
                <w:rFonts w:ascii="Arial" w:eastAsia="Times New Roman" w:hAnsi="Arial" w:cs="Arial"/>
                <w:color w:val="000000"/>
                <w:sz w:val="20"/>
                <w:szCs w:val="18"/>
                <w:lang w:val="en-PH" w:eastAsia="en-PH"/>
              </w:rPr>
            </w:pPr>
            <w:r w:rsidRPr="00670BA8">
              <w:rPr>
                <w:rFonts w:ascii="Arial" w:eastAsia="Times New Roman" w:hAnsi="Arial" w:cs="Arial"/>
                <w:color w:val="000000"/>
                <w:sz w:val="20"/>
                <w:szCs w:val="18"/>
                <w:lang w:eastAsia="en-PH"/>
              </w:rPr>
              <w:t> </w:t>
            </w:r>
          </w:p>
        </w:tc>
      </w:tr>
    </w:tbl>
    <w:p w14:paraId="1F397465"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7A330F25"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Likewise, further verification of the whereabouts of some TCTs could not be undertaken because the schedules of ICR</w:t>
      </w:r>
      <w:r w:rsidR="00765608" w:rsidRPr="0096065B">
        <w:rPr>
          <w:rFonts w:ascii="Arial" w:hAnsi="Arial" w:cs="Arial"/>
          <w:sz w:val="22"/>
          <w:szCs w:val="22"/>
        </w:rPr>
        <w:t>-current</w:t>
      </w:r>
      <w:r w:rsidRPr="0096065B">
        <w:rPr>
          <w:rFonts w:ascii="Arial" w:hAnsi="Arial" w:cs="Arial"/>
          <w:sz w:val="22"/>
          <w:szCs w:val="22"/>
        </w:rPr>
        <w:t xml:space="preserve"> and ICR-past due accounts do not provide for TCT number, and other items in the SLs are only tagged as “various accounts” with no breakdown of details. </w:t>
      </w:r>
    </w:p>
    <w:p w14:paraId="04A5892D"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eastAsia="SimSun" w:hAnsi="Arial" w:cs="Arial"/>
          <w:bCs/>
          <w:sz w:val="22"/>
          <w:szCs w:val="22"/>
          <w:lang w:eastAsia="zh-CN"/>
        </w:rPr>
        <w:lastRenderedPageBreak/>
        <w:t>Based on AFPRSBS Policy No. CPO-001-2017, it is assumed that the titles of the properties subject of the enumerated ICR</w:t>
      </w:r>
      <w:r w:rsidR="00765608" w:rsidRPr="0096065B">
        <w:rPr>
          <w:rFonts w:ascii="Arial" w:eastAsia="SimSun" w:hAnsi="Arial" w:cs="Arial"/>
          <w:bCs/>
          <w:sz w:val="22"/>
          <w:szCs w:val="22"/>
          <w:lang w:eastAsia="zh-CN"/>
        </w:rPr>
        <w:t>-current</w:t>
      </w:r>
      <w:r w:rsidRPr="0096065B">
        <w:rPr>
          <w:rFonts w:ascii="Arial" w:eastAsia="SimSun" w:hAnsi="Arial" w:cs="Arial"/>
          <w:bCs/>
          <w:sz w:val="22"/>
          <w:szCs w:val="22"/>
          <w:lang w:eastAsia="zh-CN"/>
        </w:rPr>
        <w:t xml:space="preserve"> and ICR-past due accounts should have been found in the custody of IRMD.  </w:t>
      </w:r>
      <w:r w:rsidRPr="0096065B">
        <w:rPr>
          <w:rFonts w:ascii="Arial" w:hAnsi="Arial" w:cs="Arial"/>
          <w:sz w:val="22"/>
          <w:szCs w:val="22"/>
        </w:rPr>
        <w:t>Thus</w:t>
      </w:r>
      <w:r w:rsidRPr="0096065B">
        <w:rPr>
          <w:rFonts w:ascii="Arial" w:eastAsia="SimSun" w:hAnsi="Arial" w:cs="Arial"/>
          <w:bCs/>
          <w:sz w:val="22"/>
          <w:szCs w:val="22"/>
          <w:lang w:eastAsia="zh-CN"/>
        </w:rPr>
        <w:t xml:space="preserve">, </w:t>
      </w:r>
      <w:r w:rsidRPr="0096065B">
        <w:rPr>
          <w:rFonts w:ascii="Arial" w:hAnsi="Arial" w:cs="Arial"/>
          <w:sz w:val="22"/>
          <w:szCs w:val="22"/>
        </w:rPr>
        <w:t>purchases of buyers covered by Contracts to Sell with AFPRSBS are unsecured as several TCTs relating to various ICR</w:t>
      </w:r>
      <w:r w:rsidR="00765608" w:rsidRPr="0096065B">
        <w:rPr>
          <w:rFonts w:ascii="Arial" w:hAnsi="Arial" w:cs="Arial"/>
          <w:sz w:val="22"/>
          <w:szCs w:val="22"/>
        </w:rPr>
        <w:t>-current</w:t>
      </w:r>
      <w:r w:rsidRPr="0096065B">
        <w:rPr>
          <w:rFonts w:ascii="Arial" w:hAnsi="Arial" w:cs="Arial"/>
          <w:sz w:val="22"/>
          <w:szCs w:val="22"/>
        </w:rPr>
        <w:t xml:space="preserve"> and ICR-past due accounts were neither found during the inventory of TCTs nor among the TCTs released in CY 2022.</w:t>
      </w:r>
    </w:p>
    <w:p w14:paraId="095AD1CF" w14:textId="77777777" w:rsidR="008E03D7" w:rsidRPr="0096065B" w:rsidRDefault="008E03D7">
      <w:pPr>
        <w:pStyle w:val="ListParagraph"/>
        <w:rPr>
          <w:rFonts w:ascii="Arial" w:hAnsi="Arial" w:cs="Arial"/>
          <w:sz w:val="22"/>
          <w:szCs w:val="22"/>
        </w:rPr>
      </w:pPr>
    </w:p>
    <w:p w14:paraId="65F23BE7" w14:textId="00076859" w:rsidR="007D7EEA" w:rsidRPr="0096065B" w:rsidRDefault="00DD2A4D" w:rsidP="00B16877">
      <w:pPr>
        <w:pStyle w:val="NormalWeb"/>
        <w:numPr>
          <w:ilvl w:val="0"/>
          <w:numId w:val="94"/>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recommended that Management:</w:t>
      </w:r>
    </w:p>
    <w:p w14:paraId="18F0F106" w14:textId="77777777" w:rsidR="007D7EEA" w:rsidRPr="0096065B" w:rsidRDefault="007D7EEA">
      <w:pPr>
        <w:spacing w:after="0" w:line="240" w:lineRule="auto"/>
        <w:ind w:firstLine="720"/>
        <w:jc w:val="both"/>
        <w:rPr>
          <w:rFonts w:ascii="Arial" w:hAnsi="Arial" w:cs="Arial"/>
          <w:b/>
        </w:rPr>
      </w:pPr>
    </w:p>
    <w:p w14:paraId="6E5B406E" w14:textId="77777777" w:rsidR="007D7EEA" w:rsidRPr="0096065B" w:rsidRDefault="00DD2A4D">
      <w:pPr>
        <w:pStyle w:val="ListParagraph"/>
        <w:numPr>
          <w:ilvl w:val="0"/>
          <w:numId w:val="49"/>
        </w:numPr>
        <w:ind w:left="1656"/>
        <w:jc w:val="both"/>
        <w:rPr>
          <w:rFonts w:ascii="Arial" w:hAnsi="Arial" w:cs="Arial"/>
          <w:b/>
          <w:sz w:val="22"/>
          <w:szCs w:val="22"/>
        </w:rPr>
      </w:pPr>
      <w:r w:rsidRPr="0096065B">
        <w:rPr>
          <w:rFonts w:ascii="Arial" w:hAnsi="Arial" w:cs="Arial"/>
          <w:b/>
          <w:sz w:val="22"/>
          <w:szCs w:val="22"/>
        </w:rPr>
        <w:t>Update the SLs of ICR</w:t>
      </w:r>
      <w:r w:rsidR="00765608" w:rsidRPr="0096065B">
        <w:rPr>
          <w:rFonts w:ascii="Arial" w:hAnsi="Arial" w:cs="Arial"/>
          <w:b/>
          <w:sz w:val="22"/>
          <w:szCs w:val="22"/>
        </w:rPr>
        <w:t>-current</w:t>
      </w:r>
      <w:r w:rsidRPr="0096065B">
        <w:rPr>
          <w:rFonts w:ascii="Arial" w:hAnsi="Arial" w:cs="Arial"/>
          <w:b/>
          <w:sz w:val="22"/>
          <w:szCs w:val="22"/>
        </w:rPr>
        <w:t xml:space="preserve"> and ICR-past due accounts by identifying those customers tagged as “various accounts”;</w:t>
      </w:r>
    </w:p>
    <w:p w14:paraId="3DC3A037" w14:textId="77777777" w:rsidR="007D7EEA" w:rsidRPr="0096065B" w:rsidRDefault="007D7EEA">
      <w:pPr>
        <w:pStyle w:val="ListParagraph"/>
        <w:ind w:left="1170"/>
        <w:jc w:val="both"/>
        <w:rPr>
          <w:rFonts w:ascii="Arial" w:hAnsi="Arial" w:cs="Arial"/>
          <w:b/>
          <w:sz w:val="22"/>
          <w:szCs w:val="22"/>
        </w:rPr>
      </w:pPr>
    </w:p>
    <w:p w14:paraId="14E63952" w14:textId="77777777" w:rsidR="007D7EEA" w:rsidRPr="0096065B" w:rsidRDefault="00DD2A4D">
      <w:pPr>
        <w:pStyle w:val="ListParagraph"/>
        <w:numPr>
          <w:ilvl w:val="0"/>
          <w:numId w:val="49"/>
        </w:numPr>
        <w:ind w:left="1656"/>
        <w:jc w:val="both"/>
        <w:rPr>
          <w:rFonts w:ascii="Arial" w:hAnsi="Arial" w:cs="Arial"/>
          <w:b/>
          <w:sz w:val="22"/>
          <w:szCs w:val="22"/>
        </w:rPr>
      </w:pPr>
      <w:r w:rsidRPr="0096065B">
        <w:rPr>
          <w:rFonts w:ascii="Arial" w:hAnsi="Arial" w:cs="Arial"/>
          <w:b/>
          <w:sz w:val="22"/>
          <w:szCs w:val="22"/>
        </w:rPr>
        <w:t>Coordinate with the IRMD to determine the exact details of the ICR</w:t>
      </w:r>
      <w:r w:rsidR="00765608" w:rsidRPr="0096065B">
        <w:rPr>
          <w:rFonts w:ascii="Arial" w:hAnsi="Arial" w:cs="Arial"/>
          <w:b/>
          <w:sz w:val="22"/>
          <w:szCs w:val="22"/>
        </w:rPr>
        <w:t>-current</w:t>
      </w:r>
      <w:r w:rsidRPr="0096065B">
        <w:rPr>
          <w:rFonts w:ascii="Arial" w:hAnsi="Arial" w:cs="Arial"/>
          <w:b/>
          <w:sz w:val="22"/>
          <w:szCs w:val="22"/>
        </w:rPr>
        <w:t xml:space="preserve"> and ICR-past due accounts tagged with “no data”;</w:t>
      </w:r>
    </w:p>
    <w:p w14:paraId="5F31C25F" w14:textId="77777777" w:rsidR="007D7EEA" w:rsidRPr="0096065B" w:rsidRDefault="00DD2A4D">
      <w:pPr>
        <w:pStyle w:val="ListParagraph"/>
        <w:ind w:left="1701" w:hanging="405"/>
        <w:jc w:val="both"/>
        <w:rPr>
          <w:rFonts w:ascii="Arial" w:hAnsi="Arial" w:cs="Arial"/>
          <w:b/>
          <w:sz w:val="22"/>
          <w:szCs w:val="22"/>
        </w:rPr>
      </w:pPr>
      <w:r w:rsidRPr="0096065B">
        <w:rPr>
          <w:rFonts w:ascii="Arial" w:hAnsi="Arial" w:cs="Arial"/>
          <w:b/>
          <w:sz w:val="22"/>
          <w:szCs w:val="22"/>
        </w:rPr>
        <w:t xml:space="preserve"> </w:t>
      </w:r>
    </w:p>
    <w:p w14:paraId="12FAB093" w14:textId="77777777" w:rsidR="007D7EEA" w:rsidRPr="0096065B" w:rsidRDefault="00DD2A4D">
      <w:pPr>
        <w:pStyle w:val="ListParagraph"/>
        <w:numPr>
          <w:ilvl w:val="0"/>
          <w:numId w:val="49"/>
        </w:numPr>
        <w:ind w:left="1656"/>
        <w:jc w:val="both"/>
        <w:rPr>
          <w:rFonts w:ascii="Arial" w:hAnsi="Arial" w:cs="Arial"/>
          <w:b/>
          <w:sz w:val="22"/>
          <w:szCs w:val="22"/>
        </w:rPr>
      </w:pPr>
      <w:r w:rsidRPr="0096065B">
        <w:rPr>
          <w:rFonts w:ascii="Arial" w:hAnsi="Arial" w:cs="Arial"/>
          <w:b/>
          <w:sz w:val="22"/>
          <w:szCs w:val="22"/>
        </w:rPr>
        <w:t>Require the AD and the IRMD to reconcile the list of the TCTs released with that of the ICR schedule; and</w:t>
      </w:r>
    </w:p>
    <w:p w14:paraId="3654A6C2" w14:textId="77777777" w:rsidR="007D7EEA" w:rsidRPr="0096065B" w:rsidRDefault="007D7EEA">
      <w:pPr>
        <w:pStyle w:val="ListParagraph"/>
        <w:ind w:left="1701" w:hanging="405"/>
        <w:rPr>
          <w:rFonts w:ascii="Arial" w:hAnsi="Arial" w:cs="Arial"/>
          <w:b/>
          <w:sz w:val="22"/>
          <w:szCs w:val="22"/>
        </w:rPr>
      </w:pPr>
    </w:p>
    <w:p w14:paraId="688E3285" w14:textId="77777777" w:rsidR="007D7EEA" w:rsidRPr="0096065B" w:rsidRDefault="00DD2A4D">
      <w:pPr>
        <w:pStyle w:val="ListParagraph"/>
        <w:numPr>
          <w:ilvl w:val="0"/>
          <w:numId w:val="49"/>
        </w:numPr>
        <w:ind w:left="1656"/>
        <w:jc w:val="both"/>
        <w:rPr>
          <w:rFonts w:ascii="Arial" w:hAnsi="Arial" w:cs="Arial"/>
          <w:b/>
          <w:sz w:val="22"/>
          <w:szCs w:val="22"/>
        </w:rPr>
      </w:pPr>
      <w:r w:rsidRPr="0096065B">
        <w:rPr>
          <w:rFonts w:ascii="Arial" w:hAnsi="Arial" w:cs="Arial"/>
          <w:b/>
          <w:sz w:val="22"/>
          <w:szCs w:val="22"/>
        </w:rPr>
        <w:t>Ensure that all the individual balances reflected in the ICR have corresponding TCT to secure buyers’ ownership over the property in case of full payment.</w:t>
      </w:r>
    </w:p>
    <w:p w14:paraId="3235148C" w14:textId="77777777" w:rsidR="007D7EEA" w:rsidRPr="0096065B" w:rsidRDefault="007D7EEA">
      <w:pPr>
        <w:pStyle w:val="NormalWeb"/>
        <w:spacing w:before="0" w:beforeAutospacing="0" w:after="0" w:afterAutospacing="0"/>
        <w:ind w:left="360"/>
        <w:jc w:val="both"/>
        <w:rPr>
          <w:rFonts w:ascii="Arial" w:hAnsi="Arial" w:cs="Arial"/>
          <w:sz w:val="22"/>
          <w:szCs w:val="22"/>
        </w:rPr>
      </w:pPr>
    </w:p>
    <w:p w14:paraId="39621ED8" w14:textId="77777777" w:rsidR="007D7EEA" w:rsidRPr="0096065B" w:rsidRDefault="00DD2A4D" w:rsidP="00EB778E">
      <w:pPr>
        <w:pStyle w:val="NormalWeb"/>
        <w:numPr>
          <w:ilvl w:val="0"/>
          <w:numId w:val="94"/>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Management commented that the it is continuously reconciling the SL of </w:t>
      </w:r>
      <w:r w:rsidRPr="00EB778E">
        <w:rPr>
          <w:rFonts w:ascii="Arial" w:hAnsi="Arial" w:cs="Arial"/>
          <w:sz w:val="22"/>
          <w:szCs w:val="22"/>
        </w:rPr>
        <w:t>the</w:t>
      </w:r>
      <w:r w:rsidRPr="0096065B">
        <w:rPr>
          <w:rFonts w:ascii="Arial" w:hAnsi="Arial" w:cs="Arial"/>
          <w:sz w:val="22"/>
          <w:szCs w:val="22"/>
        </w:rPr>
        <w:t xml:space="preserve"> ICR</w:t>
      </w:r>
      <w:r w:rsidR="00765608" w:rsidRPr="0096065B">
        <w:rPr>
          <w:rFonts w:ascii="Arial" w:hAnsi="Arial" w:cs="Arial"/>
          <w:sz w:val="22"/>
          <w:szCs w:val="22"/>
        </w:rPr>
        <w:t>-current</w:t>
      </w:r>
      <w:r w:rsidRPr="0096065B">
        <w:rPr>
          <w:rFonts w:ascii="Arial" w:hAnsi="Arial" w:cs="Arial"/>
          <w:sz w:val="22"/>
          <w:szCs w:val="22"/>
        </w:rPr>
        <w:t xml:space="preserve"> and ICR-past due accounts to include those accounts that were identified by the Audit Team.</w:t>
      </w:r>
    </w:p>
    <w:p w14:paraId="04461219" w14:textId="77777777" w:rsidR="007D7EEA" w:rsidRPr="0096065B" w:rsidRDefault="00DD2A4D">
      <w:pPr>
        <w:pStyle w:val="NormalWeb"/>
        <w:spacing w:before="0" w:beforeAutospacing="0" w:after="0" w:afterAutospacing="0"/>
        <w:ind w:left="1260"/>
        <w:jc w:val="both"/>
        <w:rPr>
          <w:rFonts w:ascii="Arial" w:hAnsi="Arial" w:cs="Arial"/>
          <w:sz w:val="22"/>
          <w:szCs w:val="22"/>
        </w:rPr>
      </w:pPr>
      <w:r w:rsidRPr="0096065B">
        <w:rPr>
          <w:rFonts w:ascii="Arial" w:hAnsi="Arial" w:cs="Arial"/>
          <w:sz w:val="22"/>
          <w:szCs w:val="22"/>
        </w:rPr>
        <w:t xml:space="preserve"> </w:t>
      </w:r>
    </w:p>
    <w:p w14:paraId="0F310374" w14:textId="77777777" w:rsidR="007D7EEA" w:rsidRPr="0096065B" w:rsidRDefault="00DD2A4D" w:rsidP="00EB778E">
      <w:pPr>
        <w:pStyle w:val="NormalWeb"/>
        <w:numPr>
          <w:ilvl w:val="0"/>
          <w:numId w:val="94"/>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Meanwhile, the P4.307 million and P19.544 million pertaining to the ICR-current and ICR-past due accounts are subject to further validation and the result of the reconciliation will be provided to the Audit Team once the same is completed.  </w:t>
      </w:r>
    </w:p>
    <w:p w14:paraId="665E3FB9" w14:textId="77777777" w:rsidR="007D7EEA" w:rsidRPr="0096065B" w:rsidRDefault="007D7EEA">
      <w:pPr>
        <w:pStyle w:val="NormalWeb"/>
        <w:spacing w:before="0" w:beforeAutospacing="0" w:after="0" w:afterAutospacing="0"/>
        <w:jc w:val="both"/>
        <w:rPr>
          <w:rFonts w:ascii="Arial" w:hAnsi="Arial" w:cs="Arial"/>
          <w:sz w:val="22"/>
          <w:szCs w:val="22"/>
        </w:rPr>
      </w:pPr>
    </w:p>
    <w:p w14:paraId="48BF7A18" w14:textId="77777777" w:rsidR="007D7EEA" w:rsidRPr="0096065B" w:rsidRDefault="00DD2A4D" w:rsidP="00EB778E">
      <w:pPr>
        <w:pStyle w:val="NormalWeb"/>
        <w:numPr>
          <w:ilvl w:val="0"/>
          <w:numId w:val="94"/>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For the six (6) accounts tagged with “no data”, the AD has already identified the status of five accounts. The four (4) accounts pertain to Eastridge Golf Shares with a balance of P217,678 and one (1) account for reclassification of the P2,123 balance which was only adjusted in January 2023 via LE-3003-JAN23.  The remaining account is subject to further validation.</w:t>
      </w:r>
    </w:p>
    <w:p w14:paraId="74BBB50B"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601D6E64" w14:textId="77777777" w:rsidR="007D7EEA" w:rsidRPr="0096065B" w:rsidRDefault="00DD2A4D" w:rsidP="00EB778E">
      <w:pPr>
        <w:pStyle w:val="NormalWeb"/>
        <w:numPr>
          <w:ilvl w:val="0"/>
          <w:numId w:val="94"/>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AD, IRMD and the Real Estate Group (REG) are already working on the reconciliation of the ICRs and the TCTs in the vault.  For the remaining accounts for validation, the AD and IRMD together with REG will endeavor to reconcile the list of the TCTs released with that of the ICR schedule of the AD. Also, the AD will work in coordination with the IRMD on the tracing of the TCTs for ICRs that have no TCTs in the vault, if any.</w:t>
      </w:r>
    </w:p>
    <w:p w14:paraId="6420D4DB"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5A92D04A" w14:textId="77777777" w:rsidR="007D7EEA" w:rsidRPr="0096065B" w:rsidRDefault="00DD2A4D" w:rsidP="00EB778E">
      <w:pPr>
        <w:pStyle w:val="NormalWeb"/>
        <w:numPr>
          <w:ilvl w:val="0"/>
          <w:numId w:val="94"/>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As a rejoinder, the Audit Team will closely monitor and evaluate the Management’s actions on the audit recommendations, accordingly.</w:t>
      </w:r>
    </w:p>
    <w:p w14:paraId="4D4D94F4" w14:textId="77777777" w:rsidR="007D7EEA" w:rsidRPr="0096065B" w:rsidRDefault="007D7EEA">
      <w:pPr>
        <w:pStyle w:val="NormalWeb"/>
        <w:spacing w:before="0" w:beforeAutospacing="0" w:after="0" w:afterAutospacing="0"/>
        <w:ind w:left="360"/>
        <w:jc w:val="both"/>
        <w:rPr>
          <w:rFonts w:ascii="Arial" w:hAnsi="Arial" w:cs="Arial"/>
          <w:b/>
          <w:sz w:val="22"/>
          <w:szCs w:val="22"/>
        </w:rPr>
      </w:pPr>
    </w:p>
    <w:p w14:paraId="345827F6" w14:textId="03D60033" w:rsidR="007D7EEA" w:rsidRDefault="007D7EEA">
      <w:pPr>
        <w:pStyle w:val="NormalWeb"/>
        <w:spacing w:before="0" w:beforeAutospacing="0" w:after="0" w:afterAutospacing="0"/>
        <w:ind w:left="360"/>
        <w:jc w:val="both"/>
        <w:rPr>
          <w:rFonts w:ascii="Arial" w:hAnsi="Arial" w:cs="Arial"/>
          <w:b/>
          <w:sz w:val="22"/>
          <w:szCs w:val="22"/>
        </w:rPr>
      </w:pPr>
    </w:p>
    <w:p w14:paraId="4B9AD259" w14:textId="77777777" w:rsidR="005B16E8" w:rsidRPr="0096065B" w:rsidRDefault="005B16E8">
      <w:pPr>
        <w:pStyle w:val="NormalWeb"/>
        <w:spacing w:before="0" w:beforeAutospacing="0" w:after="0" w:afterAutospacing="0"/>
        <w:ind w:left="360"/>
        <w:jc w:val="both"/>
        <w:rPr>
          <w:rFonts w:ascii="Arial" w:hAnsi="Arial" w:cs="Arial"/>
          <w:b/>
          <w:sz w:val="22"/>
          <w:szCs w:val="22"/>
        </w:rPr>
      </w:pPr>
    </w:p>
    <w:p w14:paraId="3501E19C"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lang w:val="en-PH"/>
        </w:rPr>
      </w:pPr>
      <w:r w:rsidRPr="0096065B">
        <w:rPr>
          <w:rFonts w:ascii="Arial" w:hAnsi="Arial" w:cs="Arial"/>
          <w:b/>
          <w:sz w:val="22"/>
          <w:szCs w:val="22"/>
          <w:lang w:val="en-PH"/>
        </w:rPr>
        <w:lastRenderedPageBreak/>
        <w:t>Dormant AR totaling P960.928 million have remained outstanding for 11 to more than 20 years, thus, deprives the AFPRSBS of funds for its accelerated refund and payment of other obligations, contrary to COA Circular No. 2016-005.</w:t>
      </w:r>
    </w:p>
    <w:p w14:paraId="2438DDF6" w14:textId="77777777" w:rsidR="007D7EEA" w:rsidRPr="0096065B" w:rsidRDefault="007D7EEA">
      <w:pPr>
        <w:pStyle w:val="NormalWeb"/>
        <w:spacing w:before="0" w:beforeAutospacing="0" w:after="0" w:afterAutospacing="0"/>
        <w:ind w:left="540"/>
        <w:jc w:val="both"/>
        <w:rPr>
          <w:rFonts w:ascii="Arial" w:hAnsi="Arial" w:cs="Arial"/>
          <w:b/>
          <w:sz w:val="22"/>
          <w:szCs w:val="22"/>
        </w:rPr>
      </w:pPr>
    </w:p>
    <w:p w14:paraId="34A7FA5D" w14:textId="7CD9EE64"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This is a reiteration with modifications of PY’s AO as embodied in </w:t>
      </w:r>
      <w:r w:rsidR="006F5114" w:rsidRPr="0096065B">
        <w:rPr>
          <w:rFonts w:ascii="Arial" w:hAnsi="Arial" w:cs="Arial"/>
          <w:sz w:val="22"/>
          <w:szCs w:val="22"/>
        </w:rPr>
        <w:t xml:space="preserve">the </w:t>
      </w:r>
      <w:r w:rsidRPr="0096065B">
        <w:rPr>
          <w:rFonts w:ascii="Arial" w:hAnsi="Arial" w:cs="Arial"/>
          <w:sz w:val="22"/>
          <w:szCs w:val="22"/>
        </w:rPr>
        <w:t>CY 2019 AAR.</w:t>
      </w:r>
    </w:p>
    <w:p w14:paraId="2B3C8D04" w14:textId="77777777" w:rsidR="007D7EEA" w:rsidRPr="0096065B" w:rsidRDefault="007D7EEA">
      <w:pPr>
        <w:spacing w:after="0" w:line="240" w:lineRule="auto"/>
        <w:jc w:val="both"/>
        <w:rPr>
          <w:rFonts w:ascii="Arial" w:hAnsi="Arial" w:cs="Arial"/>
          <w:b/>
        </w:rPr>
      </w:pPr>
    </w:p>
    <w:p w14:paraId="4CFA9404"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COA Circular No. 2016-005 dated December 19, 2016 provides the Guidelines and Procedures on the Write-Off of Dormant Receivable Accounts, Unliquidated Cash Advances and Fund Transfers of National Government Agencies, Local Government Units and GOCCs.  Section 5 of the said Circular defined the following terms:</w:t>
      </w:r>
    </w:p>
    <w:p w14:paraId="440D34D2" w14:textId="77777777" w:rsidR="007D7EEA" w:rsidRPr="0096065B" w:rsidRDefault="007D7EEA">
      <w:pPr>
        <w:spacing w:after="0" w:line="240" w:lineRule="auto"/>
        <w:ind w:left="720"/>
        <w:jc w:val="both"/>
        <w:rPr>
          <w:rFonts w:ascii="Arial" w:hAnsi="Arial" w:cs="Arial"/>
        </w:rPr>
      </w:pPr>
    </w:p>
    <w:p w14:paraId="49B02E2F" w14:textId="57E5B0D2" w:rsidR="007D7EEA" w:rsidRPr="0096065B" w:rsidRDefault="00DD2A4D">
      <w:pPr>
        <w:spacing w:after="0" w:line="240" w:lineRule="auto"/>
        <w:ind w:left="1728" w:right="432"/>
        <w:jc w:val="both"/>
        <w:rPr>
          <w:rFonts w:ascii="Arial" w:hAnsi="Arial" w:cs="Arial"/>
          <w:i/>
        </w:rPr>
      </w:pPr>
      <w:r w:rsidRPr="0096065B">
        <w:rPr>
          <w:rFonts w:ascii="Arial" w:hAnsi="Arial" w:cs="Arial"/>
          <w:i/>
        </w:rPr>
        <w:t>Xxx</w:t>
      </w:r>
    </w:p>
    <w:p w14:paraId="06E8AF5F" w14:textId="77777777" w:rsidR="007D7EEA" w:rsidRPr="0096065B" w:rsidRDefault="007D7EEA">
      <w:pPr>
        <w:spacing w:after="0" w:line="240" w:lineRule="auto"/>
        <w:ind w:left="1728" w:right="432"/>
        <w:jc w:val="both"/>
        <w:rPr>
          <w:rFonts w:ascii="Arial" w:hAnsi="Arial" w:cs="Arial"/>
          <w:i/>
        </w:rPr>
      </w:pPr>
    </w:p>
    <w:p w14:paraId="279C9160" w14:textId="77777777" w:rsidR="007D7EEA" w:rsidRPr="0096065B" w:rsidRDefault="00DD2A4D">
      <w:pPr>
        <w:spacing w:after="0" w:line="240" w:lineRule="auto"/>
        <w:ind w:left="1728" w:right="432"/>
        <w:jc w:val="both"/>
        <w:rPr>
          <w:rFonts w:ascii="Arial" w:hAnsi="Arial" w:cs="Arial"/>
          <w:i/>
        </w:rPr>
      </w:pPr>
      <w:r w:rsidRPr="0096065B">
        <w:rPr>
          <w:rFonts w:ascii="Arial" w:hAnsi="Arial" w:cs="Arial"/>
          <w:i/>
        </w:rPr>
        <w:t>5.5 Dormant Receivable Accounts – accounts which balances remained inactive or non-moving in the books of accounts for 10 years or more and where settlement/collectability could no longer be ascertained.</w:t>
      </w:r>
    </w:p>
    <w:p w14:paraId="3C81DCC1" w14:textId="77777777" w:rsidR="007D7EEA" w:rsidRPr="0096065B" w:rsidRDefault="007D7EEA">
      <w:pPr>
        <w:spacing w:after="0" w:line="240" w:lineRule="auto"/>
        <w:ind w:left="1728" w:right="432"/>
        <w:jc w:val="both"/>
        <w:rPr>
          <w:rFonts w:ascii="Arial" w:hAnsi="Arial" w:cs="Arial"/>
          <w:i/>
        </w:rPr>
      </w:pPr>
    </w:p>
    <w:p w14:paraId="5CFE9986" w14:textId="77777777" w:rsidR="007D7EEA" w:rsidRPr="0096065B" w:rsidRDefault="00DD2A4D">
      <w:pPr>
        <w:spacing w:after="0" w:line="240" w:lineRule="auto"/>
        <w:ind w:left="1728" w:right="432"/>
        <w:jc w:val="both"/>
        <w:rPr>
          <w:rFonts w:ascii="Arial" w:hAnsi="Arial" w:cs="Arial"/>
          <w:i/>
        </w:rPr>
      </w:pPr>
      <w:r w:rsidRPr="0096065B">
        <w:rPr>
          <w:rFonts w:ascii="Arial" w:hAnsi="Arial" w:cs="Arial"/>
          <w:i/>
        </w:rPr>
        <w:t>Xxx</w:t>
      </w:r>
    </w:p>
    <w:p w14:paraId="2E549979" w14:textId="77777777" w:rsidR="007D7EEA" w:rsidRPr="0096065B" w:rsidRDefault="007D7EEA">
      <w:pPr>
        <w:spacing w:after="0" w:line="240" w:lineRule="auto"/>
        <w:ind w:left="1701" w:right="432"/>
        <w:jc w:val="both"/>
        <w:rPr>
          <w:rFonts w:ascii="Arial" w:hAnsi="Arial" w:cs="Arial"/>
          <w:i/>
        </w:rPr>
      </w:pPr>
    </w:p>
    <w:p w14:paraId="7E909118" w14:textId="77777777" w:rsidR="007D7EEA" w:rsidRPr="0096065B" w:rsidRDefault="00DD2A4D">
      <w:pPr>
        <w:spacing w:after="0" w:line="240" w:lineRule="auto"/>
        <w:ind w:left="1728" w:right="432"/>
        <w:jc w:val="both"/>
        <w:rPr>
          <w:rFonts w:ascii="Arial" w:hAnsi="Arial" w:cs="Arial"/>
          <w:i/>
        </w:rPr>
      </w:pPr>
      <w:r w:rsidRPr="0096065B">
        <w:rPr>
          <w:rFonts w:ascii="Arial" w:hAnsi="Arial" w:cs="Arial"/>
          <w:i/>
        </w:rPr>
        <w:t>5.9 Write-off of Dormant Accounts – the process of derecognizing the asset account and the corresponding allowance for impairment from the books of accounts and transferring the same to the Registry of Accounts Written off (RAWO). This does not mean condoning/extinguishing the obligation of the accountable officer/debtor.</w:t>
      </w:r>
    </w:p>
    <w:p w14:paraId="0B1B3344" w14:textId="77777777" w:rsidR="007D7EEA" w:rsidRPr="0096065B" w:rsidRDefault="007D7EEA">
      <w:pPr>
        <w:spacing w:after="0" w:line="240" w:lineRule="auto"/>
        <w:jc w:val="both"/>
        <w:rPr>
          <w:rFonts w:ascii="Arial" w:hAnsi="Arial" w:cs="Arial"/>
        </w:rPr>
      </w:pPr>
    </w:p>
    <w:p w14:paraId="2D8A80C2"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Moreover, Section 8.2 of the same Circular provides that the Head of the government entity shall file the request for the authority to write-off dormant receivable accounts, supported by the Schedule of dormant accounts by accountable officer/debtor/government entity and by account, certified by the accountants and approved by the Head of the government entity, together with the certified copies of relevant documents validating the existence of the conditions as enumerated in the said Circular.</w:t>
      </w:r>
    </w:p>
    <w:p w14:paraId="357A7023" w14:textId="77777777" w:rsidR="007D7EEA" w:rsidRPr="0096065B" w:rsidRDefault="007D7EEA">
      <w:pPr>
        <w:pStyle w:val="NormalWeb"/>
        <w:spacing w:before="0" w:beforeAutospacing="0" w:after="0" w:afterAutospacing="0"/>
        <w:jc w:val="both"/>
        <w:rPr>
          <w:rFonts w:ascii="Arial" w:hAnsi="Arial" w:cs="Arial"/>
          <w:sz w:val="22"/>
          <w:szCs w:val="22"/>
        </w:rPr>
      </w:pPr>
    </w:p>
    <w:p w14:paraId="352CCA81" w14:textId="3A7E8EA0"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As at December 31, 2022, the net values of Trade and other receivables, Loans receivable and Advances to subsidiaries have a total balance of P1.629 billion. Of the said receivables, AFPRSBS has dormant receivables totaling to P960.928 million which is 59 per cent of the total receivables and eight per cent of the total assets as at year-end.  Among these dormant receivables, the amount of P898.146 million are covered by collaterals and the same are subject of consolidation or foreclosure proceedings.  Details are presented in Table 1</w:t>
      </w:r>
      <w:r w:rsidR="00A57D4E" w:rsidRPr="0096065B">
        <w:rPr>
          <w:rFonts w:ascii="Arial" w:hAnsi="Arial" w:cs="Arial"/>
          <w:sz w:val="22"/>
          <w:szCs w:val="22"/>
        </w:rPr>
        <w:t>3</w:t>
      </w:r>
      <w:r w:rsidRPr="0096065B">
        <w:rPr>
          <w:rFonts w:ascii="Arial" w:hAnsi="Arial" w:cs="Arial"/>
          <w:sz w:val="22"/>
          <w:szCs w:val="22"/>
        </w:rPr>
        <w:t>.1.</w:t>
      </w:r>
    </w:p>
    <w:p w14:paraId="4AE87098" w14:textId="60B4D23C" w:rsidR="005B16E8" w:rsidRDefault="005B16E8">
      <w:pPr>
        <w:spacing w:after="0" w:line="240" w:lineRule="auto"/>
        <w:ind w:left="720"/>
        <w:jc w:val="center"/>
        <w:rPr>
          <w:rFonts w:ascii="Arial" w:hAnsi="Arial" w:cs="Arial"/>
          <w:b/>
        </w:rPr>
      </w:pPr>
    </w:p>
    <w:p w14:paraId="13F23379" w14:textId="4DAD5D1B" w:rsidR="000966CD" w:rsidRDefault="000966CD">
      <w:pPr>
        <w:spacing w:after="0" w:line="240" w:lineRule="auto"/>
        <w:ind w:left="720"/>
        <w:jc w:val="center"/>
        <w:rPr>
          <w:rFonts w:ascii="Arial" w:hAnsi="Arial" w:cs="Arial"/>
          <w:b/>
        </w:rPr>
      </w:pPr>
    </w:p>
    <w:p w14:paraId="0ED9BED6" w14:textId="527ACC0B" w:rsidR="000966CD" w:rsidRDefault="000966CD">
      <w:pPr>
        <w:spacing w:after="0" w:line="240" w:lineRule="auto"/>
        <w:ind w:left="720"/>
        <w:jc w:val="center"/>
        <w:rPr>
          <w:rFonts w:ascii="Arial" w:hAnsi="Arial" w:cs="Arial"/>
          <w:b/>
        </w:rPr>
      </w:pPr>
    </w:p>
    <w:p w14:paraId="4BF29398" w14:textId="341500A4" w:rsidR="000966CD" w:rsidRDefault="000966CD">
      <w:pPr>
        <w:spacing w:after="0" w:line="240" w:lineRule="auto"/>
        <w:ind w:left="720"/>
        <w:jc w:val="center"/>
        <w:rPr>
          <w:rFonts w:ascii="Arial" w:hAnsi="Arial" w:cs="Arial"/>
          <w:b/>
        </w:rPr>
      </w:pPr>
    </w:p>
    <w:p w14:paraId="24C665ED" w14:textId="77777777" w:rsidR="000966CD" w:rsidRDefault="000966CD">
      <w:pPr>
        <w:spacing w:after="0" w:line="240" w:lineRule="auto"/>
        <w:ind w:left="720"/>
        <w:jc w:val="center"/>
        <w:rPr>
          <w:rFonts w:ascii="Arial" w:hAnsi="Arial" w:cs="Arial"/>
          <w:b/>
        </w:rPr>
      </w:pPr>
    </w:p>
    <w:p w14:paraId="41279B86" w14:textId="4C21E203" w:rsidR="007D7EEA" w:rsidRPr="0096065B" w:rsidRDefault="00DD2A4D">
      <w:pPr>
        <w:spacing w:after="0" w:line="240" w:lineRule="auto"/>
        <w:ind w:left="720"/>
        <w:jc w:val="center"/>
        <w:rPr>
          <w:rFonts w:ascii="Arial" w:hAnsi="Arial" w:cs="Arial"/>
          <w:b/>
        </w:rPr>
      </w:pPr>
      <w:r w:rsidRPr="0096065B">
        <w:rPr>
          <w:rFonts w:ascii="Arial" w:hAnsi="Arial" w:cs="Arial"/>
          <w:b/>
        </w:rPr>
        <w:lastRenderedPageBreak/>
        <w:t>Table 1</w:t>
      </w:r>
      <w:r w:rsidR="00A57D4E" w:rsidRPr="0096065B">
        <w:rPr>
          <w:rFonts w:ascii="Arial" w:hAnsi="Arial" w:cs="Arial"/>
          <w:b/>
        </w:rPr>
        <w:t>3</w:t>
      </w:r>
      <w:r w:rsidRPr="0096065B">
        <w:rPr>
          <w:rFonts w:ascii="Arial" w:hAnsi="Arial" w:cs="Arial"/>
          <w:b/>
        </w:rPr>
        <w:t xml:space="preserve">.1 – Aging of Dormant Receivable Accounts </w:t>
      </w:r>
    </w:p>
    <w:p w14:paraId="27863BA6" w14:textId="77777777" w:rsidR="007D7EEA" w:rsidRPr="0096065B" w:rsidRDefault="00DD2A4D">
      <w:pPr>
        <w:spacing w:after="0" w:line="240" w:lineRule="auto"/>
        <w:ind w:left="720"/>
        <w:jc w:val="center"/>
        <w:rPr>
          <w:rFonts w:ascii="Arial" w:hAnsi="Arial" w:cs="Arial"/>
          <w:b/>
        </w:rPr>
      </w:pPr>
      <w:r w:rsidRPr="0096065B">
        <w:rPr>
          <w:rFonts w:ascii="Arial" w:hAnsi="Arial" w:cs="Arial"/>
          <w:b/>
        </w:rPr>
        <w:t>As at December 31, 2022</w:t>
      </w:r>
    </w:p>
    <w:p w14:paraId="63AB0C38" w14:textId="77777777" w:rsidR="007D7EEA" w:rsidRPr="0096065B" w:rsidRDefault="007D7EEA">
      <w:pPr>
        <w:spacing w:after="0" w:line="240" w:lineRule="auto"/>
        <w:jc w:val="both"/>
        <w:rPr>
          <w:rFonts w:ascii="Arial" w:hAnsi="Arial" w:cs="Arial"/>
        </w:rPr>
      </w:pPr>
    </w:p>
    <w:tbl>
      <w:tblPr>
        <w:tblW w:w="8280" w:type="dxa"/>
        <w:tblInd w:w="360" w:type="dxa"/>
        <w:tblLayout w:type="fixed"/>
        <w:tblCellMar>
          <w:left w:w="43" w:type="dxa"/>
          <w:right w:w="43" w:type="dxa"/>
        </w:tblCellMar>
        <w:tblLook w:val="04A0" w:firstRow="1" w:lastRow="0" w:firstColumn="1" w:lastColumn="0" w:noHBand="0" w:noVBand="1"/>
      </w:tblPr>
      <w:tblGrid>
        <w:gridCol w:w="2610"/>
        <w:gridCol w:w="180"/>
        <w:gridCol w:w="720"/>
        <w:gridCol w:w="1260"/>
        <w:gridCol w:w="1260"/>
        <w:gridCol w:w="1080"/>
        <w:gridCol w:w="1170"/>
      </w:tblGrid>
      <w:tr w:rsidR="007D7EEA" w14:paraId="06FD5660" w14:textId="77777777">
        <w:trPr>
          <w:trHeight w:val="190"/>
          <w:tblHeader/>
        </w:trPr>
        <w:tc>
          <w:tcPr>
            <w:tcW w:w="2610" w:type="dxa"/>
            <w:vMerge w:val="restart"/>
            <w:tcBorders>
              <w:top w:val="single" w:sz="8" w:space="0" w:color="auto"/>
              <w:left w:val="nil"/>
              <w:right w:val="nil"/>
            </w:tcBorders>
            <w:shd w:val="clear" w:color="auto" w:fill="auto"/>
            <w:vAlign w:val="center"/>
          </w:tcPr>
          <w:p w14:paraId="3400B409" w14:textId="77777777" w:rsidR="007D7EEA" w:rsidRDefault="00DD2A4D">
            <w:pPr>
              <w:spacing w:after="0" w:line="240" w:lineRule="auto"/>
              <w:jc w:val="center"/>
              <w:rPr>
                <w:rFonts w:ascii="Arial" w:eastAsia="Times New Roman" w:hAnsi="Arial" w:cs="Arial"/>
                <w:color w:val="000000" w:themeColor="text1"/>
                <w:sz w:val="18"/>
                <w:szCs w:val="18"/>
              </w:rPr>
            </w:pPr>
            <w:r>
              <w:rPr>
                <w:rFonts w:ascii="Arial" w:eastAsia="Times New Roman" w:hAnsi="Arial" w:cs="Arial"/>
                <w:b/>
                <w:bCs/>
                <w:color w:val="000000" w:themeColor="text1"/>
                <w:sz w:val="18"/>
                <w:szCs w:val="18"/>
              </w:rPr>
              <w:t>Account</w:t>
            </w:r>
          </w:p>
        </w:tc>
        <w:tc>
          <w:tcPr>
            <w:tcW w:w="900" w:type="dxa"/>
            <w:gridSpan w:val="2"/>
            <w:vMerge w:val="restart"/>
            <w:tcBorders>
              <w:top w:val="single" w:sz="8" w:space="0" w:color="auto"/>
              <w:left w:val="nil"/>
              <w:right w:val="nil"/>
            </w:tcBorders>
            <w:vAlign w:val="center"/>
          </w:tcPr>
          <w:p w14:paraId="1A078222" w14:textId="77777777" w:rsidR="007D7EEA" w:rsidRDefault="00DD2A4D">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No. of accounts</w:t>
            </w:r>
          </w:p>
        </w:tc>
        <w:tc>
          <w:tcPr>
            <w:tcW w:w="1260" w:type="dxa"/>
            <w:vMerge w:val="restart"/>
            <w:tcBorders>
              <w:top w:val="single" w:sz="8" w:space="0" w:color="auto"/>
              <w:left w:val="nil"/>
              <w:right w:val="nil"/>
            </w:tcBorders>
            <w:vAlign w:val="center"/>
          </w:tcPr>
          <w:p w14:paraId="2D18030E" w14:textId="77777777" w:rsidR="007D7EEA" w:rsidRDefault="00DD2A4D">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Amount</w:t>
            </w:r>
          </w:p>
        </w:tc>
        <w:tc>
          <w:tcPr>
            <w:tcW w:w="3510" w:type="dxa"/>
            <w:gridSpan w:val="3"/>
            <w:tcBorders>
              <w:top w:val="single" w:sz="8" w:space="0" w:color="auto"/>
              <w:left w:val="nil"/>
              <w:bottom w:val="single" w:sz="8" w:space="0" w:color="auto"/>
              <w:right w:val="nil"/>
            </w:tcBorders>
            <w:shd w:val="clear" w:color="auto" w:fill="auto"/>
            <w:noWrap/>
            <w:vAlign w:val="center"/>
          </w:tcPr>
          <w:p w14:paraId="0D3A0C7A" w14:textId="77777777" w:rsidR="007D7EEA" w:rsidRDefault="00DD2A4D">
            <w:pPr>
              <w:spacing w:after="0" w:line="240" w:lineRule="auto"/>
              <w:jc w:val="center"/>
              <w:rPr>
                <w:rFonts w:ascii="Arial" w:eastAsia="Times New Roman" w:hAnsi="Arial" w:cs="Arial"/>
                <w:color w:val="000000" w:themeColor="text1"/>
                <w:sz w:val="18"/>
                <w:szCs w:val="18"/>
                <w:lang w:val="en-PH"/>
              </w:rPr>
            </w:pPr>
            <w:r>
              <w:rPr>
                <w:rFonts w:ascii="Arial" w:eastAsia="Times New Roman" w:hAnsi="Arial" w:cs="Arial"/>
                <w:b/>
                <w:bCs/>
                <w:color w:val="000000" w:themeColor="text1"/>
                <w:sz w:val="18"/>
                <w:szCs w:val="18"/>
              </w:rPr>
              <w:t>Aging of dormant receivable accounts</w:t>
            </w:r>
          </w:p>
        </w:tc>
      </w:tr>
      <w:tr w:rsidR="007D7EEA" w14:paraId="1AA67FC1" w14:textId="77777777">
        <w:trPr>
          <w:trHeight w:val="190"/>
          <w:tblHeader/>
        </w:trPr>
        <w:tc>
          <w:tcPr>
            <w:tcW w:w="2610" w:type="dxa"/>
            <w:vMerge/>
            <w:tcBorders>
              <w:left w:val="nil"/>
              <w:bottom w:val="single" w:sz="8" w:space="0" w:color="auto"/>
              <w:right w:val="nil"/>
            </w:tcBorders>
            <w:shd w:val="clear" w:color="auto" w:fill="auto"/>
            <w:vAlign w:val="center"/>
          </w:tcPr>
          <w:p w14:paraId="3FE7613D" w14:textId="77777777" w:rsidR="007D7EEA" w:rsidRDefault="007D7EEA">
            <w:pPr>
              <w:spacing w:after="0" w:line="240" w:lineRule="auto"/>
              <w:rPr>
                <w:rFonts w:ascii="Arial" w:eastAsia="Times New Roman" w:hAnsi="Arial" w:cs="Arial"/>
                <w:color w:val="000000" w:themeColor="text1"/>
                <w:sz w:val="18"/>
                <w:szCs w:val="18"/>
              </w:rPr>
            </w:pPr>
          </w:p>
        </w:tc>
        <w:tc>
          <w:tcPr>
            <w:tcW w:w="900" w:type="dxa"/>
            <w:gridSpan w:val="2"/>
            <w:vMerge/>
            <w:tcBorders>
              <w:left w:val="nil"/>
              <w:bottom w:val="single" w:sz="8" w:space="0" w:color="auto"/>
              <w:right w:val="nil"/>
            </w:tcBorders>
          </w:tcPr>
          <w:p w14:paraId="2A8A3C20" w14:textId="77777777" w:rsidR="007D7EEA" w:rsidRDefault="007D7EEA">
            <w:pPr>
              <w:spacing w:after="0" w:line="240" w:lineRule="auto"/>
              <w:jc w:val="center"/>
              <w:rPr>
                <w:rFonts w:ascii="Arial" w:eastAsia="Times New Roman" w:hAnsi="Arial" w:cs="Arial"/>
                <w:b/>
                <w:bCs/>
                <w:color w:val="000000" w:themeColor="text1"/>
                <w:sz w:val="18"/>
                <w:szCs w:val="18"/>
              </w:rPr>
            </w:pPr>
          </w:p>
        </w:tc>
        <w:tc>
          <w:tcPr>
            <w:tcW w:w="1260" w:type="dxa"/>
            <w:vMerge/>
            <w:tcBorders>
              <w:left w:val="nil"/>
              <w:bottom w:val="single" w:sz="8" w:space="0" w:color="auto"/>
              <w:right w:val="nil"/>
            </w:tcBorders>
          </w:tcPr>
          <w:p w14:paraId="14315EBC" w14:textId="77777777" w:rsidR="007D7EEA" w:rsidRDefault="007D7EEA">
            <w:pPr>
              <w:spacing w:after="0" w:line="240" w:lineRule="auto"/>
              <w:jc w:val="center"/>
              <w:rPr>
                <w:rFonts w:ascii="Arial" w:eastAsia="Times New Roman" w:hAnsi="Arial" w:cs="Arial"/>
                <w:b/>
                <w:bCs/>
                <w:color w:val="000000" w:themeColor="text1"/>
                <w:sz w:val="18"/>
                <w:szCs w:val="18"/>
              </w:rPr>
            </w:pPr>
          </w:p>
        </w:tc>
        <w:tc>
          <w:tcPr>
            <w:tcW w:w="1260" w:type="dxa"/>
            <w:tcBorders>
              <w:top w:val="single" w:sz="8" w:space="0" w:color="auto"/>
              <w:left w:val="nil"/>
              <w:bottom w:val="single" w:sz="8" w:space="0" w:color="auto"/>
              <w:right w:val="nil"/>
            </w:tcBorders>
            <w:shd w:val="clear" w:color="auto" w:fill="auto"/>
            <w:noWrap/>
            <w:vAlign w:val="center"/>
          </w:tcPr>
          <w:p w14:paraId="450C143C" w14:textId="77777777" w:rsidR="007D7EEA" w:rsidRDefault="00DD2A4D">
            <w:pPr>
              <w:spacing w:after="0" w:line="240" w:lineRule="auto"/>
              <w:jc w:val="center"/>
              <w:rPr>
                <w:rFonts w:ascii="Arial" w:eastAsia="Times New Roman" w:hAnsi="Arial" w:cs="Arial"/>
                <w:b/>
                <w:bCs/>
                <w:color w:val="000000" w:themeColor="text1"/>
                <w:sz w:val="18"/>
                <w:szCs w:val="18"/>
                <w:lang w:val="en-PH"/>
              </w:rPr>
            </w:pPr>
            <w:r>
              <w:rPr>
                <w:rFonts w:ascii="Arial" w:eastAsia="Times New Roman" w:hAnsi="Arial" w:cs="Arial"/>
                <w:b/>
                <w:bCs/>
                <w:color w:val="000000" w:themeColor="text1"/>
                <w:sz w:val="18"/>
                <w:szCs w:val="18"/>
              </w:rPr>
              <w:t>11 to 15 years</w:t>
            </w:r>
          </w:p>
        </w:tc>
        <w:tc>
          <w:tcPr>
            <w:tcW w:w="1080" w:type="dxa"/>
            <w:tcBorders>
              <w:top w:val="single" w:sz="8" w:space="0" w:color="auto"/>
              <w:left w:val="nil"/>
              <w:bottom w:val="single" w:sz="8" w:space="0" w:color="auto"/>
              <w:right w:val="nil"/>
            </w:tcBorders>
            <w:shd w:val="clear" w:color="auto" w:fill="auto"/>
            <w:noWrap/>
            <w:vAlign w:val="center"/>
          </w:tcPr>
          <w:p w14:paraId="7B7115A3" w14:textId="77777777" w:rsidR="007D7EEA" w:rsidRDefault="00DD2A4D">
            <w:pPr>
              <w:spacing w:after="0" w:line="240" w:lineRule="auto"/>
              <w:jc w:val="center"/>
              <w:rPr>
                <w:rFonts w:ascii="Arial" w:eastAsia="Times New Roman" w:hAnsi="Arial" w:cs="Arial"/>
                <w:b/>
                <w:bCs/>
                <w:color w:val="000000" w:themeColor="text1"/>
                <w:sz w:val="18"/>
                <w:szCs w:val="18"/>
                <w:lang w:val="en-PH"/>
              </w:rPr>
            </w:pPr>
            <w:r>
              <w:rPr>
                <w:rFonts w:ascii="Arial" w:eastAsia="Times New Roman" w:hAnsi="Arial" w:cs="Arial"/>
                <w:b/>
                <w:bCs/>
                <w:color w:val="000000" w:themeColor="text1"/>
                <w:sz w:val="18"/>
                <w:szCs w:val="18"/>
              </w:rPr>
              <w:t>16 to 20 years</w:t>
            </w:r>
          </w:p>
        </w:tc>
        <w:tc>
          <w:tcPr>
            <w:tcW w:w="1170" w:type="dxa"/>
            <w:tcBorders>
              <w:top w:val="single" w:sz="8" w:space="0" w:color="auto"/>
              <w:left w:val="nil"/>
              <w:bottom w:val="single" w:sz="8" w:space="0" w:color="auto"/>
              <w:right w:val="nil"/>
            </w:tcBorders>
            <w:shd w:val="clear" w:color="auto" w:fill="auto"/>
            <w:noWrap/>
            <w:vAlign w:val="center"/>
          </w:tcPr>
          <w:p w14:paraId="3C58183C" w14:textId="77777777" w:rsidR="007D7EEA" w:rsidRDefault="00DD2A4D">
            <w:pPr>
              <w:spacing w:after="0" w:line="240" w:lineRule="auto"/>
              <w:jc w:val="center"/>
              <w:rPr>
                <w:rFonts w:ascii="Arial" w:eastAsia="Times New Roman" w:hAnsi="Arial" w:cs="Arial"/>
                <w:b/>
                <w:bCs/>
                <w:color w:val="000000" w:themeColor="text1"/>
                <w:sz w:val="18"/>
                <w:szCs w:val="18"/>
                <w:lang w:val="en-PH"/>
              </w:rPr>
            </w:pPr>
            <w:r>
              <w:rPr>
                <w:rFonts w:ascii="Arial" w:eastAsia="Times New Roman" w:hAnsi="Arial" w:cs="Arial"/>
                <w:b/>
                <w:bCs/>
                <w:color w:val="000000" w:themeColor="text1"/>
                <w:sz w:val="18"/>
                <w:szCs w:val="18"/>
              </w:rPr>
              <w:t>more than 20 years</w:t>
            </w:r>
          </w:p>
        </w:tc>
      </w:tr>
      <w:tr w:rsidR="007D7EEA" w14:paraId="2C10DE0D" w14:textId="77777777">
        <w:trPr>
          <w:trHeight w:val="20"/>
        </w:trPr>
        <w:tc>
          <w:tcPr>
            <w:tcW w:w="2610" w:type="dxa"/>
            <w:tcBorders>
              <w:top w:val="single" w:sz="8" w:space="0" w:color="auto"/>
              <w:left w:val="nil"/>
              <w:right w:val="nil"/>
            </w:tcBorders>
            <w:shd w:val="clear" w:color="auto" w:fill="auto"/>
            <w:noWrap/>
            <w:vAlign w:val="center"/>
          </w:tcPr>
          <w:p w14:paraId="007FCD4F" w14:textId="77777777" w:rsidR="007D7EEA" w:rsidRDefault="00DD2A4D">
            <w:pPr>
              <w:spacing w:after="0" w:line="240" w:lineRule="auto"/>
              <w:rPr>
                <w:rFonts w:ascii="Arial" w:eastAsia="Times New Roman" w:hAnsi="Arial" w:cs="Arial"/>
                <w:b/>
                <w:color w:val="000000" w:themeColor="text1"/>
                <w:sz w:val="18"/>
                <w:szCs w:val="18"/>
                <w:lang w:val="en-PH"/>
              </w:rPr>
            </w:pPr>
            <w:r>
              <w:rPr>
                <w:rFonts w:ascii="Arial" w:eastAsia="Times New Roman" w:hAnsi="Arial" w:cs="Arial"/>
                <w:b/>
                <w:color w:val="000000" w:themeColor="text1"/>
                <w:sz w:val="18"/>
                <w:szCs w:val="18"/>
              </w:rPr>
              <w:t>Secured</w:t>
            </w:r>
          </w:p>
        </w:tc>
        <w:tc>
          <w:tcPr>
            <w:tcW w:w="900" w:type="dxa"/>
            <w:gridSpan w:val="2"/>
            <w:tcBorders>
              <w:top w:val="single" w:sz="8" w:space="0" w:color="auto"/>
              <w:left w:val="nil"/>
              <w:right w:val="nil"/>
            </w:tcBorders>
            <w:vAlign w:val="center"/>
          </w:tcPr>
          <w:p w14:paraId="41F3FA09" w14:textId="77777777" w:rsidR="007D7EEA" w:rsidRDefault="007D7EEA">
            <w:pPr>
              <w:spacing w:after="0" w:line="240" w:lineRule="auto"/>
              <w:jc w:val="center"/>
              <w:rPr>
                <w:rFonts w:ascii="Arial" w:eastAsia="Times New Roman" w:hAnsi="Arial" w:cs="Arial"/>
                <w:color w:val="000000" w:themeColor="text1"/>
                <w:sz w:val="18"/>
                <w:szCs w:val="18"/>
              </w:rPr>
            </w:pPr>
          </w:p>
        </w:tc>
        <w:tc>
          <w:tcPr>
            <w:tcW w:w="1260" w:type="dxa"/>
            <w:tcBorders>
              <w:top w:val="single" w:sz="8" w:space="0" w:color="auto"/>
              <w:left w:val="nil"/>
              <w:right w:val="nil"/>
            </w:tcBorders>
            <w:vAlign w:val="center"/>
          </w:tcPr>
          <w:p w14:paraId="47CBF6CC" w14:textId="77777777" w:rsidR="007D7EEA" w:rsidRDefault="007D7EEA">
            <w:pPr>
              <w:spacing w:after="0" w:line="240" w:lineRule="auto"/>
              <w:jc w:val="right"/>
              <w:rPr>
                <w:rFonts w:ascii="Arial" w:eastAsia="Times New Roman" w:hAnsi="Arial" w:cs="Arial"/>
                <w:color w:val="000000" w:themeColor="text1"/>
                <w:sz w:val="18"/>
                <w:szCs w:val="18"/>
              </w:rPr>
            </w:pPr>
          </w:p>
        </w:tc>
        <w:tc>
          <w:tcPr>
            <w:tcW w:w="1260" w:type="dxa"/>
            <w:tcBorders>
              <w:top w:val="single" w:sz="8" w:space="0" w:color="auto"/>
              <w:left w:val="nil"/>
              <w:right w:val="nil"/>
            </w:tcBorders>
            <w:shd w:val="clear" w:color="auto" w:fill="auto"/>
            <w:noWrap/>
            <w:vAlign w:val="center"/>
          </w:tcPr>
          <w:p w14:paraId="76C7D902" w14:textId="77777777" w:rsidR="007D7EEA" w:rsidRDefault="007D7EEA">
            <w:pPr>
              <w:spacing w:after="0" w:line="240" w:lineRule="auto"/>
              <w:jc w:val="right"/>
              <w:rPr>
                <w:rFonts w:ascii="Arial" w:eastAsia="Times New Roman" w:hAnsi="Arial" w:cs="Arial"/>
                <w:color w:val="000000" w:themeColor="text1"/>
                <w:sz w:val="18"/>
                <w:szCs w:val="18"/>
                <w:lang w:val="en-PH"/>
              </w:rPr>
            </w:pPr>
          </w:p>
        </w:tc>
        <w:tc>
          <w:tcPr>
            <w:tcW w:w="1080" w:type="dxa"/>
            <w:tcBorders>
              <w:top w:val="single" w:sz="8" w:space="0" w:color="auto"/>
              <w:left w:val="nil"/>
              <w:right w:val="nil"/>
            </w:tcBorders>
            <w:shd w:val="clear" w:color="auto" w:fill="auto"/>
            <w:noWrap/>
            <w:vAlign w:val="center"/>
          </w:tcPr>
          <w:p w14:paraId="6BDD06F4" w14:textId="77777777" w:rsidR="007D7EEA" w:rsidRDefault="007D7EEA">
            <w:pPr>
              <w:spacing w:after="0" w:line="240" w:lineRule="auto"/>
              <w:jc w:val="right"/>
              <w:rPr>
                <w:rFonts w:ascii="Arial" w:eastAsia="Times New Roman" w:hAnsi="Arial" w:cs="Arial"/>
                <w:color w:val="000000" w:themeColor="text1"/>
                <w:sz w:val="18"/>
                <w:szCs w:val="18"/>
                <w:lang w:val="en-PH"/>
              </w:rPr>
            </w:pPr>
          </w:p>
        </w:tc>
        <w:tc>
          <w:tcPr>
            <w:tcW w:w="1170" w:type="dxa"/>
            <w:tcBorders>
              <w:top w:val="single" w:sz="8" w:space="0" w:color="auto"/>
              <w:left w:val="nil"/>
              <w:right w:val="nil"/>
            </w:tcBorders>
            <w:shd w:val="clear" w:color="auto" w:fill="auto"/>
            <w:noWrap/>
            <w:vAlign w:val="center"/>
          </w:tcPr>
          <w:p w14:paraId="1960A7C5" w14:textId="77777777" w:rsidR="007D7EEA" w:rsidRDefault="007D7EEA">
            <w:pPr>
              <w:spacing w:after="0" w:line="240" w:lineRule="auto"/>
              <w:jc w:val="right"/>
              <w:rPr>
                <w:rFonts w:ascii="Arial" w:eastAsia="Times New Roman" w:hAnsi="Arial" w:cs="Arial"/>
                <w:color w:val="000000" w:themeColor="text1"/>
                <w:sz w:val="18"/>
                <w:szCs w:val="18"/>
                <w:lang w:val="en-PH"/>
              </w:rPr>
            </w:pPr>
          </w:p>
        </w:tc>
      </w:tr>
      <w:tr w:rsidR="007D7EEA" w14:paraId="014C3D77" w14:textId="77777777">
        <w:trPr>
          <w:trHeight w:val="20"/>
        </w:trPr>
        <w:tc>
          <w:tcPr>
            <w:tcW w:w="2610" w:type="dxa"/>
            <w:tcBorders>
              <w:top w:val="nil"/>
              <w:left w:val="nil"/>
              <w:bottom w:val="nil"/>
              <w:right w:val="nil"/>
            </w:tcBorders>
            <w:shd w:val="clear" w:color="auto" w:fill="auto"/>
            <w:noWrap/>
            <w:vAlign w:val="center"/>
          </w:tcPr>
          <w:p w14:paraId="1E235604" w14:textId="77777777" w:rsidR="007D7EEA" w:rsidRDefault="00DD2A4D">
            <w:pPr>
              <w:spacing w:after="0" w:line="240" w:lineRule="auto"/>
              <w:ind w:left="360" w:hanging="216"/>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Accounts under litigation</w:t>
            </w:r>
          </w:p>
        </w:tc>
        <w:tc>
          <w:tcPr>
            <w:tcW w:w="900" w:type="dxa"/>
            <w:gridSpan w:val="2"/>
            <w:tcBorders>
              <w:top w:val="nil"/>
              <w:left w:val="nil"/>
              <w:bottom w:val="nil"/>
              <w:right w:val="nil"/>
            </w:tcBorders>
            <w:vAlign w:val="center"/>
          </w:tcPr>
          <w:p w14:paraId="4CA7A142" w14:textId="77777777" w:rsidR="007D7EEA" w:rsidRDefault="00DD2A4D">
            <w:pPr>
              <w:spacing w:after="0" w:line="240" w:lineRule="auto"/>
              <w:ind w:right="-144"/>
              <w:jc w:val="center"/>
              <w:rPr>
                <w:rFonts w:ascii="Arial" w:eastAsia="Times New Roman" w:hAnsi="Arial" w:cs="Arial"/>
                <w:bCs/>
                <w:color w:val="000000" w:themeColor="text1"/>
                <w:sz w:val="18"/>
                <w:szCs w:val="18"/>
                <w:lang w:val="en-PH"/>
              </w:rPr>
            </w:pPr>
            <w:r>
              <w:rPr>
                <w:rFonts w:ascii="Arial" w:eastAsia="Times New Roman" w:hAnsi="Arial" w:cs="Arial"/>
                <w:color w:val="000000" w:themeColor="text1"/>
                <w:sz w:val="18"/>
                <w:szCs w:val="18"/>
              </w:rPr>
              <w:t>8</w:t>
            </w:r>
          </w:p>
        </w:tc>
        <w:tc>
          <w:tcPr>
            <w:tcW w:w="1260" w:type="dxa"/>
            <w:tcBorders>
              <w:top w:val="nil"/>
              <w:left w:val="nil"/>
              <w:bottom w:val="nil"/>
              <w:right w:val="nil"/>
            </w:tcBorders>
            <w:vAlign w:val="center"/>
          </w:tcPr>
          <w:p w14:paraId="55E23798" w14:textId="77777777" w:rsidR="007D7EEA" w:rsidRDefault="00DD2A4D">
            <w:pPr>
              <w:spacing w:after="0" w:line="240" w:lineRule="auto"/>
              <w:ind w:left="-144"/>
              <w:jc w:val="right"/>
              <w:rPr>
                <w:rFonts w:ascii="Arial" w:eastAsia="Times New Roman" w:hAnsi="Arial" w:cs="Arial"/>
                <w:bCs/>
                <w:color w:val="000000" w:themeColor="text1"/>
                <w:sz w:val="18"/>
                <w:szCs w:val="18"/>
                <w:lang w:val="en-PH"/>
              </w:rPr>
            </w:pPr>
            <w:r>
              <w:rPr>
                <w:rFonts w:ascii="Arial" w:eastAsia="Times New Roman" w:hAnsi="Arial" w:cs="Arial"/>
                <w:color w:val="000000" w:themeColor="text1"/>
                <w:sz w:val="18"/>
                <w:szCs w:val="18"/>
              </w:rPr>
              <w:t>P 776,847,347</w:t>
            </w:r>
          </w:p>
        </w:tc>
        <w:tc>
          <w:tcPr>
            <w:tcW w:w="1260" w:type="dxa"/>
            <w:tcBorders>
              <w:top w:val="nil"/>
              <w:left w:val="nil"/>
              <w:bottom w:val="nil"/>
              <w:right w:val="nil"/>
            </w:tcBorders>
            <w:shd w:val="clear" w:color="auto" w:fill="auto"/>
            <w:noWrap/>
            <w:vAlign w:val="center"/>
          </w:tcPr>
          <w:p w14:paraId="627B9B28" w14:textId="77777777" w:rsidR="007D7EEA" w:rsidRDefault="00DD2A4D">
            <w:pPr>
              <w:spacing w:after="0" w:line="240" w:lineRule="auto"/>
              <w:ind w:left="-144"/>
              <w:jc w:val="right"/>
              <w:rPr>
                <w:rFonts w:ascii="Arial" w:eastAsia="Times New Roman" w:hAnsi="Arial" w:cs="Arial"/>
                <w:bCs/>
                <w:color w:val="000000" w:themeColor="text1"/>
                <w:sz w:val="18"/>
                <w:szCs w:val="18"/>
                <w:lang w:val="en-PH"/>
              </w:rPr>
            </w:pPr>
            <w:r>
              <w:rPr>
                <w:rFonts w:ascii="Arial" w:eastAsia="Times New Roman" w:hAnsi="Arial" w:cs="Arial"/>
                <w:color w:val="000000" w:themeColor="text1"/>
                <w:sz w:val="18"/>
                <w:szCs w:val="18"/>
              </w:rPr>
              <w:t>P 732,293,828</w:t>
            </w:r>
          </w:p>
        </w:tc>
        <w:tc>
          <w:tcPr>
            <w:tcW w:w="1080" w:type="dxa"/>
            <w:tcBorders>
              <w:top w:val="nil"/>
              <w:left w:val="nil"/>
              <w:bottom w:val="nil"/>
              <w:right w:val="nil"/>
            </w:tcBorders>
            <w:shd w:val="clear" w:color="auto" w:fill="auto"/>
            <w:noWrap/>
            <w:vAlign w:val="center"/>
          </w:tcPr>
          <w:p w14:paraId="3AFC3EAC" w14:textId="77777777" w:rsidR="007D7EEA" w:rsidRDefault="00DD2A4D">
            <w:pPr>
              <w:spacing w:after="0" w:line="240" w:lineRule="auto"/>
              <w:ind w:left="-144"/>
              <w:jc w:val="right"/>
              <w:rPr>
                <w:rFonts w:ascii="Arial" w:eastAsia="Times New Roman" w:hAnsi="Arial" w:cs="Arial"/>
                <w:bCs/>
                <w:color w:val="000000" w:themeColor="text1"/>
                <w:sz w:val="18"/>
                <w:szCs w:val="18"/>
                <w:lang w:val="en-PH"/>
              </w:rPr>
            </w:pPr>
            <w:r>
              <w:rPr>
                <w:rFonts w:ascii="Arial" w:eastAsia="Times New Roman" w:hAnsi="Arial" w:cs="Arial"/>
                <w:color w:val="000000" w:themeColor="text1"/>
                <w:sz w:val="18"/>
                <w:szCs w:val="18"/>
              </w:rPr>
              <w:t>P                0</w:t>
            </w:r>
          </w:p>
        </w:tc>
        <w:tc>
          <w:tcPr>
            <w:tcW w:w="1170" w:type="dxa"/>
            <w:tcBorders>
              <w:top w:val="nil"/>
              <w:left w:val="nil"/>
              <w:bottom w:val="nil"/>
              <w:right w:val="nil"/>
            </w:tcBorders>
            <w:shd w:val="clear" w:color="auto" w:fill="auto"/>
            <w:noWrap/>
            <w:vAlign w:val="center"/>
          </w:tcPr>
          <w:p w14:paraId="79FD30F6" w14:textId="77777777" w:rsidR="007D7EEA" w:rsidRDefault="00DD2A4D">
            <w:pPr>
              <w:spacing w:after="0" w:line="240" w:lineRule="auto"/>
              <w:ind w:left="-144"/>
              <w:jc w:val="right"/>
              <w:rPr>
                <w:rFonts w:ascii="Arial" w:eastAsia="Times New Roman" w:hAnsi="Arial" w:cs="Arial"/>
                <w:bCs/>
                <w:color w:val="000000" w:themeColor="text1"/>
                <w:sz w:val="18"/>
                <w:szCs w:val="18"/>
                <w:lang w:val="en-PH"/>
              </w:rPr>
            </w:pPr>
            <w:r>
              <w:rPr>
                <w:rFonts w:ascii="Arial" w:eastAsia="Times New Roman" w:hAnsi="Arial" w:cs="Arial"/>
                <w:color w:val="000000" w:themeColor="text1"/>
                <w:sz w:val="18"/>
                <w:szCs w:val="18"/>
              </w:rPr>
              <w:t>P  44,553,519</w:t>
            </w:r>
          </w:p>
        </w:tc>
      </w:tr>
      <w:tr w:rsidR="007D7EEA" w14:paraId="06625F36" w14:textId="77777777">
        <w:trPr>
          <w:trHeight w:val="20"/>
        </w:trPr>
        <w:tc>
          <w:tcPr>
            <w:tcW w:w="2610" w:type="dxa"/>
            <w:tcBorders>
              <w:top w:val="nil"/>
              <w:left w:val="nil"/>
              <w:bottom w:val="nil"/>
              <w:right w:val="nil"/>
            </w:tcBorders>
            <w:shd w:val="clear" w:color="auto" w:fill="auto"/>
            <w:noWrap/>
            <w:vAlign w:val="center"/>
          </w:tcPr>
          <w:p w14:paraId="64DEA784"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Past due-commercial loans</w:t>
            </w:r>
          </w:p>
        </w:tc>
        <w:tc>
          <w:tcPr>
            <w:tcW w:w="900" w:type="dxa"/>
            <w:gridSpan w:val="2"/>
            <w:tcBorders>
              <w:top w:val="nil"/>
              <w:left w:val="nil"/>
              <w:bottom w:val="nil"/>
              <w:right w:val="nil"/>
            </w:tcBorders>
            <w:vAlign w:val="center"/>
          </w:tcPr>
          <w:p w14:paraId="4CCD5004" w14:textId="77777777" w:rsidR="007D7EEA" w:rsidRDefault="00DD2A4D">
            <w:pPr>
              <w:spacing w:after="0" w:line="240" w:lineRule="auto"/>
              <w:ind w:right="-144"/>
              <w:jc w:val="center"/>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5</w:t>
            </w:r>
          </w:p>
        </w:tc>
        <w:tc>
          <w:tcPr>
            <w:tcW w:w="1260" w:type="dxa"/>
            <w:tcBorders>
              <w:top w:val="nil"/>
              <w:left w:val="nil"/>
              <w:bottom w:val="nil"/>
              <w:right w:val="nil"/>
            </w:tcBorders>
            <w:vAlign w:val="center"/>
          </w:tcPr>
          <w:p w14:paraId="7B837F51"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115,942,928</w:t>
            </w:r>
          </w:p>
        </w:tc>
        <w:tc>
          <w:tcPr>
            <w:tcW w:w="1260" w:type="dxa"/>
            <w:tcBorders>
              <w:top w:val="nil"/>
              <w:left w:val="nil"/>
              <w:bottom w:val="nil"/>
              <w:right w:val="nil"/>
            </w:tcBorders>
            <w:shd w:val="clear" w:color="auto" w:fill="auto"/>
            <w:noWrap/>
            <w:vAlign w:val="center"/>
          </w:tcPr>
          <w:p w14:paraId="7EB84CC5"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6,118,064</w:t>
            </w:r>
          </w:p>
        </w:tc>
        <w:tc>
          <w:tcPr>
            <w:tcW w:w="1080" w:type="dxa"/>
            <w:tcBorders>
              <w:top w:val="nil"/>
              <w:left w:val="nil"/>
              <w:bottom w:val="nil"/>
              <w:right w:val="nil"/>
            </w:tcBorders>
            <w:shd w:val="clear" w:color="auto" w:fill="auto"/>
            <w:noWrap/>
            <w:vAlign w:val="center"/>
          </w:tcPr>
          <w:p w14:paraId="7F6615A0"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0</w:t>
            </w:r>
          </w:p>
        </w:tc>
        <w:tc>
          <w:tcPr>
            <w:tcW w:w="1170" w:type="dxa"/>
            <w:tcBorders>
              <w:top w:val="nil"/>
              <w:left w:val="nil"/>
              <w:bottom w:val="nil"/>
              <w:right w:val="nil"/>
            </w:tcBorders>
            <w:shd w:val="clear" w:color="auto" w:fill="auto"/>
            <w:noWrap/>
            <w:vAlign w:val="center"/>
          </w:tcPr>
          <w:p w14:paraId="0A58A944"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109,824,864</w:t>
            </w:r>
          </w:p>
        </w:tc>
      </w:tr>
      <w:tr w:rsidR="007D7EEA" w14:paraId="610813E2" w14:textId="77777777">
        <w:trPr>
          <w:trHeight w:val="20"/>
        </w:trPr>
        <w:tc>
          <w:tcPr>
            <w:tcW w:w="2790" w:type="dxa"/>
            <w:gridSpan w:val="2"/>
            <w:tcBorders>
              <w:top w:val="nil"/>
              <w:left w:val="nil"/>
              <w:right w:val="nil"/>
            </w:tcBorders>
            <w:shd w:val="clear" w:color="auto" w:fill="auto"/>
            <w:noWrap/>
            <w:vAlign w:val="center"/>
          </w:tcPr>
          <w:p w14:paraId="06EB555D"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Past due-small business loans</w:t>
            </w:r>
          </w:p>
        </w:tc>
        <w:tc>
          <w:tcPr>
            <w:tcW w:w="720" w:type="dxa"/>
            <w:tcBorders>
              <w:top w:val="nil"/>
              <w:left w:val="nil"/>
              <w:right w:val="nil"/>
            </w:tcBorders>
            <w:vAlign w:val="center"/>
          </w:tcPr>
          <w:p w14:paraId="0D3693D9" w14:textId="77777777" w:rsidR="007D7EEA" w:rsidRDefault="00DD2A4D">
            <w:pPr>
              <w:spacing w:after="0" w:line="240" w:lineRule="auto"/>
              <w:ind w:right="43"/>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6</w:t>
            </w:r>
          </w:p>
        </w:tc>
        <w:tc>
          <w:tcPr>
            <w:tcW w:w="1260" w:type="dxa"/>
            <w:tcBorders>
              <w:top w:val="nil"/>
              <w:left w:val="nil"/>
              <w:right w:val="nil"/>
            </w:tcBorders>
            <w:vAlign w:val="center"/>
          </w:tcPr>
          <w:p w14:paraId="01D2B51E"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3,607,927</w:t>
            </w:r>
          </w:p>
        </w:tc>
        <w:tc>
          <w:tcPr>
            <w:tcW w:w="1260" w:type="dxa"/>
            <w:tcBorders>
              <w:top w:val="nil"/>
              <w:left w:val="nil"/>
              <w:right w:val="nil"/>
            </w:tcBorders>
            <w:shd w:val="clear" w:color="auto" w:fill="auto"/>
            <w:noWrap/>
            <w:vAlign w:val="center"/>
          </w:tcPr>
          <w:p w14:paraId="0B7AE5BE"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714,233</w:t>
            </w:r>
          </w:p>
        </w:tc>
        <w:tc>
          <w:tcPr>
            <w:tcW w:w="1080" w:type="dxa"/>
            <w:tcBorders>
              <w:top w:val="nil"/>
              <w:left w:val="nil"/>
              <w:right w:val="nil"/>
            </w:tcBorders>
            <w:shd w:val="clear" w:color="auto" w:fill="auto"/>
            <w:noWrap/>
            <w:vAlign w:val="center"/>
          </w:tcPr>
          <w:p w14:paraId="04CC5317"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lang w:val="en-PH"/>
              </w:rPr>
              <w:t>0</w:t>
            </w:r>
          </w:p>
        </w:tc>
        <w:tc>
          <w:tcPr>
            <w:tcW w:w="1170" w:type="dxa"/>
            <w:tcBorders>
              <w:top w:val="nil"/>
              <w:left w:val="nil"/>
              <w:right w:val="nil"/>
            </w:tcBorders>
            <w:shd w:val="clear" w:color="auto" w:fill="auto"/>
            <w:noWrap/>
            <w:vAlign w:val="center"/>
          </w:tcPr>
          <w:p w14:paraId="2D9C5225"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2,893,694</w:t>
            </w:r>
          </w:p>
        </w:tc>
      </w:tr>
      <w:tr w:rsidR="007D7EEA" w14:paraId="6D528578" w14:textId="77777777">
        <w:trPr>
          <w:trHeight w:val="20"/>
        </w:trPr>
        <w:tc>
          <w:tcPr>
            <w:tcW w:w="2610" w:type="dxa"/>
            <w:tcBorders>
              <w:top w:val="nil"/>
              <w:left w:val="nil"/>
              <w:bottom w:val="single" w:sz="4" w:space="0" w:color="auto"/>
              <w:right w:val="nil"/>
            </w:tcBorders>
            <w:shd w:val="clear" w:color="auto" w:fill="auto"/>
            <w:noWrap/>
            <w:vAlign w:val="center"/>
          </w:tcPr>
          <w:p w14:paraId="0DEFB220"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Past due car loan</w:t>
            </w:r>
          </w:p>
        </w:tc>
        <w:tc>
          <w:tcPr>
            <w:tcW w:w="900" w:type="dxa"/>
            <w:gridSpan w:val="2"/>
            <w:tcBorders>
              <w:top w:val="nil"/>
              <w:left w:val="nil"/>
              <w:bottom w:val="single" w:sz="4" w:space="0" w:color="auto"/>
              <w:right w:val="nil"/>
            </w:tcBorders>
            <w:vAlign w:val="center"/>
          </w:tcPr>
          <w:p w14:paraId="3F91341E" w14:textId="77777777" w:rsidR="007D7EEA" w:rsidRDefault="00DD2A4D">
            <w:pPr>
              <w:spacing w:after="0" w:line="240" w:lineRule="auto"/>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18</w:t>
            </w:r>
          </w:p>
        </w:tc>
        <w:tc>
          <w:tcPr>
            <w:tcW w:w="1260" w:type="dxa"/>
            <w:tcBorders>
              <w:top w:val="nil"/>
              <w:left w:val="nil"/>
              <w:bottom w:val="single" w:sz="4" w:space="0" w:color="auto"/>
              <w:right w:val="nil"/>
            </w:tcBorders>
            <w:vAlign w:val="center"/>
          </w:tcPr>
          <w:p w14:paraId="4089291B"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 xml:space="preserve">1,747,648 </w:t>
            </w:r>
          </w:p>
        </w:tc>
        <w:tc>
          <w:tcPr>
            <w:tcW w:w="1260" w:type="dxa"/>
            <w:tcBorders>
              <w:top w:val="nil"/>
              <w:left w:val="nil"/>
              <w:bottom w:val="single" w:sz="4" w:space="0" w:color="auto"/>
              <w:right w:val="nil"/>
            </w:tcBorders>
            <w:shd w:val="clear" w:color="auto" w:fill="auto"/>
            <w:noWrap/>
            <w:vAlign w:val="center"/>
          </w:tcPr>
          <w:p w14:paraId="68FAD237"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0</w:t>
            </w:r>
          </w:p>
        </w:tc>
        <w:tc>
          <w:tcPr>
            <w:tcW w:w="1080" w:type="dxa"/>
            <w:tcBorders>
              <w:top w:val="nil"/>
              <w:left w:val="nil"/>
              <w:bottom w:val="single" w:sz="4" w:space="0" w:color="auto"/>
              <w:right w:val="nil"/>
            </w:tcBorders>
            <w:shd w:val="clear" w:color="auto" w:fill="auto"/>
            <w:noWrap/>
            <w:vAlign w:val="center"/>
          </w:tcPr>
          <w:p w14:paraId="795F66E9"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218,225</w:t>
            </w:r>
          </w:p>
        </w:tc>
        <w:tc>
          <w:tcPr>
            <w:tcW w:w="1170" w:type="dxa"/>
            <w:tcBorders>
              <w:top w:val="nil"/>
              <w:left w:val="nil"/>
              <w:bottom w:val="single" w:sz="4" w:space="0" w:color="auto"/>
              <w:right w:val="nil"/>
            </w:tcBorders>
            <w:shd w:val="clear" w:color="auto" w:fill="auto"/>
            <w:noWrap/>
            <w:vAlign w:val="center"/>
          </w:tcPr>
          <w:p w14:paraId="5BFBFE2A"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1,529,423</w:t>
            </w:r>
          </w:p>
        </w:tc>
      </w:tr>
      <w:tr w:rsidR="007D7EEA" w14:paraId="1499F834" w14:textId="77777777">
        <w:trPr>
          <w:trHeight w:val="20"/>
        </w:trPr>
        <w:tc>
          <w:tcPr>
            <w:tcW w:w="2610" w:type="dxa"/>
            <w:tcBorders>
              <w:top w:val="single" w:sz="4" w:space="0" w:color="auto"/>
              <w:left w:val="nil"/>
              <w:bottom w:val="single" w:sz="4" w:space="0" w:color="auto"/>
              <w:right w:val="nil"/>
            </w:tcBorders>
            <w:shd w:val="clear" w:color="auto" w:fill="auto"/>
            <w:noWrap/>
            <w:vAlign w:val="center"/>
          </w:tcPr>
          <w:p w14:paraId="11D7423C" w14:textId="77777777" w:rsidR="007D7EEA" w:rsidRDefault="00DD2A4D">
            <w:pPr>
              <w:spacing w:after="0" w:line="240" w:lineRule="auto"/>
              <w:ind w:left="137" w:hanging="137"/>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Sub-total</w:t>
            </w:r>
          </w:p>
        </w:tc>
        <w:tc>
          <w:tcPr>
            <w:tcW w:w="900" w:type="dxa"/>
            <w:gridSpan w:val="2"/>
            <w:tcBorders>
              <w:top w:val="single" w:sz="4" w:space="0" w:color="auto"/>
              <w:left w:val="nil"/>
              <w:bottom w:val="single" w:sz="4" w:space="0" w:color="auto"/>
              <w:right w:val="nil"/>
            </w:tcBorders>
            <w:vAlign w:val="center"/>
          </w:tcPr>
          <w:p w14:paraId="0A14B22B" w14:textId="77777777" w:rsidR="007D7EEA" w:rsidRDefault="00DD2A4D">
            <w:pPr>
              <w:spacing w:after="0" w:line="240" w:lineRule="auto"/>
              <w:jc w:val="center"/>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fldChar w:fldCharType="begin"/>
            </w:r>
            <w:r>
              <w:rPr>
                <w:rFonts w:ascii="Arial" w:eastAsia="Times New Roman" w:hAnsi="Arial" w:cs="Arial"/>
                <w:b/>
                <w:color w:val="000000" w:themeColor="text1"/>
                <w:sz w:val="18"/>
                <w:szCs w:val="18"/>
              </w:rPr>
              <w:instrText xml:space="preserve"> =SUM(b4:b7) </w:instrText>
            </w:r>
            <w:r>
              <w:rPr>
                <w:rFonts w:ascii="Arial" w:eastAsia="Times New Roman" w:hAnsi="Arial" w:cs="Arial"/>
                <w:b/>
                <w:color w:val="000000" w:themeColor="text1"/>
                <w:sz w:val="18"/>
                <w:szCs w:val="18"/>
              </w:rPr>
              <w:fldChar w:fldCharType="separate"/>
            </w:r>
            <w:r>
              <w:rPr>
                <w:rFonts w:ascii="Arial" w:eastAsia="Times New Roman" w:hAnsi="Arial" w:cs="Arial"/>
                <w:b/>
                <w:color w:val="000000" w:themeColor="text1"/>
                <w:sz w:val="18"/>
                <w:szCs w:val="18"/>
              </w:rPr>
              <w:t>37</w:t>
            </w:r>
            <w:r>
              <w:rPr>
                <w:rFonts w:ascii="Arial" w:eastAsia="Times New Roman" w:hAnsi="Arial" w:cs="Arial"/>
                <w:b/>
                <w:color w:val="000000" w:themeColor="text1"/>
                <w:sz w:val="18"/>
                <w:szCs w:val="18"/>
              </w:rPr>
              <w:fldChar w:fldCharType="end"/>
            </w:r>
          </w:p>
        </w:tc>
        <w:tc>
          <w:tcPr>
            <w:tcW w:w="1260" w:type="dxa"/>
            <w:tcBorders>
              <w:top w:val="single" w:sz="4" w:space="0" w:color="auto"/>
              <w:left w:val="nil"/>
              <w:bottom w:val="single" w:sz="4" w:space="0" w:color="auto"/>
              <w:right w:val="nil"/>
            </w:tcBorders>
            <w:vAlign w:val="center"/>
          </w:tcPr>
          <w:p w14:paraId="5703E234"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=SUM(c4:c7)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898,145,850</w:t>
            </w:r>
            <w:r>
              <w:rPr>
                <w:rFonts w:ascii="Arial" w:eastAsia="Times New Roman" w:hAnsi="Arial" w:cs="Arial"/>
                <w:b/>
                <w:bCs/>
                <w:color w:val="000000"/>
                <w:sz w:val="18"/>
                <w:szCs w:val="18"/>
                <w:lang w:eastAsia="en-PH"/>
              </w:rPr>
              <w:fldChar w:fldCharType="end"/>
            </w:r>
          </w:p>
        </w:tc>
        <w:tc>
          <w:tcPr>
            <w:tcW w:w="1260" w:type="dxa"/>
            <w:tcBorders>
              <w:top w:val="single" w:sz="4" w:space="0" w:color="auto"/>
              <w:left w:val="nil"/>
              <w:bottom w:val="single" w:sz="4" w:space="0" w:color="auto"/>
              <w:right w:val="nil"/>
            </w:tcBorders>
            <w:shd w:val="clear" w:color="auto" w:fill="auto"/>
            <w:noWrap/>
            <w:vAlign w:val="center"/>
          </w:tcPr>
          <w:p w14:paraId="4B09C2C7" w14:textId="77777777" w:rsidR="007D7EEA" w:rsidRDefault="00DD2A4D">
            <w:pPr>
              <w:spacing w:after="0" w:line="240" w:lineRule="auto"/>
              <w:jc w:val="right"/>
              <w:rPr>
                <w:rFonts w:ascii="Arial" w:eastAsia="Times New Roman" w:hAnsi="Arial" w:cs="Arial"/>
                <w:b/>
                <w:color w:val="000000"/>
                <w:sz w:val="18"/>
                <w:szCs w:val="18"/>
                <w:lang w:val="en-PH" w:eastAsia="en-PH"/>
              </w:rPr>
            </w:pPr>
            <w:r>
              <w:rPr>
                <w:rFonts w:ascii="Arial" w:eastAsia="Times New Roman" w:hAnsi="Arial" w:cs="Arial"/>
                <w:b/>
                <w:color w:val="000000"/>
                <w:sz w:val="18"/>
                <w:szCs w:val="18"/>
                <w:lang w:val="en-PH" w:eastAsia="en-PH"/>
              </w:rPr>
              <w:fldChar w:fldCharType="begin"/>
            </w:r>
            <w:r>
              <w:rPr>
                <w:rFonts w:ascii="Arial" w:eastAsia="Times New Roman" w:hAnsi="Arial" w:cs="Arial"/>
                <w:b/>
                <w:color w:val="000000"/>
                <w:sz w:val="18"/>
                <w:szCs w:val="18"/>
                <w:lang w:val="en-PH" w:eastAsia="en-PH"/>
              </w:rPr>
              <w:instrText xml:space="preserve"> =SUM(d4:d7) </w:instrText>
            </w:r>
            <w:r>
              <w:rPr>
                <w:rFonts w:ascii="Arial" w:eastAsia="Times New Roman" w:hAnsi="Arial" w:cs="Arial"/>
                <w:b/>
                <w:color w:val="000000"/>
                <w:sz w:val="18"/>
                <w:szCs w:val="18"/>
                <w:lang w:val="en-PH" w:eastAsia="en-PH"/>
              </w:rPr>
              <w:fldChar w:fldCharType="separate"/>
            </w:r>
            <w:r>
              <w:rPr>
                <w:rFonts w:ascii="Arial" w:eastAsia="Times New Roman" w:hAnsi="Arial" w:cs="Arial"/>
                <w:b/>
                <w:color w:val="000000"/>
                <w:sz w:val="18"/>
                <w:szCs w:val="18"/>
                <w:lang w:val="en-PH" w:eastAsia="en-PH"/>
              </w:rPr>
              <w:t>739,126,125</w:t>
            </w:r>
            <w:r>
              <w:rPr>
                <w:rFonts w:ascii="Arial" w:eastAsia="Times New Roman" w:hAnsi="Arial" w:cs="Arial"/>
                <w:b/>
                <w:color w:val="000000"/>
                <w:sz w:val="18"/>
                <w:szCs w:val="18"/>
                <w:lang w:val="en-PH" w:eastAsia="en-PH"/>
              </w:rPr>
              <w:fldChar w:fldCharType="end"/>
            </w:r>
          </w:p>
        </w:tc>
        <w:tc>
          <w:tcPr>
            <w:tcW w:w="1080" w:type="dxa"/>
            <w:tcBorders>
              <w:top w:val="single" w:sz="4" w:space="0" w:color="auto"/>
              <w:left w:val="nil"/>
              <w:bottom w:val="single" w:sz="4" w:space="0" w:color="auto"/>
              <w:right w:val="nil"/>
            </w:tcBorders>
            <w:shd w:val="clear" w:color="auto" w:fill="auto"/>
            <w:noWrap/>
            <w:vAlign w:val="center"/>
          </w:tcPr>
          <w:p w14:paraId="5082169F"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=SUM(e4:e7)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218,225</w:t>
            </w:r>
            <w:r>
              <w:rPr>
                <w:rFonts w:ascii="Arial" w:eastAsia="Times New Roman" w:hAnsi="Arial" w:cs="Arial"/>
                <w:b/>
                <w:bCs/>
                <w:color w:val="000000"/>
                <w:sz w:val="18"/>
                <w:szCs w:val="18"/>
                <w:lang w:eastAsia="en-PH"/>
              </w:rPr>
              <w:fldChar w:fldCharType="end"/>
            </w:r>
          </w:p>
        </w:tc>
        <w:tc>
          <w:tcPr>
            <w:tcW w:w="1170" w:type="dxa"/>
            <w:tcBorders>
              <w:top w:val="single" w:sz="4" w:space="0" w:color="auto"/>
              <w:left w:val="nil"/>
              <w:bottom w:val="single" w:sz="4" w:space="0" w:color="auto"/>
              <w:right w:val="nil"/>
            </w:tcBorders>
            <w:shd w:val="clear" w:color="auto" w:fill="auto"/>
            <w:noWrap/>
            <w:vAlign w:val="center"/>
          </w:tcPr>
          <w:p w14:paraId="29AAB2CC"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=SUM(f4:f7)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158,801,500</w:t>
            </w:r>
            <w:r>
              <w:rPr>
                <w:rFonts w:ascii="Arial" w:eastAsia="Times New Roman" w:hAnsi="Arial" w:cs="Arial"/>
                <w:b/>
                <w:bCs/>
                <w:color w:val="000000"/>
                <w:sz w:val="18"/>
                <w:szCs w:val="18"/>
                <w:lang w:eastAsia="en-PH"/>
              </w:rPr>
              <w:fldChar w:fldCharType="end"/>
            </w:r>
          </w:p>
        </w:tc>
      </w:tr>
      <w:tr w:rsidR="007D7EEA" w14:paraId="7117A0CC" w14:textId="77777777">
        <w:trPr>
          <w:trHeight w:val="20"/>
        </w:trPr>
        <w:tc>
          <w:tcPr>
            <w:tcW w:w="2610" w:type="dxa"/>
            <w:tcBorders>
              <w:top w:val="single" w:sz="4" w:space="0" w:color="auto"/>
              <w:left w:val="nil"/>
              <w:bottom w:val="nil"/>
              <w:right w:val="nil"/>
            </w:tcBorders>
            <w:shd w:val="clear" w:color="auto" w:fill="auto"/>
            <w:noWrap/>
            <w:vAlign w:val="center"/>
          </w:tcPr>
          <w:p w14:paraId="71D3B04A" w14:textId="77777777" w:rsidR="007D7EEA" w:rsidRDefault="00DD2A4D">
            <w:pPr>
              <w:spacing w:after="0" w:line="240" w:lineRule="auto"/>
              <w:ind w:left="137" w:hanging="137"/>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Unsecured</w:t>
            </w:r>
          </w:p>
        </w:tc>
        <w:tc>
          <w:tcPr>
            <w:tcW w:w="900" w:type="dxa"/>
            <w:gridSpan w:val="2"/>
            <w:tcBorders>
              <w:top w:val="single" w:sz="4" w:space="0" w:color="auto"/>
              <w:left w:val="nil"/>
              <w:bottom w:val="nil"/>
              <w:right w:val="nil"/>
            </w:tcBorders>
            <w:vAlign w:val="center"/>
          </w:tcPr>
          <w:p w14:paraId="611EF912" w14:textId="77777777" w:rsidR="007D7EEA" w:rsidRDefault="007D7EEA">
            <w:pPr>
              <w:spacing w:after="0" w:line="240" w:lineRule="auto"/>
              <w:jc w:val="center"/>
              <w:rPr>
                <w:rFonts w:ascii="Arial" w:eastAsia="Times New Roman" w:hAnsi="Arial" w:cs="Arial"/>
                <w:color w:val="000000" w:themeColor="text1"/>
                <w:sz w:val="18"/>
                <w:szCs w:val="18"/>
              </w:rPr>
            </w:pPr>
          </w:p>
        </w:tc>
        <w:tc>
          <w:tcPr>
            <w:tcW w:w="1260" w:type="dxa"/>
            <w:tcBorders>
              <w:top w:val="single" w:sz="4" w:space="0" w:color="auto"/>
              <w:left w:val="nil"/>
              <w:bottom w:val="nil"/>
              <w:right w:val="nil"/>
            </w:tcBorders>
            <w:vAlign w:val="center"/>
          </w:tcPr>
          <w:p w14:paraId="7C4620D8" w14:textId="77777777" w:rsidR="007D7EEA" w:rsidRDefault="007D7EEA">
            <w:pPr>
              <w:spacing w:after="0" w:line="240" w:lineRule="auto"/>
              <w:jc w:val="right"/>
              <w:rPr>
                <w:rFonts w:ascii="Arial" w:eastAsia="Times New Roman" w:hAnsi="Arial" w:cs="Arial"/>
                <w:bCs/>
                <w:color w:val="000000"/>
                <w:sz w:val="18"/>
                <w:szCs w:val="18"/>
                <w:lang w:eastAsia="en-PH"/>
              </w:rPr>
            </w:pPr>
          </w:p>
        </w:tc>
        <w:tc>
          <w:tcPr>
            <w:tcW w:w="1260" w:type="dxa"/>
            <w:tcBorders>
              <w:top w:val="single" w:sz="4" w:space="0" w:color="auto"/>
              <w:left w:val="nil"/>
              <w:bottom w:val="nil"/>
              <w:right w:val="nil"/>
            </w:tcBorders>
            <w:shd w:val="clear" w:color="auto" w:fill="auto"/>
            <w:noWrap/>
            <w:vAlign w:val="center"/>
          </w:tcPr>
          <w:p w14:paraId="29670198" w14:textId="77777777" w:rsidR="007D7EEA" w:rsidRDefault="007D7EEA">
            <w:pPr>
              <w:spacing w:after="0" w:line="240" w:lineRule="auto"/>
              <w:jc w:val="right"/>
              <w:rPr>
                <w:rFonts w:ascii="Arial" w:eastAsia="Times New Roman" w:hAnsi="Arial" w:cs="Arial"/>
                <w:color w:val="000000"/>
                <w:sz w:val="18"/>
                <w:szCs w:val="18"/>
                <w:lang w:val="en-PH" w:eastAsia="en-PH"/>
              </w:rPr>
            </w:pPr>
          </w:p>
        </w:tc>
        <w:tc>
          <w:tcPr>
            <w:tcW w:w="1080" w:type="dxa"/>
            <w:tcBorders>
              <w:top w:val="single" w:sz="4" w:space="0" w:color="auto"/>
              <w:left w:val="nil"/>
              <w:bottom w:val="nil"/>
              <w:right w:val="nil"/>
            </w:tcBorders>
            <w:shd w:val="clear" w:color="auto" w:fill="auto"/>
            <w:noWrap/>
            <w:vAlign w:val="center"/>
          </w:tcPr>
          <w:p w14:paraId="6FB4F943" w14:textId="77777777" w:rsidR="007D7EEA" w:rsidRDefault="007D7EEA">
            <w:pPr>
              <w:spacing w:after="0" w:line="240" w:lineRule="auto"/>
              <w:jc w:val="right"/>
              <w:rPr>
                <w:rFonts w:ascii="Arial" w:eastAsia="Times New Roman" w:hAnsi="Arial" w:cs="Arial"/>
                <w:bCs/>
                <w:color w:val="000000"/>
                <w:sz w:val="18"/>
                <w:szCs w:val="18"/>
                <w:lang w:eastAsia="en-PH"/>
              </w:rPr>
            </w:pPr>
          </w:p>
        </w:tc>
        <w:tc>
          <w:tcPr>
            <w:tcW w:w="1170" w:type="dxa"/>
            <w:tcBorders>
              <w:top w:val="single" w:sz="4" w:space="0" w:color="auto"/>
              <w:left w:val="nil"/>
              <w:bottom w:val="nil"/>
              <w:right w:val="nil"/>
            </w:tcBorders>
            <w:shd w:val="clear" w:color="auto" w:fill="auto"/>
            <w:noWrap/>
            <w:vAlign w:val="center"/>
          </w:tcPr>
          <w:p w14:paraId="0CCB5F67" w14:textId="77777777" w:rsidR="007D7EEA" w:rsidRDefault="007D7EEA">
            <w:pPr>
              <w:spacing w:after="0" w:line="240" w:lineRule="auto"/>
              <w:jc w:val="right"/>
              <w:rPr>
                <w:rFonts w:ascii="Arial" w:eastAsia="Times New Roman" w:hAnsi="Arial" w:cs="Arial"/>
                <w:bCs/>
                <w:color w:val="000000"/>
                <w:sz w:val="18"/>
                <w:szCs w:val="18"/>
                <w:lang w:eastAsia="en-PH"/>
              </w:rPr>
            </w:pPr>
          </w:p>
        </w:tc>
      </w:tr>
      <w:tr w:rsidR="007D7EEA" w14:paraId="2D350B3C" w14:textId="77777777">
        <w:trPr>
          <w:trHeight w:val="20"/>
        </w:trPr>
        <w:tc>
          <w:tcPr>
            <w:tcW w:w="2610" w:type="dxa"/>
            <w:tcBorders>
              <w:top w:val="nil"/>
              <w:left w:val="nil"/>
              <w:bottom w:val="nil"/>
              <w:right w:val="nil"/>
            </w:tcBorders>
            <w:shd w:val="clear" w:color="auto" w:fill="auto"/>
            <w:noWrap/>
            <w:vAlign w:val="center"/>
          </w:tcPr>
          <w:p w14:paraId="32809CA9"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AR-non-trade</w:t>
            </w:r>
          </w:p>
        </w:tc>
        <w:tc>
          <w:tcPr>
            <w:tcW w:w="900" w:type="dxa"/>
            <w:gridSpan w:val="2"/>
            <w:tcBorders>
              <w:top w:val="nil"/>
              <w:left w:val="nil"/>
              <w:bottom w:val="nil"/>
              <w:right w:val="nil"/>
            </w:tcBorders>
            <w:vAlign w:val="center"/>
          </w:tcPr>
          <w:p w14:paraId="0B06BE43" w14:textId="77777777" w:rsidR="007D7EEA" w:rsidRDefault="00DD2A4D">
            <w:pPr>
              <w:spacing w:after="0" w:line="240" w:lineRule="auto"/>
              <w:ind w:right="-144"/>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w:t>
            </w:r>
          </w:p>
        </w:tc>
        <w:tc>
          <w:tcPr>
            <w:tcW w:w="1260" w:type="dxa"/>
            <w:tcBorders>
              <w:top w:val="nil"/>
              <w:left w:val="nil"/>
              <w:bottom w:val="nil"/>
              <w:right w:val="nil"/>
            </w:tcBorders>
            <w:vAlign w:val="center"/>
          </w:tcPr>
          <w:p w14:paraId="1CBDD307"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 xml:space="preserve">22,675,315 </w:t>
            </w:r>
          </w:p>
        </w:tc>
        <w:tc>
          <w:tcPr>
            <w:tcW w:w="1260" w:type="dxa"/>
            <w:tcBorders>
              <w:top w:val="nil"/>
              <w:left w:val="nil"/>
              <w:bottom w:val="nil"/>
              <w:right w:val="nil"/>
            </w:tcBorders>
            <w:shd w:val="clear" w:color="auto" w:fill="auto"/>
            <w:noWrap/>
            <w:vAlign w:val="center"/>
          </w:tcPr>
          <w:p w14:paraId="39558058"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sz w:val="18"/>
                <w:szCs w:val="18"/>
                <w:lang w:val="en-PH" w:eastAsia="en-PH"/>
              </w:rPr>
              <w:t>0</w:t>
            </w:r>
          </w:p>
        </w:tc>
        <w:tc>
          <w:tcPr>
            <w:tcW w:w="1080" w:type="dxa"/>
            <w:tcBorders>
              <w:top w:val="nil"/>
              <w:left w:val="nil"/>
              <w:bottom w:val="nil"/>
              <w:right w:val="nil"/>
            </w:tcBorders>
            <w:shd w:val="clear" w:color="auto" w:fill="auto"/>
            <w:noWrap/>
            <w:vAlign w:val="center"/>
          </w:tcPr>
          <w:p w14:paraId="202990C7"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4,456,294</w:t>
            </w:r>
          </w:p>
        </w:tc>
        <w:tc>
          <w:tcPr>
            <w:tcW w:w="1170" w:type="dxa"/>
            <w:tcBorders>
              <w:top w:val="nil"/>
              <w:left w:val="nil"/>
              <w:bottom w:val="nil"/>
              <w:right w:val="nil"/>
            </w:tcBorders>
            <w:shd w:val="clear" w:color="auto" w:fill="auto"/>
            <w:noWrap/>
            <w:vAlign w:val="center"/>
          </w:tcPr>
          <w:p w14:paraId="75A3EFD7"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18,219,021</w:t>
            </w:r>
          </w:p>
        </w:tc>
      </w:tr>
      <w:tr w:rsidR="007D7EEA" w14:paraId="67614F45" w14:textId="77777777">
        <w:trPr>
          <w:trHeight w:val="20"/>
        </w:trPr>
        <w:tc>
          <w:tcPr>
            <w:tcW w:w="2610" w:type="dxa"/>
            <w:tcBorders>
              <w:top w:val="nil"/>
              <w:left w:val="nil"/>
              <w:bottom w:val="nil"/>
              <w:right w:val="nil"/>
            </w:tcBorders>
            <w:shd w:val="clear" w:color="auto" w:fill="auto"/>
            <w:noWrap/>
            <w:vAlign w:val="center"/>
          </w:tcPr>
          <w:p w14:paraId="66FCC7A6" w14:textId="77777777" w:rsidR="007D7EEA" w:rsidRPr="000105DB" w:rsidRDefault="00DD2A4D">
            <w:pPr>
              <w:spacing w:after="0" w:line="240" w:lineRule="auto"/>
              <w:ind w:left="360" w:hanging="216"/>
              <w:rPr>
                <w:rFonts w:ascii="Arial" w:eastAsia="Times New Roman" w:hAnsi="Arial" w:cs="Arial"/>
                <w:color w:val="000000" w:themeColor="text1"/>
                <w:sz w:val="18"/>
                <w:szCs w:val="18"/>
                <w:lang w:val="en-PH"/>
              </w:rPr>
            </w:pPr>
            <w:r w:rsidRPr="000105DB">
              <w:rPr>
                <w:rFonts w:ascii="Arial" w:eastAsia="Times New Roman" w:hAnsi="Arial" w:cs="Arial"/>
                <w:color w:val="000000" w:themeColor="text1"/>
                <w:sz w:val="18"/>
                <w:szCs w:val="18"/>
              </w:rPr>
              <w:t>Advances to subsidiaries</w:t>
            </w:r>
          </w:p>
        </w:tc>
        <w:tc>
          <w:tcPr>
            <w:tcW w:w="900" w:type="dxa"/>
            <w:gridSpan w:val="2"/>
            <w:tcBorders>
              <w:top w:val="nil"/>
              <w:left w:val="nil"/>
              <w:bottom w:val="nil"/>
              <w:right w:val="nil"/>
            </w:tcBorders>
            <w:vAlign w:val="center"/>
          </w:tcPr>
          <w:p w14:paraId="0A8416C1" w14:textId="77777777" w:rsidR="007D7EEA" w:rsidRPr="000105DB" w:rsidRDefault="00DD2A4D">
            <w:pPr>
              <w:spacing w:after="0" w:line="240" w:lineRule="auto"/>
              <w:ind w:right="-144"/>
              <w:jc w:val="center"/>
              <w:rPr>
                <w:rFonts w:ascii="Arial" w:eastAsia="Times New Roman" w:hAnsi="Arial" w:cs="Arial"/>
                <w:color w:val="000000" w:themeColor="text1"/>
                <w:sz w:val="18"/>
                <w:szCs w:val="18"/>
              </w:rPr>
            </w:pPr>
            <w:r w:rsidRPr="000105DB">
              <w:rPr>
                <w:rFonts w:ascii="Arial" w:eastAsia="Times New Roman" w:hAnsi="Arial" w:cs="Arial"/>
                <w:color w:val="000000" w:themeColor="text1"/>
                <w:sz w:val="18"/>
                <w:szCs w:val="18"/>
              </w:rPr>
              <w:t>5</w:t>
            </w:r>
          </w:p>
        </w:tc>
        <w:tc>
          <w:tcPr>
            <w:tcW w:w="1260" w:type="dxa"/>
            <w:tcBorders>
              <w:top w:val="nil"/>
              <w:left w:val="nil"/>
              <w:bottom w:val="nil"/>
              <w:right w:val="nil"/>
            </w:tcBorders>
            <w:vAlign w:val="center"/>
          </w:tcPr>
          <w:p w14:paraId="0869AFBA" w14:textId="77777777" w:rsidR="007D7EEA" w:rsidRPr="000105DB" w:rsidRDefault="00DD2A4D">
            <w:pPr>
              <w:spacing w:after="0" w:line="240" w:lineRule="auto"/>
              <w:jc w:val="right"/>
              <w:rPr>
                <w:rFonts w:ascii="Arial" w:eastAsia="Times New Roman" w:hAnsi="Arial" w:cs="Arial"/>
                <w:color w:val="000000" w:themeColor="text1"/>
                <w:sz w:val="18"/>
                <w:szCs w:val="18"/>
              </w:rPr>
            </w:pPr>
            <w:r w:rsidRPr="000105DB">
              <w:rPr>
                <w:rFonts w:ascii="Arial" w:eastAsia="Times New Roman" w:hAnsi="Arial" w:cs="Arial"/>
                <w:bCs/>
                <w:color w:val="000000"/>
                <w:sz w:val="18"/>
                <w:szCs w:val="18"/>
                <w:lang w:eastAsia="en-PH"/>
              </w:rPr>
              <w:t xml:space="preserve">22,238,406 </w:t>
            </w:r>
          </w:p>
        </w:tc>
        <w:tc>
          <w:tcPr>
            <w:tcW w:w="1260" w:type="dxa"/>
            <w:tcBorders>
              <w:top w:val="nil"/>
              <w:left w:val="nil"/>
              <w:bottom w:val="nil"/>
              <w:right w:val="nil"/>
            </w:tcBorders>
            <w:shd w:val="clear" w:color="auto" w:fill="auto"/>
            <w:noWrap/>
            <w:vAlign w:val="center"/>
          </w:tcPr>
          <w:p w14:paraId="59871C3B" w14:textId="77777777" w:rsidR="007D7EEA" w:rsidRPr="000105DB" w:rsidRDefault="00DD2A4D">
            <w:pPr>
              <w:spacing w:after="0" w:line="240" w:lineRule="auto"/>
              <w:jc w:val="right"/>
              <w:rPr>
                <w:rFonts w:ascii="Arial" w:eastAsia="Times New Roman" w:hAnsi="Arial" w:cs="Arial"/>
                <w:color w:val="000000" w:themeColor="text1"/>
                <w:sz w:val="18"/>
                <w:szCs w:val="18"/>
                <w:lang w:val="en-PH"/>
              </w:rPr>
            </w:pPr>
            <w:r w:rsidRPr="000105DB">
              <w:rPr>
                <w:rFonts w:ascii="Arial" w:eastAsia="Times New Roman" w:hAnsi="Arial" w:cs="Arial"/>
                <w:color w:val="000000"/>
                <w:sz w:val="18"/>
                <w:szCs w:val="18"/>
                <w:lang w:eastAsia="en-PH"/>
              </w:rPr>
              <w:t>14,142,936</w:t>
            </w:r>
          </w:p>
        </w:tc>
        <w:tc>
          <w:tcPr>
            <w:tcW w:w="1080" w:type="dxa"/>
            <w:tcBorders>
              <w:top w:val="nil"/>
              <w:left w:val="nil"/>
              <w:bottom w:val="nil"/>
              <w:right w:val="nil"/>
            </w:tcBorders>
            <w:shd w:val="clear" w:color="auto" w:fill="auto"/>
            <w:noWrap/>
            <w:vAlign w:val="center"/>
          </w:tcPr>
          <w:p w14:paraId="2F52DCF9" w14:textId="77777777" w:rsidR="007D7EEA" w:rsidRPr="000105DB" w:rsidRDefault="00DD2A4D">
            <w:pPr>
              <w:spacing w:after="0" w:line="240" w:lineRule="auto"/>
              <w:jc w:val="right"/>
              <w:rPr>
                <w:rFonts w:ascii="Arial" w:eastAsia="Times New Roman" w:hAnsi="Arial" w:cs="Arial"/>
                <w:color w:val="000000" w:themeColor="text1"/>
                <w:sz w:val="18"/>
                <w:szCs w:val="18"/>
                <w:lang w:val="en-PH"/>
              </w:rPr>
            </w:pPr>
            <w:r w:rsidRPr="000105DB">
              <w:rPr>
                <w:rFonts w:ascii="Arial" w:eastAsia="Times New Roman" w:hAnsi="Arial" w:cs="Arial"/>
                <w:bCs/>
                <w:color w:val="000000"/>
                <w:sz w:val="18"/>
                <w:szCs w:val="18"/>
                <w:lang w:eastAsia="en-PH"/>
              </w:rPr>
              <w:t>5,894,093</w:t>
            </w:r>
          </w:p>
        </w:tc>
        <w:tc>
          <w:tcPr>
            <w:tcW w:w="1170" w:type="dxa"/>
            <w:tcBorders>
              <w:top w:val="nil"/>
              <w:left w:val="nil"/>
              <w:bottom w:val="nil"/>
              <w:right w:val="nil"/>
            </w:tcBorders>
            <w:shd w:val="clear" w:color="auto" w:fill="auto"/>
            <w:noWrap/>
            <w:vAlign w:val="center"/>
          </w:tcPr>
          <w:p w14:paraId="18F4189F" w14:textId="77777777" w:rsidR="007D7EEA" w:rsidRPr="000105DB" w:rsidRDefault="00DD2A4D">
            <w:pPr>
              <w:spacing w:after="0" w:line="240" w:lineRule="auto"/>
              <w:jc w:val="right"/>
              <w:rPr>
                <w:rFonts w:ascii="Arial" w:eastAsia="Times New Roman" w:hAnsi="Arial" w:cs="Arial"/>
                <w:color w:val="000000" w:themeColor="text1"/>
                <w:sz w:val="18"/>
                <w:szCs w:val="18"/>
                <w:lang w:val="en-PH"/>
              </w:rPr>
            </w:pPr>
            <w:r w:rsidRPr="000105DB">
              <w:rPr>
                <w:rFonts w:ascii="Arial" w:eastAsia="Times New Roman" w:hAnsi="Arial" w:cs="Arial"/>
                <w:bCs/>
                <w:color w:val="000000"/>
                <w:sz w:val="18"/>
                <w:szCs w:val="18"/>
                <w:lang w:eastAsia="en-PH"/>
              </w:rPr>
              <w:t>2,201,377</w:t>
            </w:r>
          </w:p>
        </w:tc>
      </w:tr>
      <w:tr w:rsidR="007D7EEA" w14:paraId="7A08BE07" w14:textId="77777777">
        <w:trPr>
          <w:trHeight w:val="20"/>
        </w:trPr>
        <w:tc>
          <w:tcPr>
            <w:tcW w:w="2610" w:type="dxa"/>
            <w:tcBorders>
              <w:top w:val="nil"/>
              <w:left w:val="nil"/>
              <w:bottom w:val="nil"/>
              <w:right w:val="nil"/>
            </w:tcBorders>
            <w:shd w:val="clear" w:color="auto" w:fill="auto"/>
            <w:noWrap/>
            <w:vAlign w:val="center"/>
          </w:tcPr>
          <w:p w14:paraId="1B2AFD29"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AR-others</w:t>
            </w:r>
          </w:p>
        </w:tc>
        <w:tc>
          <w:tcPr>
            <w:tcW w:w="900" w:type="dxa"/>
            <w:gridSpan w:val="2"/>
            <w:tcBorders>
              <w:top w:val="nil"/>
              <w:left w:val="nil"/>
              <w:bottom w:val="nil"/>
              <w:right w:val="nil"/>
            </w:tcBorders>
            <w:vAlign w:val="center"/>
          </w:tcPr>
          <w:p w14:paraId="5B3EC15E" w14:textId="77777777" w:rsidR="007D7EEA" w:rsidRDefault="00DD2A4D">
            <w:pPr>
              <w:spacing w:after="0" w:line="240" w:lineRule="auto"/>
              <w:ind w:right="-144"/>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7</w:t>
            </w:r>
          </w:p>
        </w:tc>
        <w:tc>
          <w:tcPr>
            <w:tcW w:w="1260" w:type="dxa"/>
            <w:tcBorders>
              <w:top w:val="nil"/>
              <w:left w:val="nil"/>
              <w:bottom w:val="nil"/>
              <w:right w:val="nil"/>
            </w:tcBorders>
            <w:vAlign w:val="center"/>
          </w:tcPr>
          <w:p w14:paraId="118D2B30"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 xml:space="preserve"> 7,736,838</w:t>
            </w:r>
          </w:p>
        </w:tc>
        <w:tc>
          <w:tcPr>
            <w:tcW w:w="1260" w:type="dxa"/>
            <w:tcBorders>
              <w:top w:val="nil"/>
              <w:left w:val="nil"/>
              <w:bottom w:val="nil"/>
              <w:right w:val="nil"/>
            </w:tcBorders>
            <w:shd w:val="clear" w:color="auto" w:fill="auto"/>
            <w:noWrap/>
            <w:vAlign w:val="center"/>
          </w:tcPr>
          <w:p w14:paraId="6FBE8376"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sz w:val="18"/>
                <w:szCs w:val="18"/>
                <w:lang w:val="en-PH" w:eastAsia="en-PH"/>
              </w:rPr>
              <w:t>0</w:t>
            </w:r>
          </w:p>
        </w:tc>
        <w:tc>
          <w:tcPr>
            <w:tcW w:w="1080" w:type="dxa"/>
            <w:tcBorders>
              <w:top w:val="nil"/>
              <w:left w:val="nil"/>
              <w:bottom w:val="nil"/>
              <w:right w:val="nil"/>
            </w:tcBorders>
            <w:shd w:val="clear" w:color="auto" w:fill="auto"/>
            <w:noWrap/>
            <w:vAlign w:val="center"/>
          </w:tcPr>
          <w:p w14:paraId="7AC63A74"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5,350,649</w:t>
            </w:r>
          </w:p>
        </w:tc>
        <w:tc>
          <w:tcPr>
            <w:tcW w:w="1170" w:type="dxa"/>
            <w:tcBorders>
              <w:top w:val="nil"/>
              <w:left w:val="nil"/>
              <w:bottom w:val="nil"/>
              <w:right w:val="nil"/>
            </w:tcBorders>
            <w:shd w:val="clear" w:color="auto" w:fill="auto"/>
            <w:noWrap/>
            <w:vAlign w:val="center"/>
          </w:tcPr>
          <w:p w14:paraId="21BD6642"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2,386,189</w:t>
            </w:r>
          </w:p>
        </w:tc>
      </w:tr>
      <w:tr w:rsidR="007D7EEA" w14:paraId="160918D0" w14:textId="77777777">
        <w:trPr>
          <w:trHeight w:val="68"/>
        </w:trPr>
        <w:tc>
          <w:tcPr>
            <w:tcW w:w="2610" w:type="dxa"/>
            <w:tcBorders>
              <w:top w:val="nil"/>
              <w:left w:val="nil"/>
              <w:bottom w:val="nil"/>
              <w:right w:val="nil"/>
            </w:tcBorders>
            <w:shd w:val="clear" w:color="auto" w:fill="auto"/>
            <w:noWrap/>
            <w:vAlign w:val="center"/>
          </w:tcPr>
          <w:p w14:paraId="3C6EFA65"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AR-others, beg</w:t>
            </w:r>
          </w:p>
        </w:tc>
        <w:tc>
          <w:tcPr>
            <w:tcW w:w="900" w:type="dxa"/>
            <w:gridSpan w:val="2"/>
            <w:tcBorders>
              <w:top w:val="nil"/>
              <w:left w:val="nil"/>
              <w:bottom w:val="nil"/>
              <w:right w:val="nil"/>
            </w:tcBorders>
            <w:vAlign w:val="center"/>
          </w:tcPr>
          <w:p w14:paraId="0888C53E" w14:textId="77777777" w:rsidR="007D7EEA" w:rsidRDefault="00DD2A4D">
            <w:pPr>
              <w:spacing w:after="0" w:line="240" w:lineRule="auto"/>
              <w:ind w:right="-144"/>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5</w:t>
            </w:r>
          </w:p>
        </w:tc>
        <w:tc>
          <w:tcPr>
            <w:tcW w:w="1260" w:type="dxa"/>
            <w:tcBorders>
              <w:top w:val="nil"/>
              <w:left w:val="nil"/>
              <w:bottom w:val="nil"/>
              <w:right w:val="nil"/>
            </w:tcBorders>
            <w:vAlign w:val="center"/>
          </w:tcPr>
          <w:p w14:paraId="0203991E"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3,968,314</w:t>
            </w:r>
          </w:p>
        </w:tc>
        <w:tc>
          <w:tcPr>
            <w:tcW w:w="1260" w:type="dxa"/>
            <w:tcBorders>
              <w:top w:val="nil"/>
              <w:left w:val="nil"/>
              <w:bottom w:val="nil"/>
              <w:right w:val="nil"/>
            </w:tcBorders>
            <w:shd w:val="clear" w:color="auto" w:fill="auto"/>
            <w:noWrap/>
            <w:vAlign w:val="center"/>
          </w:tcPr>
          <w:p w14:paraId="5F15D336"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0</w:t>
            </w:r>
          </w:p>
        </w:tc>
        <w:tc>
          <w:tcPr>
            <w:tcW w:w="1080" w:type="dxa"/>
            <w:tcBorders>
              <w:top w:val="nil"/>
              <w:left w:val="nil"/>
              <w:bottom w:val="nil"/>
              <w:right w:val="nil"/>
            </w:tcBorders>
            <w:shd w:val="clear" w:color="auto" w:fill="auto"/>
            <w:noWrap/>
            <w:vAlign w:val="center"/>
          </w:tcPr>
          <w:p w14:paraId="6354AB1D"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23,484</w:t>
            </w:r>
          </w:p>
        </w:tc>
        <w:tc>
          <w:tcPr>
            <w:tcW w:w="1170" w:type="dxa"/>
            <w:tcBorders>
              <w:top w:val="nil"/>
              <w:left w:val="nil"/>
              <w:bottom w:val="nil"/>
              <w:right w:val="nil"/>
            </w:tcBorders>
            <w:shd w:val="clear" w:color="auto" w:fill="auto"/>
            <w:noWrap/>
            <w:vAlign w:val="center"/>
          </w:tcPr>
          <w:p w14:paraId="423568FA"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3,944,830</w:t>
            </w:r>
          </w:p>
        </w:tc>
      </w:tr>
      <w:tr w:rsidR="007D7EEA" w14:paraId="798B8B7B" w14:textId="77777777">
        <w:trPr>
          <w:trHeight w:val="20"/>
        </w:trPr>
        <w:tc>
          <w:tcPr>
            <w:tcW w:w="2610" w:type="dxa"/>
            <w:tcBorders>
              <w:top w:val="nil"/>
              <w:left w:val="nil"/>
              <w:right w:val="nil"/>
            </w:tcBorders>
            <w:shd w:val="clear" w:color="auto" w:fill="auto"/>
            <w:noWrap/>
            <w:vAlign w:val="center"/>
          </w:tcPr>
          <w:p w14:paraId="76099CCE" w14:textId="77777777" w:rsidR="007D7EEA" w:rsidRDefault="00DD2A4D">
            <w:pPr>
              <w:spacing w:after="0" w:line="240" w:lineRule="auto"/>
              <w:ind w:left="360" w:right="-144"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Dividends receivable</w:t>
            </w:r>
          </w:p>
        </w:tc>
        <w:tc>
          <w:tcPr>
            <w:tcW w:w="900" w:type="dxa"/>
            <w:gridSpan w:val="2"/>
            <w:tcBorders>
              <w:top w:val="nil"/>
              <w:left w:val="nil"/>
              <w:right w:val="nil"/>
            </w:tcBorders>
            <w:vAlign w:val="bottom"/>
          </w:tcPr>
          <w:p w14:paraId="69D18258" w14:textId="77777777" w:rsidR="007D7EEA" w:rsidRDefault="00DD2A4D">
            <w:pPr>
              <w:spacing w:after="0" w:line="240" w:lineRule="auto"/>
              <w:ind w:right="-144"/>
              <w:jc w:val="center"/>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lang w:val="en-PH"/>
              </w:rPr>
              <w:t>1</w:t>
            </w:r>
          </w:p>
        </w:tc>
        <w:tc>
          <w:tcPr>
            <w:tcW w:w="1260" w:type="dxa"/>
            <w:tcBorders>
              <w:top w:val="nil"/>
              <w:left w:val="nil"/>
              <w:right w:val="nil"/>
            </w:tcBorders>
            <w:vAlign w:val="center"/>
          </w:tcPr>
          <w:p w14:paraId="25825F62"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2,320,000</w:t>
            </w:r>
          </w:p>
        </w:tc>
        <w:tc>
          <w:tcPr>
            <w:tcW w:w="1260" w:type="dxa"/>
            <w:tcBorders>
              <w:top w:val="nil"/>
              <w:left w:val="nil"/>
              <w:right w:val="nil"/>
            </w:tcBorders>
            <w:shd w:val="clear" w:color="auto" w:fill="auto"/>
            <w:noWrap/>
            <w:vAlign w:val="bottom"/>
          </w:tcPr>
          <w:p w14:paraId="1591FE48"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0</w:t>
            </w:r>
          </w:p>
        </w:tc>
        <w:tc>
          <w:tcPr>
            <w:tcW w:w="1080" w:type="dxa"/>
            <w:tcBorders>
              <w:top w:val="nil"/>
              <w:left w:val="nil"/>
              <w:right w:val="nil"/>
            </w:tcBorders>
            <w:shd w:val="clear" w:color="auto" w:fill="auto"/>
            <w:noWrap/>
            <w:vAlign w:val="center"/>
          </w:tcPr>
          <w:p w14:paraId="1CD4D52B"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sz w:val="18"/>
                <w:lang w:val="en-PH" w:eastAsia="en-PH"/>
              </w:rPr>
              <w:t>0</w:t>
            </w:r>
          </w:p>
        </w:tc>
        <w:tc>
          <w:tcPr>
            <w:tcW w:w="1170" w:type="dxa"/>
            <w:tcBorders>
              <w:top w:val="nil"/>
              <w:left w:val="nil"/>
              <w:right w:val="nil"/>
            </w:tcBorders>
            <w:shd w:val="clear" w:color="auto" w:fill="auto"/>
            <w:noWrap/>
            <w:vAlign w:val="center"/>
          </w:tcPr>
          <w:p w14:paraId="2C029143"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2,320,000</w:t>
            </w:r>
          </w:p>
        </w:tc>
      </w:tr>
      <w:tr w:rsidR="007D7EEA" w14:paraId="27F92F14" w14:textId="77777777">
        <w:trPr>
          <w:trHeight w:val="20"/>
        </w:trPr>
        <w:tc>
          <w:tcPr>
            <w:tcW w:w="2610" w:type="dxa"/>
            <w:tcBorders>
              <w:left w:val="nil"/>
              <w:bottom w:val="nil"/>
              <w:right w:val="nil"/>
            </w:tcBorders>
            <w:shd w:val="clear" w:color="auto" w:fill="auto"/>
            <w:noWrap/>
            <w:vAlign w:val="center"/>
          </w:tcPr>
          <w:p w14:paraId="7972ED35"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Advances to contractors</w:t>
            </w:r>
          </w:p>
        </w:tc>
        <w:tc>
          <w:tcPr>
            <w:tcW w:w="900" w:type="dxa"/>
            <w:gridSpan w:val="2"/>
            <w:tcBorders>
              <w:left w:val="nil"/>
              <w:bottom w:val="nil"/>
              <w:right w:val="nil"/>
            </w:tcBorders>
            <w:vAlign w:val="center"/>
          </w:tcPr>
          <w:p w14:paraId="49031073" w14:textId="77777777" w:rsidR="007D7EEA" w:rsidRDefault="00DD2A4D">
            <w:pPr>
              <w:spacing w:after="0" w:line="240" w:lineRule="auto"/>
              <w:ind w:right="-144"/>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4</w:t>
            </w:r>
          </w:p>
        </w:tc>
        <w:tc>
          <w:tcPr>
            <w:tcW w:w="1260" w:type="dxa"/>
            <w:tcBorders>
              <w:left w:val="nil"/>
              <w:bottom w:val="nil"/>
              <w:right w:val="nil"/>
            </w:tcBorders>
            <w:vAlign w:val="center"/>
          </w:tcPr>
          <w:p w14:paraId="159AF1E8"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 xml:space="preserve">1,750,452 </w:t>
            </w:r>
          </w:p>
        </w:tc>
        <w:tc>
          <w:tcPr>
            <w:tcW w:w="1260" w:type="dxa"/>
            <w:tcBorders>
              <w:left w:val="nil"/>
              <w:bottom w:val="nil"/>
              <w:right w:val="nil"/>
            </w:tcBorders>
            <w:shd w:val="clear" w:color="auto" w:fill="auto"/>
            <w:noWrap/>
            <w:vAlign w:val="center"/>
          </w:tcPr>
          <w:p w14:paraId="743F1ADC"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sz w:val="18"/>
                <w:szCs w:val="18"/>
                <w:lang w:eastAsia="en-PH"/>
              </w:rPr>
              <w:t>0</w:t>
            </w:r>
          </w:p>
        </w:tc>
        <w:tc>
          <w:tcPr>
            <w:tcW w:w="1080" w:type="dxa"/>
            <w:tcBorders>
              <w:left w:val="nil"/>
              <w:bottom w:val="nil"/>
              <w:right w:val="nil"/>
            </w:tcBorders>
            <w:shd w:val="clear" w:color="auto" w:fill="auto"/>
            <w:noWrap/>
            <w:vAlign w:val="center"/>
          </w:tcPr>
          <w:p w14:paraId="33F65200"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color w:val="000000"/>
                <w:sz w:val="18"/>
                <w:szCs w:val="18"/>
                <w:lang w:eastAsia="en-PH"/>
              </w:rPr>
              <w:t>0</w:t>
            </w:r>
          </w:p>
        </w:tc>
        <w:tc>
          <w:tcPr>
            <w:tcW w:w="1170" w:type="dxa"/>
            <w:tcBorders>
              <w:left w:val="nil"/>
              <w:bottom w:val="nil"/>
              <w:right w:val="nil"/>
            </w:tcBorders>
            <w:shd w:val="clear" w:color="auto" w:fill="auto"/>
            <w:noWrap/>
            <w:vAlign w:val="center"/>
          </w:tcPr>
          <w:p w14:paraId="0BB48905"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1,750,452</w:t>
            </w:r>
          </w:p>
        </w:tc>
      </w:tr>
      <w:tr w:rsidR="007D7EEA" w14:paraId="21B8DB05" w14:textId="77777777">
        <w:trPr>
          <w:trHeight w:val="20"/>
        </w:trPr>
        <w:tc>
          <w:tcPr>
            <w:tcW w:w="2610" w:type="dxa"/>
            <w:tcBorders>
              <w:left w:val="nil"/>
              <w:bottom w:val="nil"/>
              <w:right w:val="nil"/>
            </w:tcBorders>
            <w:shd w:val="clear" w:color="auto" w:fill="auto"/>
            <w:vAlign w:val="center"/>
          </w:tcPr>
          <w:p w14:paraId="1D8FD6D4" w14:textId="77777777" w:rsidR="007D7EEA" w:rsidRDefault="00DD2A4D">
            <w:pPr>
              <w:spacing w:after="0" w:line="240" w:lineRule="auto"/>
              <w:ind w:left="360"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AR-discounted</w:t>
            </w:r>
          </w:p>
        </w:tc>
        <w:tc>
          <w:tcPr>
            <w:tcW w:w="900" w:type="dxa"/>
            <w:gridSpan w:val="2"/>
            <w:tcBorders>
              <w:left w:val="nil"/>
              <w:bottom w:val="nil"/>
              <w:right w:val="nil"/>
            </w:tcBorders>
            <w:vAlign w:val="center"/>
          </w:tcPr>
          <w:p w14:paraId="32313E36" w14:textId="77777777" w:rsidR="007D7EEA" w:rsidRDefault="00DD2A4D">
            <w:pPr>
              <w:spacing w:after="0" w:line="240" w:lineRule="auto"/>
              <w:ind w:right="-144"/>
              <w:jc w:val="center"/>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1</w:t>
            </w:r>
          </w:p>
        </w:tc>
        <w:tc>
          <w:tcPr>
            <w:tcW w:w="1260" w:type="dxa"/>
            <w:tcBorders>
              <w:left w:val="nil"/>
              <w:bottom w:val="nil"/>
              <w:right w:val="nil"/>
            </w:tcBorders>
            <w:vAlign w:val="center"/>
          </w:tcPr>
          <w:p w14:paraId="262C6420"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1,010,081</w:t>
            </w:r>
          </w:p>
        </w:tc>
        <w:tc>
          <w:tcPr>
            <w:tcW w:w="1260" w:type="dxa"/>
            <w:tcBorders>
              <w:left w:val="nil"/>
              <w:bottom w:val="nil"/>
              <w:right w:val="nil"/>
            </w:tcBorders>
            <w:shd w:val="clear" w:color="auto" w:fill="auto"/>
            <w:noWrap/>
            <w:vAlign w:val="center"/>
          </w:tcPr>
          <w:p w14:paraId="1009F68C"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 xml:space="preserve">              0</w:t>
            </w:r>
          </w:p>
        </w:tc>
        <w:tc>
          <w:tcPr>
            <w:tcW w:w="1080" w:type="dxa"/>
            <w:tcBorders>
              <w:left w:val="nil"/>
              <w:bottom w:val="nil"/>
              <w:right w:val="nil"/>
            </w:tcBorders>
            <w:shd w:val="clear" w:color="auto" w:fill="auto"/>
            <w:noWrap/>
            <w:vAlign w:val="center"/>
          </w:tcPr>
          <w:p w14:paraId="694400F2"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 xml:space="preserve">            0</w:t>
            </w:r>
          </w:p>
        </w:tc>
        <w:tc>
          <w:tcPr>
            <w:tcW w:w="1170" w:type="dxa"/>
            <w:tcBorders>
              <w:left w:val="nil"/>
              <w:bottom w:val="nil"/>
              <w:right w:val="nil"/>
            </w:tcBorders>
            <w:shd w:val="clear" w:color="auto" w:fill="auto"/>
            <w:noWrap/>
            <w:vAlign w:val="center"/>
          </w:tcPr>
          <w:p w14:paraId="70E52492" w14:textId="77777777" w:rsidR="007D7EEA" w:rsidRDefault="00DD2A4D">
            <w:pPr>
              <w:spacing w:after="0" w:line="240" w:lineRule="auto"/>
              <w:jc w:val="right"/>
              <w:rPr>
                <w:rFonts w:ascii="Arial" w:eastAsia="Times New Roman" w:hAnsi="Arial" w:cs="Arial"/>
                <w:bCs/>
                <w:color w:val="000000" w:themeColor="text1"/>
                <w:sz w:val="18"/>
                <w:szCs w:val="18"/>
                <w:lang w:val="en-PH"/>
              </w:rPr>
            </w:pPr>
            <w:r>
              <w:rPr>
                <w:rFonts w:ascii="Arial" w:eastAsia="Times New Roman" w:hAnsi="Arial" w:cs="Arial"/>
                <w:bCs/>
                <w:color w:val="000000" w:themeColor="text1"/>
                <w:sz w:val="18"/>
                <w:szCs w:val="18"/>
                <w:lang w:val="en-PH"/>
              </w:rPr>
              <w:t xml:space="preserve">  1,010,081</w:t>
            </w:r>
          </w:p>
        </w:tc>
      </w:tr>
      <w:tr w:rsidR="007D7EEA" w14:paraId="76FD9657" w14:textId="77777777">
        <w:trPr>
          <w:trHeight w:val="20"/>
        </w:trPr>
        <w:tc>
          <w:tcPr>
            <w:tcW w:w="2610" w:type="dxa"/>
            <w:tcBorders>
              <w:top w:val="nil"/>
              <w:left w:val="nil"/>
              <w:right w:val="nil"/>
            </w:tcBorders>
            <w:shd w:val="clear" w:color="auto" w:fill="auto"/>
            <w:noWrap/>
            <w:vAlign w:val="center"/>
          </w:tcPr>
          <w:p w14:paraId="4BB70A89" w14:textId="77777777" w:rsidR="007D7EEA" w:rsidRDefault="00DD2A4D">
            <w:pPr>
              <w:spacing w:after="0" w:line="240" w:lineRule="auto"/>
              <w:ind w:left="360" w:right="-144" w:hanging="216"/>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Past due-other loans</w:t>
            </w:r>
          </w:p>
        </w:tc>
        <w:tc>
          <w:tcPr>
            <w:tcW w:w="900" w:type="dxa"/>
            <w:gridSpan w:val="2"/>
            <w:tcBorders>
              <w:top w:val="nil"/>
              <w:left w:val="nil"/>
              <w:right w:val="nil"/>
            </w:tcBorders>
            <w:vAlign w:val="center"/>
          </w:tcPr>
          <w:p w14:paraId="481BFAB1" w14:textId="77777777" w:rsidR="007D7EEA" w:rsidRDefault="00DD2A4D">
            <w:pPr>
              <w:spacing w:after="0" w:line="240" w:lineRule="auto"/>
              <w:ind w:right="-144"/>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3</w:t>
            </w:r>
          </w:p>
        </w:tc>
        <w:tc>
          <w:tcPr>
            <w:tcW w:w="1260" w:type="dxa"/>
            <w:tcBorders>
              <w:top w:val="nil"/>
              <w:left w:val="nil"/>
              <w:right w:val="nil"/>
            </w:tcBorders>
            <w:vAlign w:val="center"/>
          </w:tcPr>
          <w:p w14:paraId="746D38BB" w14:textId="77777777" w:rsidR="007D7EEA" w:rsidRDefault="00DD2A4D">
            <w:pPr>
              <w:spacing w:after="0" w:line="240" w:lineRule="auto"/>
              <w:jc w:val="right"/>
              <w:rPr>
                <w:rFonts w:ascii="Arial" w:eastAsia="Times New Roman" w:hAnsi="Arial" w:cs="Arial"/>
                <w:bCs/>
                <w:color w:val="000000"/>
                <w:sz w:val="18"/>
                <w:szCs w:val="18"/>
                <w:lang w:eastAsia="en-PH"/>
              </w:rPr>
            </w:pPr>
            <w:r>
              <w:rPr>
                <w:rFonts w:ascii="Arial" w:eastAsia="Times New Roman" w:hAnsi="Arial" w:cs="Arial"/>
                <w:bCs/>
                <w:color w:val="000000"/>
                <w:sz w:val="18"/>
                <w:szCs w:val="18"/>
                <w:lang w:eastAsia="en-PH"/>
              </w:rPr>
              <w:t xml:space="preserve">779,668 </w:t>
            </w:r>
          </w:p>
        </w:tc>
        <w:tc>
          <w:tcPr>
            <w:tcW w:w="1260" w:type="dxa"/>
            <w:tcBorders>
              <w:top w:val="nil"/>
              <w:left w:val="nil"/>
              <w:right w:val="nil"/>
            </w:tcBorders>
            <w:shd w:val="clear" w:color="auto" w:fill="auto"/>
            <w:noWrap/>
            <w:vAlign w:val="center"/>
          </w:tcPr>
          <w:p w14:paraId="1D26555F" w14:textId="77777777" w:rsidR="007D7EEA" w:rsidRDefault="00DD2A4D">
            <w:pPr>
              <w:spacing w:after="0" w:line="240" w:lineRule="auto"/>
              <w:jc w:val="right"/>
              <w:rPr>
                <w:rFonts w:ascii="Arial" w:eastAsia="Times New Roman" w:hAnsi="Arial" w:cs="Arial"/>
                <w:bCs/>
                <w:color w:val="000000"/>
                <w:sz w:val="18"/>
                <w:szCs w:val="18"/>
                <w:lang w:eastAsia="en-PH"/>
              </w:rPr>
            </w:pPr>
            <w:r>
              <w:rPr>
                <w:rFonts w:ascii="Arial" w:eastAsia="Times New Roman" w:hAnsi="Arial" w:cs="Arial"/>
                <w:bCs/>
                <w:color w:val="000000"/>
                <w:sz w:val="18"/>
                <w:szCs w:val="18"/>
                <w:lang w:eastAsia="en-PH"/>
              </w:rPr>
              <w:t>779,668</w:t>
            </w:r>
          </w:p>
        </w:tc>
        <w:tc>
          <w:tcPr>
            <w:tcW w:w="1080" w:type="dxa"/>
            <w:tcBorders>
              <w:top w:val="nil"/>
              <w:left w:val="nil"/>
              <w:right w:val="nil"/>
            </w:tcBorders>
            <w:shd w:val="clear" w:color="auto" w:fill="auto"/>
            <w:noWrap/>
            <w:vAlign w:val="center"/>
          </w:tcPr>
          <w:p w14:paraId="62A5E5AA" w14:textId="77777777" w:rsidR="007D7EEA" w:rsidRDefault="00DD2A4D">
            <w:pPr>
              <w:spacing w:after="0" w:line="240" w:lineRule="auto"/>
              <w:jc w:val="right"/>
              <w:rPr>
                <w:rFonts w:ascii="Arial" w:eastAsia="Times New Roman" w:hAnsi="Arial" w:cs="Arial"/>
                <w:bCs/>
                <w:color w:val="000000"/>
                <w:sz w:val="18"/>
                <w:szCs w:val="18"/>
                <w:lang w:eastAsia="en-PH"/>
              </w:rPr>
            </w:pPr>
            <w:r>
              <w:rPr>
                <w:rFonts w:ascii="Arial" w:eastAsia="Times New Roman" w:hAnsi="Arial" w:cs="Arial"/>
                <w:color w:val="000000" w:themeColor="text1"/>
                <w:sz w:val="18"/>
                <w:szCs w:val="18"/>
                <w:lang w:val="en-PH"/>
              </w:rPr>
              <w:t>0</w:t>
            </w:r>
          </w:p>
        </w:tc>
        <w:tc>
          <w:tcPr>
            <w:tcW w:w="1170" w:type="dxa"/>
            <w:tcBorders>
              <w:top w:val="nil"/>
              <w:left w:val="nil"/>
              <w:right w:val="nil"/>
            </w:tcBorders>
            <w:shd w:val="clear" w:color="auto" w:fill="auto"/>
            <w:noWrap/>
            <w:vAlign w:val="center"/>
          </w:tcPr>
          <w:p w14:paraId="1168A7E4" w14:textId="77777777" w:rsidR="007D7EEA" w:rsidRDefault="00DD2A4D">
            <w:pPr>
              <w:spacing w:after="0" w:line="240" w:lineRule="auto"/>
              <w:jc w:val="right"/>
              <w:rPr>
                <w:rFonts w:ascii="Arial" w:eastAsia="Times New Roman" w:hAnsi="Arial" w:cs="Arial"/>
                <w:bCs/>
                <w:color w:val="000000"/>
                <w:sz w:val="18"/>
                <w:szCs w:val="18"/>
                <w:lang w:eastAsia="en-PH"/>
              </w:rPr>
            </w:pPr>
            <w:r>
              <w:rPr>
                <w:rFonts w:ascii="Arial" w:eastAsia="Times New Roman" w:hAnsi="Arial" w:cs="Arial"/>
                <w:color w:val="000000" w:themeColor="text1"/>
                <w:sz w:val="18"/>
                <w:szCs w:val="18"/>
                <w:lang w:val="en-PH"/>
              </w:rPr>
              <w:t>0</w:t>
            </w:r>
          </w:p>
        </w:tc>
      </w:tr>
      <w:tr w:rsidR="007D7EEA" w14:paraId="0A63E2CC" w14:textId="77777777">
        <w:trPr>
          <w:trHeight w:val="20"/>
        </w:trPr>
        <w:tc>
          <w:tcPr>
            <w:tcW w:w="2610" w:type="dxa"/>
            <w:tcBorders>
              <w:left w:val="nil"/>
              <w:bottom w:val="single" w:sz="4" w:space="0" w:color="auto"/>
              <w:right w:val="nil"/>
            </w:tcBorders>
            <w:shd w:val="clear" w:color="auto" w:fill="auto"/>
            <w:noWrap/>
            <w:vAlign w:val="center"/>
          </w:tcPr>
          <w:p w14:paraId="797D7080" w14:textId="77777777" w:rsidR="007D7EEA" w:rsidRDefault="00DD2A4D">
            <w:pPr>
              <w:spacing w:after="0" w:line="240" w:lineRule="auto"/>
              <w:ind w:left="360" w:right="-144" w:hanging="216"/>
              <w:rPr>
                <w:rFonts w:ascii="Arial" w:eastAsia="Times New Roman" w:hAnsi="Arial" w:cs="Arial"/>
                <w:color w:val="000000" w:themeColor="text1"/>
                <w:sz w:val="18"/>
                <w:szCs w:val="18"/>
                <w:lang w:val="en-PH"/>
              </w:rPr>
            </w:pPr>
            <w:r>
              <w:rPr>
                <w:rFonts w:ascii="Arial" w:eastAsia="Times New Roman" w:hAnsi="Arial" w:cs="Arial"/>
                <w:color w:val="000000" w:themeColor="text1"/>
                <w:sz w:val="18"/>
                <w:szCs w:val="18"/>
              </w:rPr>
              <w:t>AR-trade, financing</w:t>
            </w:r>
          </w:p>
        </w:tc>
        <w:tc>
          <w:tcPr>
            <w:tcW w:w="900" w:type="dxa"/>
            <w:gridSpan w:val="2"/>
            <w:tcBorders>
              <w:left w:val="nil"/>
              <w:bottom w:val="single" w:sz="4" w:space="0" w:color="auto"/>
              <w:right w:val="nil"/>
            </w:tcBorders>
            <w:vAlign w:val="center"/>
          </w:tcPr>
          <w:p w14:paraId="5C51EA17" w14:textId="77777777" w:rsidR="007D7EEA" w:rsidRDefault="00DD2A4D">
            <w:pPr>
              <w:spacing w:after="0" w:line="240" w:lineRule="auto"/>
              <w:ind w:right="-144"/>
              <w:jc w:val="center"/>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8</w:t>
            </w:r>
          </w:p>
        </w:tc>
        <w:tc>
          <w:tcPr>
            <w:tcW w:w="1260" w:type="dxa"/>
            <w:tcBorders>
              <w:left w:val="nil"/>
              <w:bottom w:val="single" w:sz="4" w:space="0" w:color="auto"/>
              <w:right w:val="nil"/>
            </w:tcBorders>
            <w:vAlign w:val="center"/>
          </w:tcPr>
          <w:p w14:paraId="4D8E5D7B" w14:textId="77777777" w:rsidR="007D7EEA" w:rsidRDefault="00DD2A4D">
            <w:pPr>
              <w:spacing w:after="0" w:line="240" w:lineRule="auto"/>
              <w:jc w:val="right"/>
              <w:rPr>
                <w:rFonts w:ascii="Arial" w:eastAsia="Times New Roman" w:hAnsi="Arial" w:cs="Arial"/>
                <w:color w:val="000000" w:themeColor="text1"/>
                <w:sz w:val="18"/>
                <w:szCs w:val="18"/>
              </w:rPr>
            </w:pPr>
            <w:r>
              <w:rPr>
                <w:rFonts w:ascii="Arial" w:eastAsia="Times New Roman" w:hAnsi="Arial" w:cs="Arial"/>
                <w:bCs/>
                <w:color w:val="000000"/>
                <w:sz w:val="18"/>
                <w:szCs w:val="18"/>
                <w:lang w:eastAsia="en-PH"/>
              </w:rPr>
              <w:t xml:space="preserve">303,540 </w:t>
            </w:r>
          </w:p>
        </w:tc>
        <w:tc>
          <w:tcPr>
            <w:tcW w:w="1260" w:type="dxa"/>
            <w:tcBorders>
              <w:left w:val="nil"/>
              <w:bottom w:val="single" w:sz="4" w:space="0" w:color="auto"/>
              <w:right w:val="nil"/>
            </w:tcBorders>
            <w:shd w:val="clear" w:color="auto" w:fill="auto"/>
            <w:noWrap/>
            <w:vAlign w:val="center"/>
          </w:tcPr>
          <w:p w14:paraId="69A50B74"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303,540</w:t>
            </w:r>
          </w:p>
        </w:tc>
        <w:tc>
          <w:tcPr>
            <w:tcW w:w="1080" w:type="dxa"/>
            <w:tcBorders>
              <w:left w:val="nil"/>
              <w:bottom w:val="single" w:sz="4" w:space="0" w:color="auto"/>
              <w:right w:val="nil"/>
            </w:tcBorders>
            <w:shd w:val="clear" w:color="auto" w:fill="auto"/>
            <w:noWrap/>
            <w:vAlign w:val="center"/>
          </w:tcPr>
          <w:p w14:paraId="7BB53DD3"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0</w:t>
            </w:r>
          </w:p>
        </w:tc>
        <w:tc>
          <w:tcPr>
            <w:tcW w:w="1170" w:type="dxa"/>
            <w:tcBorders>
              <w:left w:val="nil"/>
              <w:bottom w:val="single" w:sz="4" w:space="0" w:color="auto"/>
              <w:right w:val="nil"/>
            </w:tcBorders>
            <w:shd w:val="clear" w:color="auto" w:fill="auto"/>
            <w:noWrap/>
            <w:vAlign w:val="center"/>
          </w:tcPr>
          <w:p w14:paraId="7311BBF0" w14:textId="77777777" w:rsidR="007D7EEA" w:rsidRDefault="00DD2A4D">
            <w:pPr>
              <w:spacing w:after="0" w:line="240" w:lineRule="auto"/>
              <w:jc w:val="right"/>
              <w:rPr>
                <w:rFonts w:ascii="Arial" w:eastAsia="Times New Roman" w:hAnsi="Arial" w:cs="Arial"/>
                <w:color w:val="000000" w:themeColor="text1"/>
                <w:sz w:val="18"/>
                <w:szCs w:val="18"/>
                <w:lang w:val="en-PH"/>
              </w:rPr>
            </w:pPr>
            <w:r>
              <w:rPr>
                <w:rFonts w:ascii="Arial" w:eastAsia="Times New Roman" w:hAnsi="Arial" w:cs="Arial"/>
                <w:bCs/>
                <w:color w:val="000000"/>
                <w:sz w:val="18"/>
                <w:szCs w:val="18"/>
                <w:lang w:eastAsia="en-PH"/>
              </w:rPr>
              <w:t>0</w:t>
            </w:r>
          </w:p>
        </w:tc>
      </w:tr>
      <w:tr w:rsidR="007D7EEA" w14:paraId="17F4DD6C" w14:textId="77777777">
        <w:trPr>
          <w:trHeight w:val="144"/>
        </w:trPr>
        <w:tc>
          <w:tcPr>
            <w:tcW w:w="2610" w:type="dxa"/>
            <w:tcBorders>
              <w:top w:val="single" w:sz="4" w:space="0" w:color="auto"/>
              <w:left w:val="nil"/>
              <w:bottom w:val="single" w:sz="4" w:space="0" w:color="auto"/>
              <w:right w:val="nil"/>
            </w:tcBorders>
            <w:shd w:val="clear" w:color="auto" w:fill="auto"/>
            <w:noWrap/>
            <w:vAlign w:val="center"/>
          </w:tcPr>
          <w:p w14:paraId="35006249" w14:textId="77777777" w:rsidR="007D7EEA" w:rsidRDefault="00DD2A4D">
            <w:pPr>
              <w:spacing w:after="0" w:line="240" w:lineRule="auto"/>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t>Sub-total</w:t>
            </w:r>
          </w:p>
        </w:tc>
        <w:tc>
          <w:tcPr>
            <w:tcW w:w="900" w:type="dxa"/>
            <w:gridSpan w:val="2"/>
            <w:tcBorders>
              <w:top w:val="single" w:sz="4" w:space="0" w:color="auto"/>
              <w:left w:val="nil"/>
              <w:bottom w:val="single" w:sz="4" w:space="0" w:color="auto"/>
              <w:right w:val="nil"/>
            </w:tcBorders>
            <w:vAlign w:val="center"/>
          </w:tcPr>
          <w:p w14:paraId="6AC74A82" w14:textId="77777777" w:rsidR="007D7EEA" w:rsidRDefault="00DD2A4D">
            <w:pPr>
              <w:spacing w:after="0" w:line="240" w:lineRule="auto"/>
              <w:jc w:val="center"/>
              <w:rPr>
                <w:rFonts w:ascii="Arial" w:eastAsia="Times New Roman" w:hAnsi="Arial" w:cs="Arial"/>
                <w:b/>
                <w:color w:val="000000" w:themeColor="text1"/>
                <w:sz w:val="18"/>
                <w:szCs w:val="18"/>
              </w:rPr>
            </w:pPr>
            <w:r>
              <w:rPr>
                <w:rFonts w:ascii="Arial" w:eastAsia="Times New Roman" w:hAnsi="Arial" w:cs="Arial"/>
                <w:b/>
                <w:color w:val="000000" w:themeColor="text1"/>
                <w:sz w:val="18"/>
                <w:szCs w:val="18"/>
              </w:rPr>
              <w:fldChar w:fldCharType="begin"/>
            </w:r>
            <w:r>
              <w:rPr>
                <w:rFonts w:ascii="Arial" w:eastAsia="Times New Roman" w:hAnsi="Arial" w:cs="Arial"/>
                <w:b/>
                <w:color w:val="000000" w:themeColor="text1"/>
                <w:sz w:val="18"/>
                <w:szCs w:val="18"/>
              </w:rPr>
              <w:instrText xml:space="preserve"> =SUM(b10:b21) </w:instrText>
            </w:r>
            <w:r>
              <w:rPr>
                <w:rFonts w:ascii="Arial" w:eastAsia="Times New Roman" w:hAnsi="Arial" w:cs="Arial"/>
                <w:b/>
                <w:color w:val="000000" w:themeColor="text1"/>
                <w:sz w:val="18"/>
                <w:szCs w:val="18"/>
              </w:rPr>
              <w:fldChar w:fldCharType="separate"/>
            </w:r>
            <w:r>
              <w:rPr>
                <w:rFonts w:ascii="Arial" w:eastAsia="Times New Roman" w:hAnsi="Arial" w:cs="Arial"/>
                <w:b/>
                <w:color w:val="000000" w:themeColor="text1"/>
                <w:sz w:val="18"/>
                <w:szCs w:val="18"/>
              </w:rPr>
              <w:t>41</w:t>
            </w:r>
            <w:r>
              <w:rPr>
                <w:rFonts w:ascii="Arial" w:eastAsia="Times New Roman" w:hAnsi="Arial" w:cs="Arial"/>
                <w:b/>
                <w:color w:val="000000" w:themeColor="text1"/>
                <w:sz w:val="18"/>
                <w:szCs w:val="18"/>
              </w:rPr>
              <w:fldChar w:fldCharType="end"/>
            </w:r>
          </w:p>
        </w:tc>
        <w:tc>
          <w:tcPr>
            <w:tcW w:w="1260" w:type="dxa"/>
            <w:tcBorders>
              <w:top w:val="single" w:sz="4" w:space="0" w:color="auto"/>
              <w:left w:val="nil"/>
              <w:bottom w:val="single" w:sz="4" w:space="0" w:color="auto"/>
              <w:right w:val="nil"/>
            </w:tcBorders>
            <w:vAlign w:val="center"/>
          </w:tcPr>
          <w:p w14:paraId="7A823BB5"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=SUM(c10:c21)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62,782,614</w:t>
            </w:r>
            <w:r>
              <w:rPr>
                <w:rFonts w:ascii="Arial" w:eastAsia="Times New Roman" w:hAnsi="Arial" w:cs="Arial"/>
                <w:b/>
                <w:bCs/>
                <w:color w:val="000000"/>
                <w:sz w:val="18"/>
                <w:szCs w:val="18"/>
                <w:lang w:eastAsia="en-PH"/>
              </w:rPr>
              <w:fldChar w:fldCharType="end"/>
            </w:r>
          </w:p>
        </w:tc>
        <w:tc>
          <w:tcPr>
            <w:tcW w:w="1260" w:type="dxa"/>
            <w:tcBorders>
              <w:top w:val="single" w:sz="4" w:space="0" w:color="auto"/>
              <w:left w:val="nil"/>
              <w:bottom w:val="single" w:sz="4" w:space="0" w:color="auto"/>
              <w:right w:val="nil"/>
            </w:tcBorders>
            <w:shd w:val="clear" w:color="auto" w:fill="auto"/>
            <w:noWrap/>
            <w:vAlign w:val="center"/>
          </w:tcPr>
          <w:p w14:paraId="713990E7"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=SUM(d10:d21)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15,226,144</w:t>
            </w:r>
            <w:r>
              <w:rPr>
                <w:rFonts w:ascii="Arial" w:eastAsia="Times New Roman" w:hAnsi="Arial" w:cs="Arial"/>
                <w:b/>
                <w:bCs/>
                <w:color w:val="000000"/>
                <w:sz w:val="18"/>
                <w:szCs w:val="18"/>
                <w:lang w:eastAsia="en-PH"/>
              </w:rPr>
              <w:fldChar w:fldCharType="end"/>
            </w:r>
          </w:p>
        </w:tc>
        <w:tc>
          <w:tcPr>
            <w:tcW w:w="1080" w:type="dxa"/>
            <w:tcBorders>
              <w:top w:val="single" w:sz="4" w:space="0" w:color="auto"/>
              <w:left w:val="nil"/>
              <w:bottom w:val="single" w:sz="4" w:space="0" w:color="auto"/>
              <w:right w:val="nil"/>
            </w:tcBorders>
            <w:shd w:val="clear" w:color="auto" w:fill="auto"/>
            <w:noWrap/>
            <w:vAlign w:val="center"/>
          </w:tcPr>
          <w:p w14:paraId="4878DB63"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=SUM(e10:e21)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15,724,520</w:t>
            </w:r>
            <w:r>
              <w:rPr>
                <w:rFonts w:ascii="Arial" w:eastAsia="Times New Roman" w:hAnsi="Arial" w:cs="Arial"/>
                <w:b/>
                <w:bCs/>
                <w:color w:val="000000"/>
                <w:sz w:val="18"/>
                <w:szCs w:val="18"/>
                <w:lang w:eastAsia="en-PH"/>
              </w:rPr>
              <w:fldChar w:fldCharType="end"/>
            </w:r>
          </w:p>
        </w:tc>
        <w:tc>
          <w:tcPr>
            <w:tcW w:w="1170" w:type="dxa"/>
            <w:tcBorders>
              <w:top w:val="single" w:sz="4" w:space="0" w:color="auto"/>
              <w:left w:val="nil"/>
              <w:bottom w:val="single" w:sz="4" w:space="0" w:color="auto"/>
              <w:right w:val="nil"/>
            </w:tcBorders>
            <w:shd w:val="clear" w:color="auto" w:fill="auto"/>
            <w:noWrap/>
            <w:vAlign w:val="center"/>
          </w:tcPr>
          <w:p w14:paraId="5F854D57" w14:textId="77777777" w:rsidR="007D7EEA" w:rsidRDefault="00DD2A4D">
            <w:pPr>
              <w:spacing w:after="0" w:line="240" w:lineRule="auto"/>
              <w:jc w:val="right"/>
              <w:rPr>
                <w:rFonts w:ascii="Arial" w:eastAsia="Times New Roman" w:hAnsi="Arial" w:cs="Arial"/>
                <w:b/>
                <w:bCs/>
                <w:color w:val="000000"/>
                <w:sz w:val="18"/>
                <w:szCs w:val="18"/>
                <w:lang w:eastAsia="en-PH"/>
              </w:rPr>
            </w:pPr>
            <w:r>
              <w:rPr>
                <w:rFonts w:ascii="Arial" w:eastAsia="Times New Roman" w:hAnsi="Arial" w:cs="Arial"/>
                <w:b/>
                <w:bCs/>
                <w:color w:val="000000"/>
                <w:sz w:val="18"/>
                <w:szCs w:val="18"/>
                <w:lang w:eastAsia="en-PH"/>
              </w:rPr>
              <w:fldChar w:fldCharType="begin"/>
            </w:r>
            <w:r>
              <w:rPr>
                <w:rFonts w:ascii="Arial" w:eastAsia="Times New Roman" w:hAnsi="Arial" w:cs="Arial"/>
                <w:b/>
                <w:bCs/>
                <w:color w:val="000000"/>
                <w:sz w:val="18"/>
                <w:szCs w:val="18"/>
                <w:lang w:eastAsia="en-PH"/>
              </w:rPr>
              <w:instrText xml:space="preserve"> =SUM(f10:f21) </w:instrText>
            </w:r>
            <w:r>
              <w:rPr>
                <w:rFonts w:ascii="Arial" w:eastAsia="Times New Roman" w:hAnsi="Arial" w:cs="Arial"/>
                <w:b/>
                <w:bCs/>
                <w:color w:val="000000"/>
                <w:sz w:val="18"/>
                <w:szCs w:val="18"/>
                <w:lang w:eastAsia="en-PH"/>
              </w:rPr>
              <w:fldChar w:fldCharType="separate"/>
            </w:r>
            <w:r>
              <w:rPr>
                <w:rFonts w:ascii="Arial" w:eastAsia="Times New Roman" w:hAnsi="Arial" w:cs="Arial"/>
                <w:b/>
                <w:bCs/>
                <w:color w:val="000000"/>
                <w:sz w:val="18"/>
                <w:szCs w:val="18"/>
                <w:lang w:eastAsia="en-PH"/>
              </w:rPr>
              <w:t>31,831,950</w:t>
            </w:r>
            <w:r>
              <w:rPr>
                <w:rFonts w:ascii="Arial" w:eastAsia="Times New Roman" w:hAnsi="Arial" w:cs="Arial"/>
                <w:b/>
                <w:bCs/>
                <w:color w:val="000000"/>
                <w:sz w:val="18"/>
                <w:szCs w:val="18"/>
                <w:lang w:eastAsia="en-PH"/>
              </w:rPr>
              <w:fldChar w:fldCharType="end"/>
            </w:r>
          </w:p>
        </w:tc>
      </w:tr>
      <w:tr w:rsidR="007D7EEA" w14:paraId="2BD94439" w14:textId="77777777">
        <w:trPr>
          <w:trHeight w:val="317"/>
        </w:trPr>
        <w:tc>
          <w:tcPr>
            <w:tcW w:w="2610" w:type="dxa"/>
            <w:tcBorders>
              <w:top w:val="single" w:sz="4" w:space="0" w:color="auto"/>
              <w:left w:val="nil"/>
              <w:bottom w:val="double" w:sz="4" w:space="0" w:color="auto"/>
              <w:right w:val="nil"/>
            </w:tcBorders>
            <w:shd w:val="clear" w:color="auto" w:fill="auto"/>
            <w:noWrap/>
            <w:vAlign w:val="center"/>
          </w:tcPr>
          <w:p w14:paraId="27DF3168" w14:textId="77777777" w:rsidR="007D7EEA" w:rsidRDefault="00DD2A4D">
            <w:pPr>
              <w:spacing w:after="0" w:line="240" w:lineRule="auto"/>
              <w:rPr>
                <w:rFonts w:ascii="Arial" w:eastAsia="Times New Roman" w:hAnsi="Arial" w:cs="Arial"/>
                <w:b/>
                <w:bCs/>
                <w:color w:val="000000" w:themeColor="text1"/>
                <w:sz w:val="18"/>
                <w:szCs w:val="18"/>
                <w:lang w:val="en-PH"/>
              </w:rPr>
            </w:pPr>
            <w:r>
              <w:rPr>
                <w:rFonts w:ascii="Arial" w:eastAsia="Times New Roman" w:hAnsi="Arial" w:cs="Arial"/>
                <w:b/>
                <w:bCs/>
                <w:color w:val="000000" w:themeColor="text1"/>
                <w:sz w:val="18"/>
                <w:szCs w:val="18"/>
              </w:rPr>
              <w:t>Total </w:t>
            </w:r>
          </w:p>
        </w:tc>
        <w:tc>
          <w:tcPr>
            <w:tcW w:w="900" w:type="dxa"/>
            <w:gridSpan w:val="2"/>
            <w:tcBorders>
              <w:top w:val="single" w:sz="4" w:space="0" w:color="auto"/>
              <w:left w:val="nil"/>
              <w:bottom w:val="double" w:sz="4" w:space="0" w:color="auto"/>
              <w:right w:val="nil"/>
            </w:tcBorders>
            <w:vAlign w:val="center"/>
          </w:tcPr>
          <w:p w14:paraId="38772CF6" w14:textId="77777777" w:rsidR="007D7EEA" w:rsidRDefault="00DD2A4D">
            <w:pPr>
              <w:spacing w:after="0" w:line="240" w:lineRule="auto"/>
              <w:jc w:val="center"/>
              <w:rPr>
                <w:rFonts w:ascii="Arial" w:eastAsia="Times New Roman" w:hAnsi="Arial" w:cs="Arial"/>
                <w:b/>
                <w:bCs/>
                <w:color w:val="000000" w:themeColor="text1"/>
                <w:sz w:val="18"/>
                <w:szCs w:val="18"/>
              </w:rPr>
            </w:pPr>
            <w:r>
              <w:rPr>
                <w:rFonts w:ascii="Arial" w:eastAsia="Times New Roman" w:hAnsi="Arial" w:cs="Arial"/>
                <w:b/>
                <w:bCs/>
                <w:color w:val="000000" w:themeColor="text1"/>
                <w:sz w:val="18"/>
                <w:szCs w:val="18"/>
              </w:rPr>
              <w:t>78</w:t>
            </w:r>
          </w:p>
        </w:tc>
        <w:tc>
          <w:tcPr>
            <w:tcW w:w="1260" w:type="dxa"/>
            <w:tcBorders>
              <w:top w:val="single" w:sz="4" w:space="0" w:color="auto"/>
              <w:left w:val="nil"/>
              <w:bottom w:val="double" w:sz="4" w:space="0" w:color="auto"/>
              <w:right w:val="nil"/>
            </w:tcBorders>
            <w:vAlign w:val="center"/>
          </w:tcPr>
          <w:p w14:paraId="4F04AC76" w14:textId="77777777" w:rsidR="007D7EEA" w:rsidRDefault="00DD2A4D">
            <w:pPr>
              <w:spacing w:after="0" w:line="240" w:lineRule="auto"/>
              <w:ind w:left="-144"/>
              <w:jc w:val="right"/>
              <w:rPr>
                <w:rFonts w:ascii="Arial" w:eastAsia="Times New Roman" w:hAnsi="Arial" w:cs="Arial"/>
                <w:b/>
                <w:bCs/>
                <w:color w:val="000000" w:themeColor="text1"/>
                <w:sz w:val="18"/>
                <w:szCs w:val="18"/>
              </w:rPr>
            </w:pPr>
            <w:r>
              <w:rPr>
                <w:rFonts w:ascii="Arial" w:eastAsia="Times New Roman" w:hAnsi="Arial" w:cs="Arial"/>
                <w:b/>
                <w:bCs/>
                <w:color w:val="000000"/>
                <w:sz w:val="18"/>
                <w:szCs w:val="18"/>
                <w:lang w:eastAsia="en-PH"/>
              </w:rPr>
              <w:t xml:space="preserve">P960,928,464 </w:t>
            </w:r>
          </w:p>
        </w:tc>
        <w:tc>
          <w:tcPr>
            <w:tcW w:w="1260" w:type="dxa"/>
            <w:tcBorders>
              <w:top w:val="single" w:sz="4" w:space="0" w:color="auto"/>
              <w:left w:val="nil"/>
              <w:bottom w:val="double" w:sz="4" w:space="0" w:color="auto"/>
              <w:right w:val="nil"/>
            </w:tcBorders>
            <w:shd w:val="clear" w:color="auto" w:fill="auto"/>
            <w:noWrap/>
            <w:vAlign w:val="center"/>
          </w:tcPr>
          <w:p w14:paraId="01591592" w14:textId="77777777" w:rsidR="007D7EEA" w:rsidRDefault="00DD2A4D">
            <w:pPr>
              <w:spacing w:after="0" w:line="240" w:lineRule="auto"/>
              <w:ind w:left="-144"/>
              <w:jc w:val="right"/>
              <w:rPr>
                <w:rFonts w:ascii="Arial" w:eastAsia="Times New Roman" w:hAnsi="Arial" w:cs="Arial"/>
                <w:b/>
                <w:bCs/>
                <w:color w:val="000000" w:themeColor="text1"/>
                <w:sz w:val="18"/>
                <w:szCs w:val="18"/>
                <w:lang w:val="en-PH"/>
              </w:rPr>
            </w:pPr>
            <w:r>
              <w:rPr>
                <w:rFonts w:ascii="Arial" w:eastAsia="Times New Roman" w:hAnsi="Arial" w:cs="Arial"/>
                <w:b/>
                <w:bCs/>
                <w:color w:val="000000"/>
                <w:sz w:val="18"/>
                <w:szCs w:val="18"/>
                <w:lang w:eastAsia="en-PH"/>
              </w:rPr>
              <w:t>P 754,352,269</w:t>
            </w:r>
          </w:p>
        </w:tc>
        <w:tc>
          <w:tcPr>
            <w:tcW w:w="1080" w:type="dxa"/>
            <w:tcBorders>
              <w:top w:val="single" w:sz="4" w:space="0" w:color="auto"/>
              <w:left w:val="nil"/>
              <w:bottom w:val="double" w:sz="4" w:space="0" w:color="auto"/>
              <w:right w:val="nil"/>
            </w:tcBorders>
            <w:shd w:val="clear" w:color="auto" w:fill="auto"/>
            <w:noWrap/>
            <w:vAlign w:val="center"/>
          </w:tcPr>
          <w:p w14:paraId="519D2854" w14:textId="77777777" w:rsidR="007D7EEA" w:rsidRDefault="00DD2A4D">
            <w:pPr>
              <w:spacing w:after="0" w:line="240" w:lineRule="auto"/>
              <w:ind w:left="-144"/>
              <w:jc w:val="right"/>
              <w:rPr>
                <w:rFonts w:ascii="Arial" w:eastAsia="Times New Roman" w:hAnsi="Arial" w:cs="Arial"/>
                <w:b/>
                <w:bCs/>
                <w:color w:val="000000" w:themeColor="text1"/>
                <w:sz w:val="18"/>
                <w:szCs w:val="18"/>
                <w:lang w:val="en-PH"/>
              </w:rPr>
            </w:pPr>
            <w:r>
              <w:rPr>
                <w:rFonts w:ascii="Arial" w:eastAsia="Times New Roman" w:hAnsi="Arial" w:cs="Arial"/>
                <w:b/>
                <w:bCs/>
                <w:color w:val="000000"/>
                <w:sz w:val="18"/>
                <w:szCs w:val="18"/>
                <w:lang w:eastAsia="en-PH"/>
              </w:rPr>
              <w:t xml:space="preserve">P15,942,745 </w:t>
            </w:r>
          </w:p>
        </w:tc>
        <w:tc>
          <w:tcPr>
            <w:tcW w:w="1170" w:type="dxa"/>
            <w:tcBorders>
              <w:top w:val="single" w:sz="4" w:space="0" w:color="auto"/>
              <w:left w:val="nil"/>
              <w:bottom w:val="double" w:sz="4" w:space="0" w:color="auto"/>
              <w:right w:val="nil"/>
            </w:tcBorders>
            <w:shd w:val="clear" w:color="auto" w:fill="auto"/>
            <w:noWrap/>
            <w:vAlign w:val="center"/>
          </w:tcPr>
          <w:p w14:paraId="1520F164" w14:textId="77777777" w:rsidR="007D7EEA" w:rsidRDefault="00DD2A4D">
            <w:pPr>
              <w:spacing w:after="0" w:line="240" w:lineRule="auto"/>
              <w:ind w:left="-144"/>
              <w:jc w:val="right"/>
              <w:rPr>
                <w:rFonts w:ascii="Arial" w:eastAsia="Times New Roman" w:hAnsi="Arial" w:cs="Arial"/>
                <w:b/>
                <w:bCs/>
                <w:color w:val="000000" w:themeColor="text1"/>
                <w:sz w:val="18"/>
                <w:szCs w:val="18"/>
                <w:lang w:val="en-PH"/>
              </w:rPr>
            </w:pPr>
            <w:r>
              <w:rPr>
                <w:rFonts w:ascii="Arial" w:eastAsia="Times New Roman" w:hAnsi="Arial" w:cs="Arial"/>
                <w:b/>
                <w:bCs/>
                <w:color w:val="000000"/>
                <w:sz w:val="18"/>
                <w:szCs w:val="18"/>
                <w:lang w:eastAsia="en-PH"/>
              </w:rPr>
              <w:t>P190,633,450</w:t>
            </w:r>
          </w:p>
        </w:tc>
      </w:tr>
    </w:tbl>
    <w:p w14:paraId="491B0FB4" w14:textId="77777777" w:rsidR="007D7EEA" w:rsidRPr="0096065B" w:rsidRDefault="007D7EEA">
      <w:pPr>
        <w:spacing w:after="0" w:line="240" w:lineRule="auto"/>
        <w:jc w:val="both"/>
        <w:rPr>
          <w:rFonts w:ascii="Arial" w:hAnsi="Arial" w:cs="Arial"/>
        </w:rPr>
      </w:pPr>
    </w:p>
    <w:p w14:paraId="2E3653CB"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As can be gleaned in the preceding table, the accounts that were determined as dormant for periods ranging from 11 to more than 20 years pertains to the loans and advances that were extended by the AFPRSBS to its subsidiaries, former employees, real estate buyers and other major business enterprises and/or companies. </w:t>
      </w:r>
    </w:p>
    <w:p w14:paraId="75395FB2" w14:textId="77777777" w:rsidR="007D7EEA" w:rsidRPr="0096065B" w:rsidRDefault="007D7EEA">
      <w:pPr>
        <w:spacing w:after="0" w:line="240" w:lineRule="auto"/>
        <w:ind w:firstLine="720"/>
        <w:jc w:val="both"/>
        <w:rPr>
          <w:rFonts w:ascii="Arial" w:hAnsi="Arial" w:cs="Arial"/>
        </w:rPr>
      </w:pPr>
    </w:p>
    <w:p w14:paraId="35191E69" w14:textId="7702857F"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Verification of AFPRSBS’ semestral report on dormant receivable accounts revealed that 10 accounts totaling to P120.166 million are due from its closed subsidiaries.  The said report disclosed that the receivable from GMC in the amount of P8.676 million will be recommended for write-off once the documentary requirements needed are complied with. The Management approved the recommendation per Disposition Form dated June 23, 2022, the request for write-off of the dividend receivable in the amount of P2.320 million from </w:t>
      </w:r>
      <w:proofErr w:type="spellStart"/>
      <w:r w:rsidRPr="0096065B">
        <w:rPr>
          <w:rFonts w:ascii="Arial" w:hAnsi="Arial" w:cs="Arial"/>
          <w:sz w:val="22"/>
          <w:szCs w:val="22"/>
        </w:rPr>
        <w:t>Zenco</w:t>
      </w:r>
      <w:proofErr w:type="spellEnd"/>
      <w:r w:rsidRPr="0096065B">
        <w:rPr>
          <w:rFonts w:ascii="Arial" w:hAnsi="Arial" w:cs="Arial"/>
          <w:sz w:val="22"/>
          <w:szCs w:val="22"/>
        </w:rPr>
        <w:t xml:space="preserve"> Sales, Inc. and the same was submitted for review to its Legal Department.  Also, three (3) accounts totaling to P50.614 million are with pending cases. Further, 10 accounts totaling to P6.337 million are marked as for collection, of which two (2) accounts were identified with collection letters.  The remaining 25 accounts totaling P20.119 million are still for tracing and reconciliation due to difficulties in the retrieval of documents.  The receivable from PAPC has remain</w:t>
      </w:r>
      <w:r w:rsidR="004E0B83">
        <w:rPr>
          <w:rFonts w:ascii="Arial" w:hAnsi="Arial" w:cs="Arial"/>
          <w:sz w:val="22"/>
          <w:szCs w:val="22"/>
        </w:rPr>
        <w:t>ed</w:t>
      </w:r>
      <w:r w:rsidRPr="0096065B">
        <w:rPr>
          <w:rFonts w:ascii="Arial" w:hAnsi="Arial" w:cs="Arial"/>
          <w:sz w:val="22"/>
          <w:szCs w:val="22"/>
        </w:rPr>
        <w:t xml:space="preserve"> outstanding since the property was foreclosed on February 28, 2013 and is not yet consolidated in the name of AFPRSBS</w:t>
      </w:r>
      <w:r w:rsidRPr="0096065B">
        <w:rPr>
          <w:rStyle w:val="CommentReference"/>
          <w:rFonts w:ascii="Calibri" w:eastAsia="Calibri" w:hAnsi="Calibri" w:cs="Calibri"/>
          <w:sz w:val="22"/>
          <w:szCs w:val="22"/>
        </w:rPr>
        <w:t>.</w:t>
      </w:r>
      <w:r w:rsidRPr="0096065B">
        <w:rPr>
          <w:rFonts w:ascii="Arial" w:hAnsi="Arial" w:cs="Arial"/>
          <w:sz w:val="22"/>
          <w:szCs w:val="22"/>
        </w:rPr>
        <w:t xml:space="preserve"> For the other dormant receivables totaling P745.705 million, the Management provided 100 per cent allowance for doubtful accounts.</w:t>
      </w:r>
    </w:p>
    <w:p w14:paraId="1FB0679B" w14:textId="77777777" w:rsidR="007D7EEA" w:rsidRPr="0096065B" w:rsidRDefault="007D7EEA">
      <w:pPr>
        <w:spacing w:after="0" w:line="240" w:lineRule="auto"/>
        <w:ind w:firstLine="720"/>
        <w:jc w:val="both"/>
        <w:rPr>
          <w:rFonts w:ascii="Arial" w:hAnsi="Arial" w:cs="Arial"/>
        </w:rPr>
      </w:pPr>
    </w:p>
    <w:p w14:paraId="4D836765"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It can be recalled that MO No. 90 was issued directing the abolition of the AFPRSBS, privatization of its subsidiaries, and for other purposes.  In view thereof, the Audit Team would like to emphasize that under Section 3 of the said MO, the Board of AFPRSBS was directed to collect all indebtedness </w:t>
      </w:r>
      <w:r w:rsidRPr="0096065B">
        <w:rPr>
          <w:rFonts w:ascii="Arial" w:hAnsi="Arial" w:cs="Arial"/>
          <w:sz w:val="22"/>
          <w:szCs w:val="22"/>
        </w:rPr>
        <w:lastRenderedPageBreak/>
        <w:t xml:space="preserve">due to the AFPRSBS.  However, the balance of dormant receivables of the AFPRSBS remains significant at P960.928 million as at December 31, 2022. </w:t>
      </w:r>
      <w:r w:rsidRPr="00EE4B78">
        <w:rPr>
          <w:rFonts w:ascii="Arial" w:hAnsi="Arial" w:cs="Arial"/>
          <w:sz w:val="22"/>
          <w:szCs w:val="22"/>
        </w:rPr>
        <w:t>Even before the issuance MO No. 90, the Management approach in exhausting all available remedies to collect the said receivables resulted in minimal results, thus, the receivables remain outstanding for 11 to more than 20 years. This deprived the AFPRSBS of the much needed funds for its accelerated refund of MCs and payment of other obligations until the AFPRSBS generate sufficient funds from the disposal of its major assets</w:t>
      </w:r>
      <w:r w:rsidRPr="0096065B">
        <w:rPr>
          <w:rFonts w:ascii="Arial" w:hAnsi="Arial" w:cs="Arial"/>
          <w:color w:val="202124"/>
          <w:sz w:val="22"/>
          <w:szCs w:val="22"/>
        </w:rPr>
        <w:t>.</w:t>
      </w:r>
      <w:r w:rsidRPr="0096065B">
        <w:rPr>
          <w:rStyle w:val="CommentReference"/>
          <w:rFonts w:ascii="Calibri" w:eastAsia="Calibri" w:hAnsi="Calibri" w:cs="Calibri"/>
          <w:sz w:val="22"/>
          <w:szCs w:val="22"/>
        </w:rPr>
        <w:t xml:space="preserve"> </w:t>
      </w:r>
    </w:p>
    <w:p w14:paraId="45226F79" w14:textId="77777777" w:rsidR="007D7EEA" w:rsidRPr="0096065B" w:rsidRDefault="007D7EEA">
      <w:pPr>
        <w:spacing w:after="0" w:line="240" w:lineRule="auto"/>
        <w:jc w:val="both"/>
        <w:rPr>
          <w:rFonts w:ascii="Arial" w:hAnsi="Arial" w:cs="Arial"/>
        </w:rPr>
      </w:pPr>
    </w:p>
    <w:p w14:paraId="551B505E" w14:textId="6A410079"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reiterated with modifications our PY</w:t>
      </w:r>
      <w:r w:rsidR="00295E58" w:rsidRPr="0096065B">
        <w:rPr>
          <w:rFonts w:ascii="Arial" w:hAnsi="Arial" w:cs="Arial"/>
          <w:b/>
          <w:sz w:val="22"/>
          <w:szCs w:val="22"/>
        </w:rPr>
        <w:t>’</w:t>
      </w:r>
      <w:r w:rsidRPr="0096065B">
        <w:rPr>
          <w:rFonts w:ascii="Arial" w:hAnsi="Arial" w:cs="Arial"/>
          <w:b/>
          <w:sz w:val="22"/>
          <w:szCs w:val="22"/>
        </w:rPr>
        <w:t xml:space="preserve">s </w:t>
      </w:r>
      <w:r w:rsidR="00E74758" w:rsidRPr="0096065B">
        <w:rPr>
          <w:rFonts w:ascii="Arial" w:hAnsi="Arial" w:cs="Arial"/>
          <w:b/>
          <w:sz w:val="22"/>
          <w:szCs w:val="22"/>
        </w:rPr>
        <w:t xml:space="preserve">audit </w:t>
      </w:r>
      <w:r w:rsidRPr="0096065B">
        <w:rPr>
          <w:rFonts w:ascii="Arial" w:hAnsi="Arial" w:cs="Arial"/>
          <w:b/>
          <w:sz w:val="22"/>
          <w:szCs w:val="22"/>
        </w:rPr>
        <w:t>recommendations that Management:</w:t>
      </w:r>
    </w:p>
    <w:p w14:paraId="13E71712" w14:textId="77777777" w:rsidR="007D7EEA" w:rsidRPr="0096065B" w:rsidRDefault="007D7EEA">
      <w:pPr>
        <w:spacing w:after="0" w:line="240" w:lineRule="auto"/>
        <w:jc w:val="both"/>
        <w:rPr>
          <w:rFonts w:ascii="Arial" w:hAnsi="Arial" w:cs="Arial"/>
        </w:rPr>
      </w:pPr>
    </w:p>
    <w:p w14:paraId="236CB6C0" w14:textId="77777777" w:rsidR="007D7EEA" w:rsidRPr="0096065B" w:rsidRDefault="00DD2A4D">
      <w:pPr>
        <w:numPr>
          <w:ilvl w:val="0"/>
          <w:numId w:val="52"/>
        </w:numPr>
        <w:spacing w:after="0" w:line="240" w:lineRule="auto"/>
        <w:ind w:left="1656"/>
        <w:jc w:val="both"/>
        <w:rPr>
          <w:rFonts w:ascii="Arial" w:hAnsi="Arial" w:cs="Arial"/>
          <w:b/>
        </w:rPr>
      </w:pPr>
      <w:r w:rsidRPr="0096065B">
        <w:rPr>
          <w:rFonts w:ascii="Arial" w:hAnsi="Arial" w:cs="Arial"/>
          <w:b/>
        </w:rPr>
        <w:t>Exhaust all available remedies to collect all long outstanding/dormant/past due accounts and ensure proper documentation of accounts to coordinate with debtors concerned;</w:t>
      </w:r>
    </w:p>
    <w:p w14:paraId="1CABB9D8" w14:textId="77777777" w:rsidR="007D7EEA" w:rsidRPr="0096065B" w:rsidRDefault="007D7EEA">
      <w:pPr>
        <w:spacing w:after="0" w:line="240" w:lineRule="auto"/>
        <w:ind w:left="1170"/>
        <w:jc w:val="both"/>
        <w:rPr>
          <w:rFonts w:ascii="Arial" w:hAnsi="Arial" w:cs="Arial"/>
          <w:b/>
        </w:rPr>
      </w:pPr>
    </w:p>
    <w:p w14:paraId="030561FF" w14:textId="77777777" w:rsidR="007D7EEA" w:rsidRPr="0096065B" w:rsidRDefault="00DD2A4D">
      <w:pPr>
        <w:numPr>
          <w:ilvl w:val="0"/>
          <w:numId w:val="52"/>
        </w:numPr>
        <w:spacing w:after="0" w:line="240" w:lineRule="auto"/>
        <w:ind w:left="1656"/>
        <w:jc w:val="both"/>
        <w:rPr>
          <w:rFonts w:ascii="Arial" w:hAnsi="Arial" w:cs="Arial"/>
          <w:b/>
        </w:rPr>
      </w:pPr>
      <w:r w:rsidRPr="0096065B">
        <w:rPr>
          <w:rFonts w:ascii="Arial" w:hAnsi="Arial" w:cs="Arial"/>
          <w:b/>
        </w:rPr>
        <w:t>Devise other options and if warranted, resort to legal means to enforce settlement of accounts including those pertaining to PYs without request for write-off;</w:t>
      </w:r>
    </w:p>
    <w:p w14:paraId="008D34E7" w14:textId="77777777" w:rsidR="007D7EEA" w:rsidRPr="0096065B" w:rsidRDefault="007D7EEA">
      <w:pPr>
        <w:spacing w:after="0" w:line="240" w:lineRule="auto"/>
        <w:ind w:left="1170"/>
        <w:jc w:val="both"/>
        <w:rPr>
          <w:rFonts w:ascii="Arial" w:hAnsi="Arial" w:cs="Arial"/>
          <w:b/>
        </w:rPr>
      </w:pPr>
    </w:p>
    <w:p w14:paraId="44333D6A" w14:textId="77777777" w:rsidR="007D7EEA" w:rsidRPr="0096065B" w:rsidRDefault="00DD2A4D">
      <w:pPr>
        <w:numPr>
          <w:ilvl w:val="0"/>
          <w:numId w:val="52"/>
        </w:numPr>
        <w:spacing w:after="0" w:line="240" w:lineRule="auto"/>
        <w:ind w:left="1656"/>
        <w:jc w:val="both"/>
        <w:rPr>
          <w:rFonts w:ascii="Arial" w:hAnsi="Arial" w:cs="Arial"/>
          <w:b/>
        </w:rPr>
      </w:pPr>
      <w:r w:rsidRPr="0096065B">
        <w:rPr>
          <w:rFonts w:ascii="Arial" w:hAnsi="Arial" w:cs="Arial"/>
          <w:b/>
        </w:rPr>
        <w:t>Submit to the Audit Team copies of Demand/Collection Letters and/or other documents to support efforts exerted to collect the dormant accounts; and</w:t>
      </w:r>
    </w:p>
    <w:p w14:paraId="7CC7DE85" w14:textId="77777777" w:rsidR="007D7EEA" w:rsidRPr="0096065B" w:rsidRDefault="007D7EEA">
      <w:pPr>
        <w:spacing w:after="0" w:line="240" w:lineRule="auto"/>
        <w:ind w:left="1656"/>
        <w:jc w:val="both"/>
        <w:rPr>
          <w:rFonts w:ascii="Arial" w:hAnsi="Arial" w:cs="Arial"/>
          <w:b/>
        </w:rPr>
      </w:pPr>
    </w:p>
    <w:p w14:paraId="1AB08B4E" w14:textId="77777777" w:rsidR="007D7EEA" w:rsidRPr="0096065B" w:rsidRDefault="00DD2A4D">
      <w:pPr>
        <w:numPr>
          <w:ilvl w:val="0"/>
          <w:numId w:val="52"/>
        </w:numPr>
        <w:spacing w:after="0" w:line="240" w:lineRule="auto"/>
        <w:ind w:left="1656"/>
        <w:jc w:val="both"/>
        <w:rPr>
          <w:rFonts w:ascii="Arial" w:hAnsi="Arial" w:cs="Arial"/>
          <w:b/>
        </w:rPr>
      </w:pPr>
      <w:r w:rsidRPr="0096065B">
        <w:rPr>
          <w:rFonts w:ascii="Arial" w:hAnsi="Arial" w:cs="Arial"/>
          <w:b/>
        </w:rPr>
        <w:t>Request authority from COA to write-off dormant receivables as provided for under COA Circular No. 2016-005, when all collections efforts have failed and the accounts are considered non-recoverable.</w:t>
      </w:r>
    </w:p>
    <w:p w14:paraId="01DCF3E6" w14:textId="77777777" w:rsidR="007D7EEA" w:rsidRPr="0096065B" w:rsidRDefault="007D7EEA">
      <w:pPr>
        <w:pStyle w:val="NormalWeb"/>
        <w:spacing w:before="0" w:beforeAutospacing="0" w:after="0" w:afterAutospacing="0"/>
        <w:ind w:left="540"/>
        <w:jc w:val="both"/>
        <w:rPr>
          <w:rFonts w:ascii="Arial" w:hAnsi="Arial" w:cs="Arial"/>
          <w:b/>
          <w:sz w:val="22"/>
          <w:szCs w:val="22"/>
        </w:rPr>
      </w:pPr>
    </w:p>
    <w:p w14:paraId="148579C0" w14:textId="5ABC17D1"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Management commented that the dormant receivables of the </w:t>
      </w:r>
      <w:r w:rsidR="000C5F71">
        <w:rPr>
          <w:rFonts w:ascii="Arial" w:hAnsi="Arial" w:cs="Arial"/>
          <w:sz w:val="22"/>
          <w:szCs w:val="22"/>
        </w:rPr>
        <w:t>AFPRSBS</w:t>
      </w:r>
      <w:r w:rsidRPr="0096065B">
        <w:rPr>
          <w:rFonts w:ascii="Arial" w:hAnsi="Arial" w:cs="Arial"/>
          <w:sz w:val="22"/>
          <w:szCs w:val="22"/>
        </w:rPr>
        <w:t xml:space="preserve"> are as follows:</w:t>
      </w:r>
    </w:p>
    <w:p w14:paraId="5F9C8142" w14:textId="77777777" w:rsidR="007D7EEA" w:rsidRPr="0096065B" w:rsidRDefault="007D7EEA">
      <w:pPr>
        <w:pStyle w:val="NormalWeb"/>
        <w:spacing w:before="0" w:beforeAutospacing="0" w:after="0" w:afterAutospacing="0"/>
        <w:ind w:left="1260"/>
        <w:jc w:val="both"/>
        <w:rPr>
          <w:rFonts w:ascii="Arial" w:hAnsi="Arial" w:cs="Arial"/>
          <w:sz w:val="22"/>
          <w:szCs w:val="22"/>
        </w:rPr>
      </w:pPr>
    </w:p>
    <w:tbl>
      <w:tblPr>
        <w:tblW w:w="7570" w:type="dxa"/>
        <w:tblInd w:w="1250" w:type="dxa"/>
        <w:tblLayout w:type="fixed"/>
        <w:tblLook w:val="04A0" w:firstRow="1" w:lastRow="0" w:firstColumn="1" w:lastColumn="0" w:noHBand="0" w:noVBand="1"/>
      </w:tblPr>
      <w:tblGrid>
        <w:gridCol w:w="4960"/>
        <w:gridCol w:w="1260"/>
        <w:gridCol w:w="1350"/>
      </w:tblGrid>
      <w:tr w:rsidR="007D7EEA" w:rsidRPr="0077138C" w14:paraId="2FE54138" w14:textId="77777777" w:rsidTr="005E0FB2">
        <w:trPr>
          <w:trHeight w:val="486"/>
          <w:tblHeader/>
        </w:trPr>
        <w:tc>
          <w:tcPr>
            <w:tcW w:w="4960" w:type="dxa"/>
            <w:tcBorders>
              <w:top w:val="single" w:sz="8" w:space="0" w:color="auto"/>
              <w:bottom w:val="single" w:sz="8" w:space="0" w:color="auto"/>
            </w:tcBorders>
            <w:shd w:val="clear" w:color="auto" w:fill="auto"/>
            <w:vAlign w:val="center"/>
          </w:tcPr>
          <w:p w14:paraId="1217AEE6" w14:textId="77777777" w:rsidR="007D7EEA" w:rsidRPr="005E0FB2" w:rsidRDefault="00DD2A4D">
            <w:pPr>
              <w:spacing w:after="0" w:line="240" w:lineRule="auto"/>
              <w:ind w:left="-58" w:right="-58"/>
              <w:jc w:val="center"/>
              <w:rPr>
                <w:rFonts w:ascii="Arial" w:eastAsia="Times New Roman" w:hAnsi="Arial" w:cs="Arial"/>
                <w:b/>
                <w:color w:val="000000"/>
                <w:lang w:val="en-PH" w:eastAsia="en-PH"/>
              </w:rPr>
            </w:pPr>
            <w:r w:rsidRPr="005E0FB2">
              <w:rPr>
                <w:rFonts w:ascii="Arial" w:eastAsia="Times New Roman" w:hAnsi="Arial" w:cs="Arial"/>
                <w:b/>
                <w:color w:val="000000"/>
                <w:lang w:eastAsia="en-PH"/>
              </w:rPr>
              <w:t>Particulars</w:t>
            </w:r>
          </w:p>
        </w:tc>
        <w:tc>
          <w:tcPr>
            <w:tcW w:w="1260" w:type="dxa"/>
            <w:tcBorders>
              <w:top w:val="single" w:sz="8" w:space="0" w:color="auto"/>
              <w:bottom w:val="single" w:sz="8" w:space="0" w:color="auto"/>
            </w:tcBorders>
            <w:shd w:val="clear" w:color="auto" w:fill="auto"/>
            <w:vAlign w:val="center"/>
          </w:tcPr>
          <w:p w14:paraId="319D72F1" w14:textId="77777777" w:rsidR="007D7EEA" w:rsidRPr="005E0FB2" w:rsidRDefault="00DD2A4D">
            <w:pPr>
              <w:spacing w:after="0" w:line="240" w:lineRule="auto"/>
              <w:ind w:left="-58" w:right="-58"/>
              <w:jc w:val="center"/>
              <w:rPr>
                <w:rFonts w:ascii="Arial" w:eastAsia="Times New Roman" w:hAnsi="Arial" w:cs="Arial"/>
                <w:b/>
                <w:color w:val="000000"/>
                <w:lang w:eastAsia="en-PH"/>
              </w:rPr>
            </w:pPr>
            <w:r w:rsidRPr="005E0FB2">
              <w:rPr>
                <w:rFonts w:ascii="Arial" w:eastAsia="Times New Roman" w:hAnsi="Arial" w:cs="Arial"/>
                <w:b/>
                <w:color w:val="000000"/>
                <w:lang w:eastAsia="en-PH"/>
              </w:rPr>
              <w:t xml:space="preserve">Amount </w:t>
            </w:r>
          </w:p>
          <w:p w14:paraId="004F42AC" w14:textId="77777777" w:rsidR="007D7EEA" w:rsidRPr="005E0FB2" w:rsidRDefault="00DD2A4D">
            <w:pPr>
              <w:spacing w:after="0" w:line="240" w:lineRule="auto"/>
              <w:ind w:left="-58" w:right="-58"/>
              <w:jc w:val="center"/>
              <w:rPr>
                <w:rFonts w:ascii="Arial" w:eastAsia="Times New Roman" w:hAnsi="Arial" w:cs="Arial"/>
                <w:b/>
                <w:color w:val="000000"/>
                <w:lang w:val="en-PH" w:eastAsia="en-PH"/>
              </w:rPr>
            </w:pPr>
            <w:r w:rsidRPr="005E0FB2">
              <w:rPr>
                <w:rFonts w:ascii="Arial" w:eastAsia="Times New Roman" w:hAnsi="Arial" w:cs="Arial"/>
                <w:b/>
                <w:color w:val="000000"/>
                <w:lang w:eastAsia="en-PH"/>
              </w:rPr>
              <w:t>(In millions)</w:t>
            </w:r>
          </w:p>
        </w:tc>
        <w:tc>
          <w:tcPr>
            <w:tcW w:w="1350" w:type="dxa"/>
            <w:tcBorders>
              <w:top w:val="single" w:sz="8" w:space="0" w:color="auto"/>
              <w:bottom w:val="single" w:sz="8" w:space="0" w:color="auto"/>
            </w:tcBorders>
            <w:shd w:val="clear" w:color="auto" w:fill="auto"/>
            <w:vAlign w:val="center"/>
          </w:tcPr>
          <w:p w14:paraId="7BBD8005" w14:textId="77777777" w:rsidR="007D7EEA" w:rsidRPr="005E0FB2" w:rsidRDefault="00DD2A4D">
            <w:pPr>
              <w:spacing w:after="0" w:line="240" w:lineRule="auto"/>
              <w:ind w:left="-58" w:right="-58"/>
              <w:jc w:val="center"/>
              <w:rPr>
                <w:rFonts w:ascii="Arial" w:eastAsia="Times New Roman" w:hAnsi="Arial" w:cs="Arial"/>
                <w:b/>
                <w:color w:val="000000"/>
                <w:lang w:val="en-PH" w:eastAsia="en-PH"/>
              </w:rPr>
            </w:pPr>
            <w:r w:rsidRPr="005E0FB2">
              <w:rPr>
                <w:rFonts w:ascii="Arial" w:eastAsia="Times New Roman" w:hAnsi="Arial" w:cs="Arial"/>
                <w:b/>
                <w:color w:val="000000"/>
                <w:lang w:eastAsia="en-PH"/>
              </w:rPr>
              <w:t>Percentage</w:t>
            </w:r>
          </w:p>
        </w:tc>
      </w:tr>
      <w:tr w:rsidR="007D7EEA" w:rsidRPr="0077138C" w14:paraId="58F582E4" w14:textId="77777777" w:rsidTr="005E0FB2">
        <w:trPr>
          <w:trHeight w:val="722"/>
        </w:trPr>
        <w:tc>
          <w:tcPr>
            <w:tcW w:w="4960" w:type="dxa"/>
            <w:tcBorders>
              <w:top w:val="single" w:sz="8" w:space="0" w:color="auto"/>
            </w:tcBorders>
            <w:shd w:val="clear" w:color="auto" w:fill="auto"/>
            <w:vAlign w:val="center"/>
          </w:tcPr>
          <w:p w14:paraId="0903DDE2" w14:textId="77777777" w:rsidR="007D7EEA" w:rsidRPr="005E0FB2" w:rsidRDefault="00DD2A4D">
            <w:pPr>
              <w:pStyle w:val="ListParagraph"/>
              <w:numPr>
                <w:ilvl w:val="0"/>
                <w:numId w:val="53"/>
              </w:numPr>
              <w:spacing w:after="120"/>
              <w:ind w:left="360"/>
              <w:jc w:val="both"/>
              <w:rPr>
                <w:rFonts w:ascii="Arial" w:hAnsi="Arial" w:cs="Arial"/>
                <w:color w:val="000000"/>
                <w:sz w:val="22"/>
                <w:lang w:val="en-PH" w:eastAsia="en-PH"/>
              </w:rPr>
            </w:pPr>
            <w:r w:rsidRPr="005E0FB2">
              <w:rPr>
                <w:rFonts w:ascii="Arial" w:hAnsi="Arial" w:cs="Arial"/>
                <w:color w:val="000000"/>
                <w:sz w:val="22"/>
                <w:lang w:eastAsia="en-PH"/>
              </w:rPr>
              <w:t>Four accounts that are currently undergoing legal proceedings/titling/ awaiting writ of execution (PAPC/RCJ/</w:t>
            </w:r>
            <w:proofErr w:type="spellStart"/>
            <w:r w:rsidRPr="005E0FB2">
              <w:rPr>
                <w:rFonts w:ascii="Arial" w:hAnsi="Arial" w:cs="Arial"/>
                <w:color w:val="000000"/>
                <w:sz w:val="22"/>
                <w:lang w:eastAsia="en-PH"/>
              </w:rPr>
              <w:t>Calidguid</w:t>
            </w:r>
            <w:proofErr w:type="spellEnd"/>
            <w:r w:rsidRPr="005E0FB2">
              <w:rPr>
                <w:rFonts w:ascii="Arial" w:hAnsi="Arial" w:cs="Arial"/>
                <w:color w:val="000000"/>
                <w:sz w:val="22"/>
                <w:lang w:eastAsia="en-PH"/>
              </w:rPr>
              <w:t>/MIIC)</w:t>
            </w:r>
          </w:p>
        </w:tc>
        <w:tc>
          <w:tcPr>
            <w:tcW w:w="1260" w:type="dxa"/>
            <w:tcBorders>
              <w:top w:val="single" w:sz="8" w:space="0" w:color="auto"/>
            </w:tcBorders>
            <w:shd w:val="clear" w:color="auto" w:fill="auto"/>
            <w:vAlign w:val="center"/>
          </w:tcPr>
          <w:p w14:paraId="7463E716" w14:textId="77777777" w:rsidR="007D7EEA" w:rsidRPr="005E0FB2" w:rsidRDefault="00DD2A4D">
            <w:pPr>
              <w:spacing w:after="0" w:line="240" w:lineRule="auto"/>
              <w:jc w:val="right"/>
              <w:rPr>
                <w:rFonts w:ascii="Arial" w:eastAsia="Times New Roman" w:hAnsi="Arial" w:cs="Arial"/>
                <w:color w:val="000000"/>
                <w:lang w:val="en-PH" w:eastAsia="en-PH"/>
              </w:rPr>
            </w:pPr>
            <w:r w:rsidRPr="005E0FB2">
              <w:rPr>
                <w:rFonts w:ascii="Arial" w:eastAsia="Times New Roman" w:hAnsi="Arial" w:cs="Arial"/>
                <w:color w:val="000000"/>
                <w:lang w:eastAsia="en-PH"/>
              </w:rPr>
              <w:t>P 764.742</w:t>
            </w:r>
          </w:p>
        </w:tc>
        <w:tc>
          <w:tcPr>
            <w:tcW w:w="1350" w:type="dxa"/>
            <w:tcBorders>
              <w:top w:val="single" w:sz="8" w:space="0" w:color="auto"/>
            </w:tcBorders>
            <w:shd w:val="clear" w:color="auto" w:fill="auto"/>
            <w:vAlign w:val="center"/>
          </w:tcPr>
          <w:p w14:paraId="37A53BD7" w14:textId="77777777" w:rsidR="007D7EEA" w:rsidRPr="005E0FB2" w:rsidRDefault="00DD2A4D">
            <w:pPr>
              <w:spacing w:after="0" w:line="240" w:lineRule="auto"/>
              <w:ind w:right="-144"/>
              <w:jc w:val="center"/>
              <w:rPr>
                <w:rFonts w:ascii="Arial" w:eastAsia="Times New Roman" w:hAnsi="Arial" w:cs="Arial"/>
                <w:color w:val="000000"/>
                <w:lang w:val="en-PH" w:eastAsia="en-PH"/>
              </w:rPr>
            </w:pPr>
            <w:r w:rsidRPr="005E0FB2">
              <w:rPr>
                <w:rFonts w:ascii="Arial" w:eastAsia="Times New Roman" w:hAnsi="Arial" w:cs="Arial"/>
                <w:color w:val="000000"/>
                <w:lang w:eastAsia="en-PH"/>
              </w:rPr>
              <w:t>80.00</w:t>
            </w:r>
          </w:p>
        </w:tc>
      </w:tr>
      <w:tr w:rsidR="007D7EEA" w:rsidRPr="0077138C" w14:paraId="7B39D1DC" w14:textId="77777777" w:rsidTr="005E0FB2">
        <w:trPr>
          <w:trHeight w:val="959"/>
        </w:trPr>
        <w:tc>
          <w:tcPr>
            <w:tcW w:w="4960" w:type="dxa"/>
            <w:tcBorders>
              <w:top w:val="nil"/>
            </w:tcBorders>
            <w:shd w:val="clear" w:color="auto" w:fill="auto"/>
            <w:vAlign w:val="center"/>
          </w:tcPr>
          <w:p w14:paraId="5DAB5239" w14:textId="77777777" w:rsidR="007D7EEA" w:rsidRPr="005E0FB2" w:rsidRDefault="00DD2A4D">
            <w:pPr>
              <w:pStyle w:val="ListParagraph"/>
              <w:numPr>
                <w:ilvl w:val="0"/>
                <w:numId w:val="53"/>
              </w:numPr>
              <w:spacing w:after="120"/>
              <w:ind w:left="360"/>
              <w:jc w:val="both"/>
              <w:rPr>
                <w:rFonts w:ascii="Arial" w:hAnsi="Arial" w:cs="Arial"/>
                <w:color w:val="000000"/>
                <w:sz w:val="22"/>
                <w:lang w:val="en-PH" w:eastAsia="en-PH"/>
              </w:rPr>
            </w:pPr>
            <w:r w:rsidRPr="005E0FB2">
              <w:rPr>
                <w:rFonts w:ascii="Arial" w:hAnsi="Arial" w:cs="Arial"/>
                <w:color w:val="000000"/>
                <w:sz w:val="22"/>
                <w:lang w:eastAsia="en-PH"/>
              </w:rPr>
              <w:t>Receivables/advances to various subsidiaries and affiliates that are already closed and are subject to terminal audit/dissolution procedures</w:t>
            </w:r>
          </w:p>
        </w:tc>
        <w:tc>
          <w:tcPr>
            <w:tcW w:w="1260" w:type="dxa"/>
            <w:tcBorders>
              <w:top w:val="nil"/>
            </w:tcBorders>
            <w:shd w:val="clear" w:color="auto" w:fill="auto"/>
            <w:vAlign w:val="center"/>
          </w:tcPr>
          <w:p w14:paraId="107E360B" w14:textId="77777777" w:rsidR="007D7EEA" w:rsidRPr="005E0FB2" w:rsidRDefault="00DD2A4D">
            <w:pPr>
              <w:spacing w:after="0" w:line="240" w:lineRule="auto"/>
              <w:jc w:val="right"/>
              <w:rPr>
                <w:rFonts w:ascii="Arial" w:eastAsia="Times New Roman" w:hAnsi="Arial" w:cs="Arial"/>
                <w:color w:val="000000"/>
                <w:lang w:val="en-PH" w:eastAsia="en-PH"/>
              </w:rPr>
            </w:pPr>
            <w:r w:rsidRPr="005E0FB2">
              <w:rPr>
                <w:rFonts w:ascii="Arial" w:eastAsia="Times New Roman" w:hAnsi="Arial" w:cs="Arial"/>
                <w:color w:val="000000"/>
                <w:lang w:eastAsia="en-PH"/>
              </w:rPr>
              <w:t>125.228</w:t>
            </w:r>
          </w:p>
        </w:tc>
        <w:tc>
          <w:tcPr>
            <w:tcW w:w="1350" w:type="dxa"/>
            <w:tcBorders>
              <w:top w:val="nil"/>
            </w:tcBorders>
            <w:shd w:val="clear" w:color="auto" w:fill="auto"/>
            <w:vAlign w:val="center"/>
          </w:tcPr>
          <w:p w14:paraId="54EBF599" w14:textId="77777777" w:rsidR="007D7EEA" w:rsidRPr="005E0FB2" w:rsidRDefault="00DD2A4D">
            <w:pPr>
              <w:spacing w:after="0" w:line="240" w:lineRule="auto"/>
              <w:ind w:right="-144"/>
              <w:jc w:val="center"/>
              <w:rPr>
                <w:rFonts w:ascii="Arial" w:eastAsia="Times New Roman" w:hAnsi="Arial" w:cs="Arial"/>
                <w:color w:val="000000"/>
                <w:lang w:val="en-PH" w:eastAsia="en-PH"/>
              </w:rPr>
            </w:pPr>
            <w:r w:rsidRPr="005E0FB2">
              <w:rPr>
                <w:rFonts w:ascii="Arial" w:eastAsia="Times New Roman" w:hAnsi="Arial" w:cs="Arial"/>
                <w:color w:val="000000"/>
                <w:lang w:eastAsia="en-PH"/>
              </w:rPr>
              <w:t>13.00</w:t>
            </w:r>
          </w:p>
        </w:tc>
      </w:tr>
      <w:tr w:rsidR="007D7EEA" w:rsidRPr="0077138C" w14:paraId="20D1433C" w14:textId="77777777" w:rsidTr="005E0FB2">
        <w:trPr>
          <w:trHeight w:val="722"/>
        </w:trPr>
        <w:tc>
          <w:tcPr>
            <w:tcW w:w="4960" w:type="dxa"/>
            <w:tcBorders>
              <w:top w:val="nil"/>
            </w:tcBorders>
            <w:shd w:val="clear" w:color="auto" w:fill="auto"/>
            <w:vAlign w:val="center"/>
          </w:tcPr>
          <w:p w14:paraId="7434D89C" w14:textId="77777777" w:rsidR="007D7EEA" w:rsidRPr="005E0FB2" w:rsidRDefault="00DD2A4D">
            <w:pPr>
              <w:pStyle w:val="ListParagraph"/>
              <w:numPr>
                <w:ilvl w:val="0"/>
                <w:numId w:val="53"/>
              </w:numPr>
              <w:spacing w:after="120"/>
              <w:ind w:left="360"/>
              <w:jc w:val="both"/>
              <w:rPr>
                <w:rFonts w:ascii="Arial" w:hAnsi="Arial" w:cs="Arial"/>
                <w:color w:val="000000"/>
                <w:sz w:val="22"/>
                <w:lang w:val="en-PH" w:eastAsia="en-PH"/>
              </w:rPr>
            </w:pPr>
            <w:r w:rsidRPr="005E0FB2">
              <w:rPr>
                <w:rFonts w:ascii="Arial" w:hAnsi="Arial" w:cs="Arial"/>
                <w:color w:val="000000"/>
                <w:sz w:val="22"/>
                <w:lang w:eastAsia="en-PH"/>
              </w:rPr>
              <w:t>To be recovered after sale of the subsidiaries/reconciliation with JV partners (MDC/API/SLDC)</w:t>
            </w:r>
          </w:p>
        </w:tc>
        <w:tc>
          <w:tcPr>
            <w:tcW w:w="1260" w:type="dxa"/>
            <w:tcBorders>
              <w:top w:val="nil"/>
            </w:tcBorders>
            <w:shd w:val="clear" w:color="auto" w:fill="auto"/>
            <w:vAlign w:val="center"/>
          </w:tcPr>
          <w:p w14:paraId="2A66C3E5" w14:textId="77777777" w:rsidR="007D7EEA" w:rsidRPr="005E0FB2" w:rsidRDefault="00DD2A4D">
            <w:pPr>
              <w:spacing w:after="0" w:line="240" w:lineRule="auto"/>
              <w:jc w:val="right"/>
              <w:rPr>
                <w:rFonts w:ascii="Arial" w:eastAsia="Times New Roman" w:hAnsi="Arial" w:cs="Arial"/>
                <w:color w:val="000000"/>
                <w:lang w:val="en-PH" w:eastAsia="en-PH"/>
              </w:rPr>
            </w:pPr>
            <w:r w:rsidRPr="005E0FB2">
              <w:rPr>
                <w:rFonts w:ascii="Arial" w:eastAsia="Times New Roman" w:hAnsi="Arial" w:cs="Arial"/>
                <w:color w:val="000000"/>
                <w:lang w:eastAsia="en-PH"/>
              </w:rPr>
              <w:t>24.894</w:t>
            </w:r>
          </w:p>
        </w:tc>
        <w:tc>
          <w:tcPr>
            <w:tcW w:w="1350" w:type="dxa"/>
            <w:tcBorders>
              <w:top w:val="nil"/>
            </w:tcBorders>
            <w:shd w:val="clear" w:color="auto" w:fill="auto"/>
            <w:vAlign w:val="center"/>
          </w:tcPr>
          <w:p w14:paraId="4375FF55" w14:textId="77777777" w:rsidR="007D7EEA" w:rsidRPr="005E0FB2" w:rsidRDefault="00DD2A4D">
            <w:pPr>
              <w:spacing w:after="0" w:line="240" w:lineRule="auto"/>
              <w:ind w:right="-288"/>
              <w:jc w:val="center"/>
              <w:rPr>
                <w:rFonts w:ascii="Arial" w:eastAsia="Times New Roman" w:hAnsi="Arial" w:cs="Arial"/>
                <w:color w:val="000000"/>
                <w:lang w:val="en-PH" w:eastAsia="en-PH"/>
              </w:rPr>
            </w:pPr>
            <w:r w:rsidRPr="005E0FB2">
              <w:rPr>
                <w:rFonts w:ascii="Arial" w:eastAsia="Times New Roman" w:hAnsi="Arial" w:cs="Arial"/>
                <w:color w:val="000000"/>
                <w:lang w:eastAsia="en-PH"/>
              </w:rPr>
              <w:t>2.60</w:t>
            </w:r>
          </w:p>
        </w:tc>
      </w:tr>
      <w:tr w:rsidR="00125270" w:rsidRPr="0077138C" w14:paraId="42B3452C" w14:textId="77777777" w:rsidTr="005E0FB2">
        <w:trPr>
          <w:trHeight w:val="722"/>
        </w:trPr>
        <w:tc>
          <w:tcPr>
            <w:tcW w:w="4960" w:type="dxa"/>
            <w:tcBorders>
              <w:top w:val="nil"/>
            </w:tcBorders>
            <w:shd w:val="clear" w:color="auto" w:fill="auto"/>
            <w:vAlign w:val="center"/>
          </w:tcPr>
          <w:p w14:paraId="5E3E581A" w14:textId="4CE93505" w:rsidR="00125270" w:rsidRPr="00125270" w:rsidRDefault="00125270" w:rsidP="00125270">
            <w:pPr>
              <w:spacing w:after="120"/>
              <w:jc w:val="both"/>
              <w:rPr>
                <w:rFonts w:ascii="Arial" w:hAnsi="Arial" w:cs="Arial"/>
                <w:i/>
                <w:color w:val="000000"/>
                <w:lang w:eastAsia="en-PH"/>
              </w:rPr>
            </w:pPr>
            <w:r w:rsidRPr="000966CD">
              <w:rPr>
                <w:rFonts w:ascii="Arial" w:hAnsi="Arial" w:cs="Arial"/>
                <w:i/>
                <w:color w:val="000000"/>
                <w:sz w:val="18"/>
                <w:lang w:eastAsia="en-PH"/>
              </w:rPr>
              <w:t>(Forward)</w:t>
            </w:r>
          </w:p>
        </w:tc>
        <w:tc>
          <w:tcPr>
            <w:tcW w:w="1260" w:type="dxa"/>
            <w:tcBorders>
              <w:top w:val="nil"/>
            </w:tcBorders>
            <w:shd w:val="clear" w:color="auto" w:fill="auto"/>
            <w:vAlign w:val="center"/>
          </w:tcPr>
          <w:p w14:paraId="18C6CDEA" w14:textId="77777777" w:rsidR="00125270" w:rsidRPr="005E0FB2" w:rsidRDefault="00125270">
            <w:pPr>
              <w:spacing w:after="0" w:line="240" w:lineRule="auto"/>
              <w:jc w:val="right"/>
              <w:rPr>
                <w:rFonts w:ascii="Arial" w:eastAsia="Times New Roman" w:hAnsi="Arial" w:cs="Arial"/>
                <w:color w:val="000000"/>
                <w:lang w:eastAsia="en-PH"/>
              </w:rPr>
            </w:pPr>
          </w:p>
        </w:tc>
        <w:tc>
          <w:tcPr>
            <w:tcW w:w="1350" w:type="dxa"/>
            <w:tcBorders>
              <w:top w:val="nil"/>
            </w:tcBorders>
            <w:shd w:val="clear" w:color="auto" w:fill="auto"/>
            <w:vAlign w:val="center"/>
          </w:tcPr>
          <w:p w14:paraId="1DD65623" w14:textId="77777777" w:rsidR="00125270" w:rsidRPr="005E0FB2" w:rsidRDefault="00125270">
            <w:pPr>
              <w:spacing w:after="0" w:line="240" w:lineRule="auto"/>
              <w:ind w:right="-288"/>
              <w:jc w:val="center"/>
              <w:rPr>
                <w:rFonts w:ascii="Arial" w:eastAsia="Times New Roman" w:hAnsi="Arial" w:cs="Arial"/>
                <w:color w:val="000000"/>
                <w:lang w:eastAsia="en-PH"/>
              </w:rPr>
            </w:pPr>
          </w:p>
        </w:tc>
      </w:tr>
      <w:tr w:rsidR="007D7EEA" w:rsidRPr="0077138C" w14:paraId="36284DDB" w14:textId="77777777" w:rsidTr="005E0FB2">
        <w:trPr>
          <w:trHeight w:val="722"/>
        </w:trPr>
        <w:tc>
          <w:tcPr>
            <w:tcW w:w="4960" w:type="dxa"/>
            <w:tcBorders>
              <w:top w:val="nil"/>
            </w:tcBorders>
            <w:shd w:val="clear" w:color="auto" w:fill="auto"/>
            <w:vAlign w:val="center"/>
          </w:tcPr>
          <w:p w14:paraId="170D2918" w14:textId="77777777" w:rsidR="007D7EEA" w:rsidRPr="005E0FB2" w:rsidRDefault="00DD2A4D">
            <w:pPr>
              <w:pStyle w:val="ListParagraph"/>
              <w:numPr>
                <w:ilvl w:val="0"/>
                <w:numId w:val="53"/>
              </w:numPr>
              <w:spacing w:after="120"/>
              <w:ind w:left="360"/>
              <w:jc w:val="both"/>
              <w:rPr>
                <w:rFonts w:ascii="Arial" w:hAnsi="Arial" w:cs="Arial"/>
                <w:color w:val="000000"/>
                <w:sz w:val="22"/>
                <w:lang w:val="en-PH" w:eastAsia="en-PH"/>
              </w:rPr>
            </w:pPr>
            <w:r w:rsidRPr="005E0FB2">
              <w:rPr>
                <w:rFonts w:ascii="Arial" w:hAnsi="Arial" w:cs="Arial"/>
                <w:color w:val="000000"/>
                <w:sz w:val="22"/>
                <w:lang w:eastAsia="en-PH"/>
              </w:rPr>
              <w:lastRenderedPageBreak/>
              <w:t>Subject to offsetting or write-off, as applicable, from payables with the contractors after reconciliation</w:t>
            </w:r>
          </w:p>
        </w:tc>
        <w:tc>
          <w:tcPr>
            <w:tcW w:w="1260" w:type="dxa"/>
            <w:tcBorders>
              <w:top w:val="nil"/>
            </w:tcBorders>
            <w:shd w:val="clear" w:color="auto" w:fill="auto"/>
            <w:vAlign w:val="center"/>
          </w:tcPr>
          <w:p w14:paraId="6EEE3E74" w14:textId="77777777" w:rsidR="007D7EEA" w:rsidRPr="005E0FB2" w:rsidRDefault="00DD2A4D">
            <w:pPr>
              <w:spacing w:after="0" w:line="240" w:lineRule="auto"/>
              <w:jc w:val="right"/>
              <w:rPr>
                <w:rFonts w:ascii="Arial" w:eastAsia="Times New Roman" w:hAnsi="Arial" w:cs="Arial"/>
                <w:color w:val="000000"/>
                <w:lang w:val="en-PH" w:eastAsia="en-PH"/>
              </w:rPr>
            </w:pPr>
            <w:r w:rsidRPr="005E0FB2">
              <w:rPr>
                <w:rFonts w:ascii="Arial" w:eastAsia="Times New Roman" w:hAnsi="Arial" w:cs="Arial"/>
                <w:color w:val="000000"/>
                <w:lang w:eastAsia="en-PH"/>
              </w:rPr>
              <w:t>8.839</w:t>
            </w:r>
          </w:p>
        </w:tc>
        <w:tc>
          <w:tcPr>
            <w:tcW w:w="1350" w:type="dxa"/>
            <w:tcBorders>
              <w:top w:val="nil"/>
            </w:tcBorders>
            <w:shd w:val="clear" w:color="auto" w:fill="auto"/>
            <w:vAlign w:val="center"/>
          </w:tcPr>
          <w:p w14:paraId="44DEE5F2" w14:textId="77777777" w:rsidR="007D7EEA" w:rsidRPr="005E0FB2" w:rsidRDefault="00DD2A4D">
            <w:pPr>
              <w:spacing w:after="0" w:line="240" w:lineRule="auto"/>
              <w:ind w:right="-288"/>
              <w:jc w:val="center"/>
              <w:rPr>
                <w:rFonts w:ascii="Arial" w:eastAsia="Times New Roman" w:hAnsi="Arial" w:cs="Arial"/>
                <w:color w:val="000000"/>
                <w:lang w:val="en-PH" w:eastAsia="en-PH"/>
              </w:rPr>
            </w:pPr>
            <w:r w:rsidRPr="005E0FB2">
              <w:rPr>
                <w:rFonts w:ascii="Arial" w:eastAsia="Times New Roman" w:hAnsi="Arial" w:cs="Arial"/>
                <w:color w:val="000000"/>
                <w:lang w:eastAsia="en-PH"/>
              </w:rPr>
              <w:t>1.00</w:t>
            </w:r>
          </w:p>
        </w:tc>
      </w:tr>
      <w:tr w:rsidR="007D7EEA" w:rsidRPr="0077138C" w14:paraId="100228D7" w14:textId="77777777" w:rsidTr="005E0FB2">
        <w:trPr>
          <w:trHeight w:val="486"/>
        </w:trPr>
        <w:tc>
          <w:tcPr>
            <w:tcW w:w="4960" w:type="dxa"/>
            <w:tcBorders>
              <w:top w:val="nil"/>
              <w:bottom w:val="single" w:sz="4" w:space="0" w:color="auto"/>
            </w:tcBorders>
            <w:shd w:val="clear" w:color="auto" w:fill="auto"/>
            <w:vAlign w:val="center"/>
          </w:tcPr>
          <w:p w14:paraId="433F9556" w14:textId="77777777" w:rsidR="007D7EEA" w:rsidRPr="005E0FB2" w:rsidRDefault="00DD2A4D">
            <w:pPr>
              <w:pStyle w:val="ListParagraph"/>
              <w:numPr>
                <w:ilvl w:val="0"/>
                <w:numId w:val="53"/>
              </w:numPr>
              <w:spacing w:after="120"/>
              <w:ind w:left="360"/>
              <w:jc w:val="both"/>
              <w:rPr>
                <w:rFonts w:ascii="Arial" w:hAnsi="Arial" w:cs="Arial"/>
                <w:color w:val="000000"/>
                <w:sz w:val="22"/>
                <w:lang w:val="en-PH" w:eastAsia="en-PH"/>
              </w:rPr>
            </w:pPr>
            <w:r w:rsidRPr="005E0FB2">
              <w:rPr>
                <w:rFonts w:ascii="Arial" w:hAnsi="Arial" w:cs="Arial"/>
                <w:color w:val="000000"/>
                <w:sz w:val="22"/>
                <w:lang w:eastAsia="en-PH"/>
              </w:rPr>
              <w:t>Other receivables for collection or write-off.  Accounts are undergoing evaluation</w:t>
            </w:r>
          </w:p>
        </w:tc>
        <w:tc>
          <w:tcPr>
            <w:tcW w:w="1260" w:type="dxa"/>
            <w:tcBorders>
              <w:top w:val="nil"/>
              <w:bottom w:val="single" w:sz="4" w:space="0" w:color="auto"/>
            </w:tcBorders>
            <w:shd w:val="clear" w:color="auto" w:fill="auto"/>
            <w:vAlign w:val="center"/>
          </w:tcPr>
          <w:p w14:paraId="7950E8B8" w14:textId="77777777" w:rsidR="007D7EEA" w:rsidRPr="005E0FB2" w:rsidRDefault="00DD2A4D">
            <w:pPr>
              <w:spacing w:after="0" w:line="240" w:lineRule="auto"/>
              <w:jc w:val="right"/>
              <w:rPr>
                <w:rFonts w:ascii="Arial" w:eastAsia="Times New Roman" w:hAnsi="Arial" w:cs="Arial"/>
                <w:color w:val="000000"/>
                <w:lang w:val="en-PH" w:eastAsia="en-PH"/>
              </w:rPr>
            </w:pPr>
            <w:r w:rsidRPr="005E0FB2">
              <w:rPr>
                <w:rFonts w:ascii="Arial" w:eastAsia="Times New Roman" w:hAnsi="Arial" w:cs="Arial"/>
                <w:color w:val="000000"/>
                <w:lang w:eastAsia="en-PH"/>
              </w:rPr>
              <w:t>37.225</w:t>
            </w:r>
          </w:p>
        </w:tc>
        <w:tc>
          <w:tcPr>
            <w:tcW w:w="1350" w:type="dxa"/>
            <w:tcBorders>
              <w:top w:val="nil"/>
              <w:bottom w:val="single" w:sz="4" w:space="0" w:color="auto"/>
            </w:tcBorders>
            <w:shd w:val="clear" w:color="auto" w:fill="auto"/>
            <w:vAlign w:val="center"/>
          </w:tcPr>
          <w:p w14:paraId="2FFCCAF0" w14:textId="77777777" w:rsidR="007D7EEA" w:rsidRPr="005E0FB2" w:rsidRDefault="00DD2A4D">
            <w:pPr>
              <w:spacing w:after="0" w:line="240" w:lineRule="auto"/>
              <w:ind w:right="-288"/>
              <w:jc w:val="center"/>
              <w:rPr>
                <w:rFonts w:ascii="Arial" w:eastAsia="Times New Roman" w:hAnsi="Arial" w:cs="Arial"/>
                <w:color w:val="000000"/>
                <w:lang w:val="en-PH" w:eastAsia="en-PH"/>
              </w:rPr>
            </w:pPr>
            <w:r w:rsidRPr="005E0FB2">
              <w:rPr>
                <w:rFonts w:ascii="Arial" w:eastAsia="Times New Roman" w:hAnsi="Arial" w:cs="Arial"/>
                <w:color w:val="000000"/>
                <w:lang w:eastAsia="en-PH"/>
              </w:rPr>
              <w:t>3.40</w:t>
            </w:r>
          </w:p>
        </w:tc>
      </w:tr>
      <w:tr w:rsidR="007D7EEA" w:rsidRPr="0077138C" w14:paraId="1B955E3B" w14:textId="77777777" w:rsidTr="005E0FB2">
        <w:trPr>
          <w:trHeight w:val="317"/>
        </w:trPr>
        <w:tc>
          <w:tcPr>
            <w:tcW w:w="4960" w:type="dxa"/>
            <w:tcBorders>
              <w:top w:val="single" w:sz="4" w:space="0" w:color="auto"/>
              <w:bottom w:val="double" w:sz="4" w:space="0" w:color="auto"/>
            </w:tcBorders>
            <w:shd w:val="clear" w:color="auto" w:fill="auto"/>
            <w:vAlign w:val="center"/>
          </w:tcPr>
          <w:p w14:paraId="3DE576CE" w14:textId="77777777" w:rsidR="007D7EEA" w:rsidRPr="005E0FB2" w:rsidRDefault="00DD2A4D">
            <w:pPr>
              <w:spacing w:after="0"/>
              <w:rPr>
                <w:rFonts w:ascii="Arial" w:hAnsi="Arial" w:cs="Arial"/>
                <w:b/>
                <w:color w:val="000000"/>
                <w:lang w:eastAsia="en-PH"/>
              </w:rPr>
            </w:pPr>
            <w:r w:rsidRPr="005E0FB2">
              <w:rPr>
                <w:rFonts w:ascii="Arial" w:hAnsi="Arial" w:cs="Arial"/>
                <w:b/>
                <w:color w:val="000000"/>
                <w:lang w:eastAsia="en-PH"/>
              </w:rPr>
              <w:t>Total</w:t>
            </w:r>
          </w:p>
        </w:tc>
        <w:tc>
          <w:tcPr>
            <w:tcW w:w="1260" w:type="dxa"/>
            <w:tcBorders>
              <w:top w:val="single" w:sz="4" w:space="0" w:color="auto"/>
              <w:bottom w:val="double" w:sz="4" w:space="0" w:color="auto"/>
            </w:tcBorders>
            <w:shd w:val="clear" w:color="auto" w:fill="auto"/>
            <w:vAlign w:val="center"/>
          </w:tcPr>
          <w:p w14:paraId="270B873E" w14:textId="77777777" w:rsidR="007D7EEA" w:rsidRPr="005E0FB2" w:rsidRDefault="00DD2A4D">
            <w:pPr>
              <w:spacing w:after="0" w:line="240" w:lineRule="auto"/>
              <w:jc w:val="right"/>
              <w:rPr>
                <w:rFonts w:ascii="Arial" w:eastAsia="Times New Roman" w:hAnsi="Arial" w:cs="Arial"/>
                <w:b/>
                <w:color w:val="000000"/>
                <w:lang w:eastAsia="en-PH"/>
              </w:rPr>
            </w:pPr>
            <w:r w:rsidRPr="005E0FB2">
              <w:rPr>
                <w:rFonts w:ascii="Arial" w:eastAsia="Times New Roman" w:hAnsi="Arial" w:cs="Arial"/>
                <w:b/>
                <w:color w:val="000000"/>
                <w:lang w:eastAsia="en-PH"/>
              </w:rPr>
              <w:t xml:space="preserve">P </w:t>
            </w:r>
            <w:r w:rsidRPr="005E0FB2">
              <w:rPr>
                <w:rFonts w:ascii="Arial" w:eastAsia="Times New Roman" w:hAnsi="Arial" w:cs="Arial"/>
                <w:b/>
                <w:color w:val="000000"/>
                <w:lang w:eastAsia="en-PH"/>
              </w:rPr>
              <w:fldChar w:fldCharType="begin"/>
            </w:r>
            <w:r w:rsidRPr="005E0FB2">
              <w:rPr>
                <w:rFonts w:ascii="Arial" w:eastAsia="Times New Roman" w:hAnsi="Arial" w:cs="Arial"/>
                <w:b/>
                <w:color w:val="000000"/>
                <w:lang w:eastAsia="en-PH"/>
              </w:rPr>
              <w:instrText xml:space="preserve"> =SUM(b2:b6) </w:instrText>
            </w:r>
            <w:r w:rsidRPr="005E0FB2">
              <w:rPr>
                <w:rFonts w:ascii="Arial" w:eastAsia="Times New Roman" w:hAnsi="Arial" w:cs="Arial"/>
                <w:b/>
                <w:color w:val="000000"/>
                <w:lang w:eastAsia="en-PH"/>
              </w:rPr>
              <w:fldChar w:fldCharType="separate"/>
            </w:r>
            <w:r w:rsidRPr="005E0FB2">
              <w:rPr>
                <w:rFonts w:ascii="Arial" w:eastAsia="Times New Roman" w:hAnsi="Arial" w:cs="Arial"/>
                <w:b/>
                <w:color w:val="000000"/>
                <w:lang w:eastAsia="en-PH"/>
              </w:rPr>
              <w:t>960.928</w:t>
            </w:r>
            <w:r w:rsidRPr="005E0FB2">
              <w:rPr>
                <w:rFonts w:ascii="Arial" w:eastAsia="Times New Roman" w:hAnsi="Arial" w:cs="Arial"/>
                <w:b/>
                <w:color w:val="000000"/>
                <w:lang w:eastAsia="en-PH"/>
              </w:rPr>
              <w:fldChar w:fldCharType="end"/>
            </w:r>
          </w:p>
        </w:tc>
        <w:tc>
          <w:tcPr>
            <w:tcW w:w="1350" w:type="dxa"/>
            <w:tcBorders>
              <w:top w:val="single" w:sz="4" w:space="0" w:color="auto"/>
              <w:bottom w:val="double" w:sz="4" w:space="0" w:color="auto"/>
            </w:tcBorders>
            <w:shd w:val="clear" w:color="auto" w:fill="auto"/>
            <w:vAlign w:val="center"/>
          </w:tcPr>
          <w:p w14:paraId="0050172A" w14:textId="77777777" w:rsidR="007D7EEA" w:rsidRPr="005E0FB2" w:rsidRDefault="00DD2A4D">
            <w:pPr>
              <w:spacing w:after="0" w:line="240" w:lineRule="auto"/>
              <w:jc w:val="center"/>
              <w:rPr>
                <w:rFonts w:ascii="Arial" w:eastAsia="Times New Roman" w:hAnsi="Arial" w:cs="Arial"/>
                <w:b/>
                <w:color w:val="000000"/>
                <w:lang w:eastAsia="en-PH"/>
              </w:rPr>
            </w:pPr>
            <w:r w:rsidRPr="005E0FB2">
              <w:rPr>
                <w:rFonts w:ascii="Arial" w:eastAsia="Times New Roman" w:hAnsi="Arial" w:cs="Arial"/>
                <w:b/>
                <w:color w:val="000000"/>
                <w:lang w:eastAsia="en-PH"/>
              </w:rPr>
              <w:t>100.00</w:t>
            </w:r>
          </w:p>
        </w:tc>
      </w:tr>
    </w:tbl>
    <w:p w14:paraId="4C4CCB36"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391CAD4F" w14:textId="77777777"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AFPRSBS has been constantly monitoring and tracing the history of the accounts that were included in this category to determine the appropriate action that needs to be undertaken by the Management or the various concerned units.  </w:t>
      </w:r>
    </w:p>
    <w:p w14:paraId="1C318F9C"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345F1A55" w14:textId="77777777"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 CY 2013, the Management had exerted efforts to recover some of the past due car loan accounts.  Collection Notices/Final Demand Letters were sent to several borrowers via registered mail, but to no avail.</w:t>
      </w:r>
    </w:p>
    <w:p w14:paraId="3F81ED5F"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767C1BB7" w14:textId="77777777"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AFPRSBS is exhausting all available remedies to collect the long outstanding/dormant/past due accounts and will request authority to write-off from COA should all effort to collect fails.</w:t>
      </w:r>
    </w:p>
    <w:p w14:paraId="12404341"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4660CD2F" w14:textId="77777777"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existence of the dormant receivables will not hinder the refund of all contributions of the members.  As at 31 December 2022, the AFPRSBS has an estimated excess funds of P1.115 billion after payment of all existing liabilities.</w:t>
      </w:r>
    </w:p>
    <w:p w14:paraId="0AAC633D"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1267C280" w14:textId="77777777"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As a rejoinder, we acknowledge the efforts of the Management to constantly monitor and trace the accounts that were considered as dormant receivables to determine the appropriate actions that will be undertaken.  Nevertheless, the Audit Team would like to emphasize that the objective of COA Circular No. 2016-005 is to prescribe the guidelines and procedures in reconciling and cleaning the books of accounts for fair presentation of accounts in the FS.  Accordingly, the Audit Team will closely monitor and evaluate the courses of action to be taken by the Management to comply with the recommendations. </w:t>
      </w:r>
    </w:p>
    <w:p w14:paraId="319D69D7" w14:textId="77777777" w:rsidR="007D7EEA" w:rsidRPr="0096065B" w:rsidRDefault="007D7EEA" w:rsidP="005E0FB2">
      <w:pPr>
        <w:pStyle w:val="ListParagraph"/>
        <w:shd w:val="clear" w:color="auto" w:fill="FFFFFF" w:themeFill="background1"/>
        <w:rPr>
          <w:rFonts w:ascii="Arial" w:hAnsi="Arial" w:cs="Arial"/>
          <w:sz w:val="22"/>
          <w:szCs w:val="22"/>
        </w:rPr>
      </w:pPr>
    </w:p>
    <w:p w14:paraId="7EF21F90" w14:textId="77777777" w:rsidR="007D7EEA" w:rsidRPr="0096065B" w:rsidRDefault="00DD2A4D" w:rsidP="005B16E8">
      <w:pPr>
        <w:pStyle w:val="NormalWeb"/>
        <w:numPr>
          <w:ilvl w:val="0"/>
          <w:numId w:val="95"/>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Further, the Audit Team noted that the excess funds in the amount of P1.115 billion was generated </w:t>
      </w:r>
      <w:r w:rsidRPr="0096065B">
        <w:rPr>
          <w:rFonts w:ascii="Arial" w:hAnsi="Arial" w:cs="Arial"/>
          <w:sz w:val="22"/>
          <w:szCs w:val="22"/>
          <w:lang w:val="en-PH"/>
        </w:rPr>
        <w:t>primarily from the disposal of its major assets made in CY 2018</w:t>
      </w:r>
      <w:r w:rsidRPr="0096065B">
        <w:rPr>
          <w:rFonts w:ascii="Arial" w:hAnsi="Arial" w:cs="Arial"/>
          <w:sz w:val="22"/>
          <w:szCs w:val="22"/>
        </w:rPr>
        <w:t xml:space="preserve"> and not from</w:t>
      </w:r>
      <w:r w:rsidR="000F720C" w:rsidRPr="0096065B">
        <w:rPr>
          <w:rFonts w:ascii="Arial" w:hAnsi="Arial" w:cs="Arial"/>
          <w:sz w:val="22"/>
          <w:szCs w:val="22"/>
        </w:rPr>
        <w:t xml:space="preserve"> the</w:t>
      </w:r>
      <w:r w:rsidRPr="0096065B">
        <w:rPr>
          <w:rFonts w:ascii="Arial" w:hAnsi="Arial" w:cs="Arial"/>
          <w:sz w:val="22"/>
          <w:szCs w:val="22"/>
        </w:rPr>
        <w:t xml:space="preserve"> collection of the subject receivables</w:t>
      </w:r>
      <w:r w:rsidRPr="0096065B">
        <w:rPr>
          <w:rFonts w:ascii="Arial" w:hAnsi="Arial" w:cs="Arial"/>
          <w:sz w:val="22"/>
          <w:szCs w:val="22"/>
          <w:lang w:val="en-PH"/>
        </w:rPr>
        <w:t xml:space="preserve">.  </w:t>
      </w:r>
      <w:r w:rsidRPr="0096065B">
        <w:rPr>
          <w:rFonts w:ascii="Arial" w:hAnsi="Arial" w:cs="Arial"/>
          <w:sz w:val="22"/>
          <w:szCs w:val="22"/>
        </w:rPr>
        <w:t>T</w:t>
      </w:r>
      <w:r w:rsidRPr="0096065B">
        <w:rPr>
          <w:rFonts w:ascii="Arial" w:hAnsi="Arial" w:cs="Arial"/>
          <w:sz w:val="22"/>
          <w:szCs w:val="22"/>
          <w:lang w:val="en-PH"/>
        </w:rPr>
        <w:t>he mere sufficiency of the available funds for the refund of all contributions of the members is not a justifiable reason for non-collection of long outstanding receivable.</w:t>
      </w:r>
    </w:p>
    <w:p w14:paraId="29B1DBF0" w14:textId="7CEAA269" w:rsidR="007D7EEA" w:rsidRDefault="007D7EEA">
      <w:pPr>
        <w:pStyle w:val="NormalWeb"/>
        <w:spacing w:before="0" w:beforeAutospacing="0" w:after="0" w:afterAutospacing="0"/>
        <w:ind w:left="540"/>
        <w:jc w:val="both"/>
        <w:rPr>
          <w:rFonts w:ascii="Arial" w:hAnsi="Arial" w:cs="Arial"/>
          <w:sz w:val="22"/>
          <w:szCs w:val="22"/>
        </w:rPr>
      </w:pPr>
    </w:p>
    <w:p w14:paraId="50658F27" w14:textId="6331B27E" w:rsidR="000966CD" w:rsidRDefault="000966CD">
      <w:pPr>
        <w:pStyle w:val="NormalWeb"/>
        <w:spacing w:before="0" w:beforeAutospacing="0" w:after="0" w:afterAutospacing="0"/>
        <w:ind w:left="540"/>
        <w:jc w:val="both"/>
        <w:rPr>
          <w:rFonts w:ascii="Arial" w:hAnsi="Arial" w:cs="Arial"/>
          <w:sz w:val="22"/>
          <w:szCs w:val="22"/>
        </w:rPr>
      </w:pPr>
    </w:p>
    <w:p w14:paraId="04997820" w14:textId="77777777" w:rsidR="000966CD" w:rsidRPr="0096065B" w:rsidRDefault="000966CD">
      <w:pPr>
        <w:pStyle w:val="NormalWeb"/>
        <w:spacing w:before="0" w:beforeAutospacing="0" w:after="0" w:afterAutospacing="0"/>
        <w:ind w:left="540"/>
        <w:jc w:val="both"/>
        <w:rPr>
          <w:rFonts w:ascii="Arial" w:hAnsi="Arial" w:cs="Arial"/>
          <w:sz w:val="22"/>
          <w:szCs w:val="22"/>
        </w:rPr>
      </w:pPr>
    </w:p>
    <w:p w14:paraId="274F4D25" w14:textId="77777777" w:rsidR="007D7EEA" w:rsidRPr="0096065B" w:rsidRDefault="007D7EEA">
      <w:pPr>
        <w:pStyle w:val="NormalWeb"/>
        <w:spacing w:before="0" w:beforeAutospacing="0" w:after="0" w:afterAutospacing="0"/>
        <w:ind w:left="540"/>
        <w:jc w:val="both"/>
        <w:rPr>
          <w:rFonts w:ascii="Arial" w:hAnsi="Arial" w:cs="Arial"/>
          <w:b/>
          <w:sz w:val="22"/>
          <w:szCs w:val="22"/>
        </w:rPr>
      </w:pPr>
    </w:p>
    <w:p w14:paraId="284F5ECF"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sz w:val="22"/>
          <w:szCs w:val="22"/>
        </w:rPr>
        <w:lastRenderedPageBreak/>
        <w:t>The AFPRSBS did not strictly comply with the guidelines in the grant and liquidation of cash advances for official travel as it was not supported by approved Itinerary of travel and revised Itinerary of travel, respectively, when the previous approved itinerary was not followed, contrary to COA Circular No. 2012-001 and COA Circular No. 96-004.</w:t>
      </w:r>
    </w:p>
    <w:p w14:paraId="07F4E0ED" w14:textId="77777777" w:rsidR="007D7EEA" w:rsidRPr="0096065B" w:rsidRDefault="007D7EEA">
      <w:pPr>
        <w:pStyle w:val="NoSpacing"/>
        <w:jc w:val="both"/>
        <w:rPr>
          <w:rFonts w:ascii="Arial" w:hAnsi="Arial" w:cs="Arial"/>
        </w:rPr>
      </w:pPr>
    </w:p>
    <w:p w14:paraId="5865A0A3"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Items 1.1.4.1 and 1.2.4.1 of COA Circular No. 2012-001 dated June 14, 2012 on the Revised Documentary Requirements for Common Government Transactions provide that the grant and liquidation of cash advances for official local travel shall be supported by duly approved itinerary of travel and revised itinerary of travel, respectively, when the previous approved itinerary was not followed.</w:t>
      </w:r>
    </w:p>
    <w:p w14:paraId="4DD0846D" w14:textId="77777777" w:rsidR="007D7EEA" w:rsidRPr="0096065B" w:rsidRDefault="007D7EEA">
      <w:pPr>
        <w:pStyle w:val="NoSpacing"/>
        <w:ind w:left="720" w:firstLine="720"/>
        <w:jc w:val="both"/>
        <w:rPr>
          <w:rFonts w:ascii="Arial" w:hAnsi="Arial" w:cs="Arial"/>
        </w:rPr>
      </w:pPr>
    </w:p>
    <w:p w14:paraId="53752310"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Likewise, Section 3.1.1.1 of COA Circular No. 96-004 dated April 19, 1996 on determining the basis for the amount of cash advance states that:</w:t>
      </w:r>
    </w:p>
    <w:p w14:paraId="4FCEF201" w14:textId="77777777" w:rsidR="007D7EEA" w:rsidRPr="0096065B" w:rsidRDefault="007D7EEA">
      <w:pPr>
        <w:pStyle w:val="NoSpacing"/>
        <w:ind w:left="720"/>
        <w:jc w:val="both"/>
        <w:rPr>
          <w:rFonts w:ascii="Arial" w:hAnsi="Arial" w:cs="Arial"/>
        </w:rPr>
      </w:pPr>
    </w:p>
    <w:p w14:paraId="5126FE5B" w14:textId="77777777" w:rsidR="007D7EEA" w:rsidRPr="0096065B" w:rsidRDefault="00DD2A4D">
      <w:pPr>
        <w:pStyle w:val="NoSpacing"/>
        <w:ind w:left="1728" w:right="432"/>
        <w:jc w:val="both"/>
        <w:rPr>
          <w:rFonts w:ascii="Arial" w:hAnsi="Arial" w:cs="Arial"/>
          <w:i/>
        </w:rPr>
      </w:pPr>
      <w:r w:rsidRPr="0096065B">
        <w:rPr>
          <w:rFonts w:ascii="Arial" w:hAnsi="Arial" w:cs="Arial"/>
          <w:i/>
        </w:rPr>
        <w:t>The cash advance voucher for official local travel shall be supported by the following:</w:t>
      </w:r>
    </w:p>
    <w:p w14:paraId="5FF8DBC6" w14:textId="77777777" w:rsidR="007D7EEA" w:rsidRPr="0096065B" w:rsidRDefault="007D7EEA">
      <w:pPr>
        <w:pStyle w:val="NoSpacing"/>
        <w:ind w:left="1080" w:right="476"/>
        <w:jc w:val="both"/>
        <w:rPr>
          <w:rFonts w:ascii="Arial" w:hAnsi="Arial" w:cs="Arial"/>
        </w:rPr>
      </w:pPr>
    </w:p>
    <w:p w14:paraId="6914184A" w14:textId="77777777" w:rsidR="007D7EEA" w:rsidRPr="0096065B" w:rsidRDefault="00DD2A4D">
      <w:pPr>
        <w:pStyle w:val="NoSpacing"/>
        <w:numPr>
          <w:ilvl w:val="0"/>
          <w:numId w:val="54"/>
        </w:numPr>
        <w:ind w:right="432" w:hanging="288"/>
        <w:jc w:val="both"/>
        <w:rPr>
          <w:rFonts w:ascii="Arial" w:hAnsi="Arial" w:cs="Arial"/>
          <w:i/>
        </w:rPr>
      </w:pPr>
      <w:r w:rsidRPr="0096065B">
        <w:rPr>
          <w:rFonts w:ascii="Arial" w:hAnsi="Arial" w:cs="Arial"/>
          <w:i/>
        </w:rPr>
        <w:t xml:space="preserve">Travel order properly approved in accordance with Section 5 of EO 248, as amended; </w:t>
      </w:r>
    </w:p>
    <w:p w14:paraId="42F4B529" w14:textId="77777777" w:rsidR="007D7EEA" w:rsidRPr="0096065B" w:rsidRDefault="007D7EEA">
      <w:pPr>
        <w:pStyle w:val="NoSpacing"/>
        <w:ind w:left="2016" w:right="432"/>
        <w:jc w:val="both"/>
        <w:rPr>
          <w:rFonts w:ascii="Arial" w:hAnsi="Arial" w:cs="Arial"/>
          <w:i/>
        </w:rPr>
      </w:pPr>
    </w:p>
    <w:p w14:paraId="40D6BD69" w14:textId="77777777" w:rsidR="007D7EEA" w:rsidRPr="0096065B" w:rsidRDefault="00DD2A4D">
      <w:pPr>
        <w:pStyle w:val="NoSpacing"/>
        <w:numPr>
          <w:ilvl w:val="0"/>
          <w:numId w:val="54"/>
        </w:numPr>
        <w:ind w:right="432" w:hanging="288"/>
        <w:jc w:val="both"/>
        <w:rPr>
          <w:rFonts w:ascii="Arial" w:hAnsi="Arial" w:cs="Arial"/>
        </w:rPr>
      </w:pPr>
      <w:r w:rsidRPr="0096065B">
        <w:rPr>
          <w:rFonts w:ascii="Arial" w:hAnsi="Arial" w:cs="Arial"/>
          <w:b/>
          <w:i/>
        </w:rPr>
        <w:t>Itinerary of travel detailing the transportation expenses and travel expenses to be incurred as basis for determining the amount of cash advance</w:t>
      </w:r>
      <w:r w:rsidRPr="0096065B">
        <w:rPr>
          <w:rFonts w:ascii="Arial" w:hAnsi="Arial" w:cs="Arial"/>
        </w:rPr>
        <w:t xml:space="preserve"> (Emphasis supplied) </w:t>
      </w:r>
    </w:p>
    <w:p w14:paraId="092D44FB" w14:textId="77777777" w:rsidR="007D7EEA" w:rsidRPr="0096065B" w:rsidRDefault="007D7EEA">
      <w:pPr>
        <w:pStyle w:val="NoSpacing"/>
        <w:ind w:left="720"/>
        <w:jc w:val="both"/>
        <w:rPr>
          <w:rFonts w:ascii="Arial" w:hAnsi="Arial" w:cs="Arial"/>
        </w:rPr>
      </w:pPr>
    </w:p>
    <w:p w14:paraId="28BC10E0"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In the review of the disbursement vouchers of cash advances granted for official travel, the Audit Team noted that no approved itineraries of travel were attached to support the amounts advanced by the concerned officers/employees. Thus, the details of the transportation and travel expenses to be incurred as basis for the amount of travel expenses could not be determined, contrary to the aforesaid Circular.  The Audit Team also noted that only the total estimated cost of travel which usually include the budgeted amount for airfare, lodging and land transportation/meals costs were specified in the approved travel order but the details of the itinerary of travel were not presented. </w:t>
      </w:r>
    </w:p>
    <w:p w14:paraId="51E023FC"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1ED166BF"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Moreover, the Audit Team noted that only a breakdown of actual expenses incurred during travel was attached to the liquidation report.  Consequently, the revised itinerary of travel was not also submitted as required in the said Circular.  By analogy, since no initial itinerary of travel was prepared prior to the grant of cash advance, the liquidation thereof was not supported by revised itinerary of travel when the previous approved itinerary was not followed.</w:t>
      </w:r>
    </w:p>
    <w:p w14:paraId="625F6BF3" w14:textId="77777777" w:rsidR="007D7EEA" w:rsidRPr="0096065B" w:rsidRDefault="00DD2A4D">
      <w:pPr>
        <w:pStyle w:val="NoSpacing"/>
        <w:ind w:firstLine="720"/>
        <w:jc w:val="both"/>
        <w:rPr>
          <w:rFonts w:ascii="Arial" w:hAnsi="Arial" w:cs="Arial"/>
        </w:rPr>
      </w:pPr>
      <w:r w:rsidRPr="0096065B">
        <w:rPr>
          <w:rFonts w:ascii="Arial" w:hAnsi="Arial" w:cs="Arial"/>
        </w:rPr>
        <w:t xml:space="preserve"> </w:t>
      </w:r>
    </w:p>
    <w:p w14:paraId="01BD3CD2"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above-cited rules and regulation in the granting and liquidation of cash advances for official travel requires the submission of the initial itinerary of travel and the revised itinerary of travel, respectively, when the previous approved itinerary was not followed.  Accordingly, any difference between the budgeted amount granted as cash advance as per itinerary of travel and </w:t>
      </w:r>
      <w:r w:rsidRPr="0096065B">
        <w:rPr>
          <w:rFonts w:ascii="Arial" w:hAnsi="Arial" w:cs="Arial"/>
          <w:sz w:val="22"/>
          <w:szCs w:val="22"/>
        </w:rPr>
        <w:lastRenderedPageBreak/>
        <w:t xml:space="preserve">the actual expenses reported in the revised itinerary shall be returned or refunded depending on the given circumstances.  This is consistent with the policy of the State to ensure economy and efficiency in handling the funds of the government. </w:t>
      </w:r>
    </w:p>
    <w:p w14:paraId="53D2FB36" w14:textId="77777777" w:rsidR="007D7EEA" w:rsidRPr="0096065B" w:rsidRDefault="007D7EEA">
      <w:pPr>
        <w:pStyle w:val="NoSpacing"/>
        <w:jc w:val="both"/>
        <w:rPr>
          <w:rFonts w:ascii="Arial" w:hAnsi="Arial" w:cs="Arial"/>
        </w:rPr>
      </w:pPr>
    </w:p>
    <w:p w14:paraId="5FFC25ED" w14:textId="0EA209C4" w:rsidR="007D7EEA" w:rsidRPr="0096065B" w:rsidRDefault="00DD2A4D" w:rsidP="00125270">
      <w:pPr>
        <w:pStyle w:val="NormalWeb"/>
        <w:numPr>
          <w:ilvl w:val="0"/>
          <w:numId w:val="97"/>
        </w:numPr>
        <w:spacing w:before="0" w:beforeAutospacing="0" w:after="0" w:afterAutospacing="0"/>
        <w:ind w:left="1267" w:hanging="691"/>
        <w:jc w:val="both"/>
        <w:rPr>
          <w:rFonts w:ascii="Arial" w:hAnsi="Arial" w:cs="Arial"/>
          <w:b/>
          <w:bCs/>
          <w:sz w:val="22"/>
          <w:szCs w:val="22"/>
        </w:rPr>
      </w:pPr>
      <w:r w:rsidRPr="0096065B">
        <w:rPr>
          <w:rFonts w:ascii="Arial" w:hAnsi="Arial" w:cs="Arial"/>
          <w:b/>
          <w:sz w:val="22"/>
          <w:szCs w:val="22"/>
        </w:rPr>
        <w:t>W</w:t>
      </w:r>
      <w:r w:rsidRPr="0096065B">
        <w:rPr>
          <w:rFonts w:ascii="Arial" w:hAnsi="Arial" w:cs="Arial"/>
          <w:b/>
          <w:bCs/>
          <w:sz w:val="22"/>
          <w:szCs w:val="22"/>
        </w:rPr>
        <w:t>e recommended and Management agreed to prepare and submit the itinerary of travel prior to the grant of cash advance and its revision after each official travel is completed, when there are changes in the initial itinerary and/or the previous itinerary of travel was not followed.</w:t>
      </w:r>
    </w:p>
    <w:p w14:paraId="6747E7BC" w14:textId="77777777" w:rsidR="007D7EEA" w:rsidRPr="0096065B" w:rsidRDefault="007D7EEA">
      <w:pPr>
        <w:pStyle w:val="NormalWeb"/>
        <w:spacing w:before="0" w:beforeAutospacing="0" w:after="0" w:afterAutospacing="0"/>
        <w:jc w:val="both"/>
        <w:rPr>
          <w:rFonts w:ascii="Arial" w:hAnsi="Arial" w:cs="Arial"/>
          <w:sz w:val="22"/>
          <w:szCs w:val="22"/>
        </w:rPr>
      </w:pPr>
    </w:p>
    <w:p w14:paraId="4C92140D" w14:textId="77777777" w:rsidR="007D7EEA" w:rsidRPr="0096065B" w:rsidRDefault="007D7EEA">
      <w:pPr>
        <w:pStyle w:val="NormalWeb"/>
        <w:spacing w:before="0" w:beforeAutospacing="0" w:after="0" w:afterAutospacing="0"/>
        <w:ind w:left="360"/>
        <w:jc w:val="both"/>
        <w:rPr>
          <w:rFonts w:ascii="Arial" w:hAnsi="Arial" w:cs="Arial"/>
          <w:b/>
          <w:sz w:val="22"/>
          <w:szCs w:val="22"/>
        </w:rPr>
      </w:pPr>
    </w:p>
    <w:p w14:paraId="1B182120"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sz w:val="22"/>
          <w:szCs w:val="22"/>
        </w:rPr>
        <w:t xml:space="preserve">The AFPRSBS did not strictly comply with the prescribed rules and regulations and rates of expenses and allowances for official local travels of government personnel as there were: a) </w:t>
      </w:r>
      <w:bookmarkStart w:id="15" w:name="_Hlk127207541"/>
      <w:r w:rsidRPr="0096065B">
        <w:rPr>
          <w:rFonts w:ascii="Arial" w:hAnsi="Arial" w:cs="Arial"/>
          <w:b/>
          <w:sz w:val="22"/>
          <w:szCs w:val="22"/>
        </w:rPr>
        <w:t>excessive claims for hotel accommodations and meals during travel amounting to P57,713</w:t>
      </w:r>
      <w:bookmarkEnd w:id="15"/>
      <w:r w:rsidRPr="0096065B">
        <w:rPr>
          <w:rFonts w:ascii="Arial" w:hAnsi="Arial" w:cs="Arial"/>
          <w:b/>
          <w:sz w:val="22"/>
          <w:szCs w:val="22"/>
        </w:rPr>
        <w:t>; b) reimbursement of the cost of gasoline/fuel in the amount of P8,701, although there was no proof that government service vehicle was used; and c) inclusion of payment of tips and gratuities in the amount of P2,883 which are unnecessary expenditures under COA Circular No. 2012-003 dated October 29, 2012.</w:t>
      </w:r>
    </w:p>
    <w:p w14:paraId="07BB7968" w14:textId="77777777" w:rsidR="007D7EEA" w:rsidRPr="0096065B" w:rsidRDefault="007D7EEA">
      <w:pPr>
        <w:pStyle w:val="NoSpacing"/>
        <w:jc w:val="both"/>
        <w:rPr>
          <w:rFonts w:ascii="Arial" w:hAnsi="Arial" w:cs="Arial"/>
        </w:rPr>
      </w:pPr>
    </w:p>
    <w:p w14:paraId="3E2D47C6"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 2019, EO No. 77 was issued to amend the prescribed rules and regulations on expenses and allowances for official local and foreign travels of government personnel.  Under the said Executive issuance, emphasis is given to the following rules and regulations on the utilization of cash advances for travel expense and allowances.</w:t>
      </w:r>
    </w:p>
    <w:p w14:paraId="6A274B39" w14:textId="77777777" w:rsidR="007D7EEA" w:rsidRPr="0096065B" w:rsidRDefault="007D7EEA">
      <w:pPr>
        <w:pStyle w:val="NoSpacing"/>
        <w:ind w:firstLine="360"/>
        <w:jc w:val="both"/>
        <w:rPr>
          <w:rFonts w:ascii="Arial" w:hAnsi="Arial" w:cs="Arial"/>
        </w:rPr>
      </w:pPr>
    </w:p>
    <w:p w14:paraId="007DB0D0"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Sections 2 and 5 of EO No. 77 provide:</w:t>
      </w:r>
    </w:p>
    <w:p w14:paraId="70F4CCA3" w14:textId="77777777" w:rsidR="007D7EEA" w:rsidRPr="0096065B" w:rsidRDefault="007D7EEA">
      <w:pPr>
        <w:pStyle w:val="NoSpacing"/>
        <w:ind w:left="720" w:right="746"/>
        <w:jc w:val="both"/>
        <w:rPr>
          <w:rFonts w:ascii="Arial" w:hAnsi="Arial" w:cs="Arial"/>
          <w:i/>
        </w:rPr>
      </w:pPr>
    </w:p>
    <w:p w14:paraId="7A5B8871" w14:textId="77777777" w:rsidR="007D7EEA" w:rsidRPr="0096065B" w:rsidRDefault="00DD2A4D">
      <w:pPr>
        <w:pStyle w:val="NoSpacing"/>
        <w:ind w:left="1728" w:right="432"/>
        <w:jc w:val="both"/>
        <w:rPr>
          <w:rFonts w:ascii="Arial" w:hAnsi="Arial" w:cs="Arial"/>
          <w:b/>
          <w:i/>
        </w:rPr>
      </w:pPr>
      <w:r w:rsidRPr="0096065B">
        <w:rPr>
          <w:rFonts w:ascii="Arial" w:hAnsi="Arial" w:cs="Arial"/>
          <w:b/>
          <w:i/>
        </w:rPr>
        <w:t>Section 2. Definition of Terms.</w:t>
      </w:r>
    </w:p>
    <w:p w14:paraId="248E4CC4" w14:textId="77777777" w:rsidR="007D7EEA" w:rsidRPr="0096065B" w:rsidRDefault="007D7EEA">
      <w:pPr>
        <w:pStyle w:val="NoSpacing"/>
        <w:ind w:left="1728" w:right="432"/>
        <w:jc w:val="both"/>
        <w:rPr>
          <w:rFonts w:ascii="Arial" w:hAnsi="Arial" w:cs="Arial"/>
          <w:i/>
        </w:rPr>
      </w:pPr>
    </w:p>
    <w:p w14:paraId="0223BC78" w14:textId="77777777" w:rsidR="007D7EEA" w:rsidRPr="0096065B" w:rsidRDefault="00DD2A4D">
      <w:pPr>
        <w:pStyle w:val="NoSpacing"/>
        <w:ind w:left="1728" w:right="432"/>
        <w:jc w:val="both"/>
        <w:rPr>
          <w:rFonts w:ascii="Arial" w:hAnsi="Arial" w:cs="Arial"/>
          <w:i/>
        </w:rPr>
      </w:pPr>
      <w:r w:rsidRPr="0096065B">
        <w:rPr>
          <w:rFonts w:ascii="Arial" w:hAnsi="Arial" w:cs="Arial"/>
          <w:i/>
        </w:rPr>
        <w:t xml:space="preserve">Xxx </w:t>
      </w:r>
    </w:p>
    <w:p w14:paraId="30020317" w14:textId="77777777" w:rsidR="007D7EEA" w:rsidRPr="0096065B" w:rsidRDefault="007D7EEA">
      <w:pPr>
        <w:pStyle w:val="NoSpacing"/>
        <w:ind w:left="720" w:right="746"/>
        <w:jc w:val="both"/>
        <w:rPr>
          <w:rFonts w:ascii="Arial" w:hAnsi="Arial" w:cs="Arial"/>
          <w:i/>
        </w:rPr>
      </w:pPr>
    </w:p>
    <w:p w14:paraId="583D4560" w14:textId="77777777" w:rsidR="007D7EEA" w:rsidRPr="0096065B" w:rsidRDefault="00DD2A4D">
      <w:pPr>
        <w:pStyle w:val="NoSpacing"/>
        <w:ind w:left="1728" w:right="432"/>
        <w:jc w:val="both"/>
        <w:rPr>
          <w:rFonts w:ascii="Arial" w:hAnsi="Arial" w:cs="Arial"/>
          <w:i/>
        </w:rPr>
      </w:pPr>
      <w:r w:rsidRPr="0096065B">
        <w:rPr>
          <w:rFonts w:ascii="Arial" w:hAnsi="Arial" w:cs="Arial"/>
          <w:i/>
        </w:rPr>
        <w:t xml:space="preserve">(b) </w:t>
      </w:r>
      <w:r w:rsidRPr="0096065B">
        <w:rPr>
          <w:rFonts w:ascii="Arial" w:hAnsi="Arial" w:cs="Arial"/>
          <w:b/>
          <w:i/>
        </w:rPr>
        <w:t>Daily Travel Expenses</w:t>
      </w:r>
      <w:r w:rsidRPr="0096065B">
        <w:rPr>
          <w:rFonts w:ascii="Arial" w:hAnsi="Arial" w:cs="Arial"/>
          <w:i/>
        </w:rPr>
        <w:t xml:space="preserve"> – the amounts authorized to cover expenses for local travel, which consist of (i) costs for hotel accommodation or lodging, including the prescribed taxes and service charges, (ii) meals and (iii) incidental expenses, including cost for local or inland transportation and reasonable miscellaneous expenses at the place of assignment.</w:t>
      </w:r>
    </w:p>
    <w:p w14:paraId="419B5150" w14:textId="77777777" w:rsidR="007D7EEA" w:rsidRPr="0096065B" w:rsidRDefault="007D7EEA">
      <w:pPr>
        <w:pStyle w:val="NoSpacing"/>
        <w:ind w:left="720"/>
        <w:jc w:val="both"/>
        <w:rPr>
          <w:rFonts w:ascii="Arial" w:hAnsi="Arial" w:cs="Arial"/>
          <w:b/>
        </w:rPr>
      </w:pPr>
    </w:p>
    <w:p w14:paraId="7E8B30F1" w14:textId="77777777" w:rsidR="007D7EEA" w:rsidRPr="0096065B" w:rsidRDefault="00DD2A4D">
      <w:pPr>
        <w:pStyle w:val="NoSpacing"/>
        <w:ind w:left="1728" w:right="432"/>
        <w:jc w:val="both"/>
        <w:rPr>
          <w:rFonts w:ascii="Arial" w:hAnsi="Arial" w:cs="Arial"/>
          <w:i/>
        </w:rPr>
      </w:pPr>
      <w:r w:rsidRPr="0096065B">
        <w:rPr>
          <w:rFonts w:ascii="Arial" w:hAnsi="Arial" w:cs="Arial"/>
          <w:i/>
        </w:rPr>
        <w:t xml:space="preserve">Xxx </w:t>
      </w:r>
    </w:p>
    <w:p w14:paraId="3CE1874F" w14:textId="77777777" w:rsidR="007D7EEA" w:rsidRPr="0096065B" w:rsidRDefault="007D7EEA">
      <w:pPr>
        <w:pStyle w:val="NoSpacing"/>
        <w:ind w:left="1728" w:right="432"/>
        <w:jc w:val="both"/>
        <w:rPr>
          <w:rFonts w:ascii="Arial" w:hAnsi="Arial" w:cs="Arial"/>
        </w:rPr>
      </w:pPr>
    </w:p>
    <w:p w14:paraId="3310C1FC" w14:textId="77777777" w:rsidR="007D7EEA" w:rsidRPr="0096065B" w:rsidRDefault="00DD2A4D">
      <w:pPr>
        <w:pStyle w:val="NoSpacing"/>
        <w:ind w:left="1728" w:right="432"/>
        <w:jc w:val="both"/>
        <w:rPr>
          <w:rFonts w:ascii="Arial" w:hAnsi="Arial" w:cs="Arial"/>
          <w:i/>
        </w:rPr>
      </w:pPr>
      <w:r w:rsidRPr="0096065B">
        <w:rPr>
          <w:rFonts w:ascii="Arial" w:hAnsi="Arial" w:cs="Arial"/>
          <w:b/>
          <w:i/>
        </w:rPr>
        <w:t>Section 5.</w:t>
      </w:r>
      <w:r w:rsidRPr="0096065B">
        <w:rPr>
          <w:rFonts w:ascii="Arial" w:hAnsi="Arial" w:cs="Arial"/>
          <w:b/>
        </w:rPr>
        <w:t xml:space="preserve"> </w:t>
      </w:r>
      <w:r w:rsidRPr="0096065B">
        <w:rPr>
          <w:rFonts w:ascii="Arial" w:hAnsi="Arial" w:cs="Arial"/>
          <w:b/>
          <w:i/>
        </w:rPr>
        <w:t>Travel Beyond 50-Kilometer Radius from the Permanent Official Station.</w:t>
      </w:r>
      <w:r w:rsidRPr="0096065B">
        <w:rPr>
          <w:rFonts w:ascii="Arial" w:hAnsi="Arial" w:cs="Arial"/>
          <w:i/>
        </w:rPr>
        <w:t xml:space="preserve"> Official local travel to destinations beyond the 50-kilometer radius from the permanent official station shall be allowed the following expenses:</w:t>
      </w:r>
    </w:p>
    <w:p w14:paraId="24EEA3AF" w14:textId="77777777" w:rsidR="007D7EEA" w:rsidRPr="0096065B" w:rsidRDefault="007D7EEA">
      <w:pPr>
        <w:pStyle w:val="NoSpacing"/>
        <w:ind w:left="1728" w:right="432"/>
        <w:jc w:val="both"/>
        <w:rPr>
          <w:rFonts w:ascii="Arial" w:hAnsi="Arial" w:cs="Arial"/>
          <w:i/>
        </w:rPr>
      </w:pPr>
    </w:p>
    <w:p w14:paraId="720A40D2" w14:textId="77777777" w:rsidR="007D7EEA" w:rsidRPr="0096065B" w:rsidRDefault="00DD2A4D" w:rsidP="00BB0337">
      <w:pPr>
        <w:pStyle w:val="NoSpacing"/>
        <w:numPr>
          <w:ilvl w:val="3"/>
          <w:numId w:val="3"/>
        </w:numPr>
        <w:ind w:left="1985" w:right="418" w:hanging="284"/>
        <w:jc w:val="both"/>
        <w:rPr>
          <w:rFonts w:ascii="Arial" w:hAnsi="Arial" w:cs="Arial"/>
          <w:i/>
        </w:rPr>
      </w:pPr>
      <w:r w:rsidRPr="0096065B">
        <w:rPr>
          <w:rFonts w:ascii="Arial" w:hAnsi="Arial" w:cs="Arial"/>
          <w:b/>
          <w:i/>
        </w:rPr>
        <w:t>Transportation Expenses and Miscellaneous Expenses.</w:t>
      </w:r>
      <w:r w:rsidRPr="0096065B">
        <w:rPr>
          <w:rFonts w:ascii="Arial" w:hAnsi="Arial" w:cs="Arial"/>
          <w:i/>
        </w:rPr>
        <w:t xml:space="preserve"> The allowable transportation expenses and reasonable miscellaneous expenses (e.g., terminal fees, parking fees, road </w:t>
      </w:r>
      <w:r w:rsidRPr="0096065B">
        <w:rPr>
          <w:rFonts w:ascii="Arial" w:hAnsi="Arial" w:cs="Arial"/>
          <w:i/>
        </w:rPr>
        <w:lastRenderedPageBreak/>
        <w:t>tolls, etc.) from the permanent official station to the destination or place of assignment shall cover the following areas:</w:t>
      </w:r>
    </w:p>
    <w:p w14:paraId="0E65A6BD" w14:textId="77777777" w:rsidR="007D7EEA" w:rsidRPr="0096065B" w:rsidRDefault="007D7EEA">
      <w:pPr>
        <w:pStyle w:val="NoSpacing"/>
        <w:ind w:left="2694" w:right="746" w:hanging="426"/>
        <w:jc w:val="both"/>
        <w:rPr>
          <w:rFonts w:ascii="Arial" w:hAnsi="Arial" w:cs="Arial"/>
        </w:rPr>
      </w:pPr>
    </w:p>
    <w:p w14:paraId="6CBA4A3E" w14:textId="77777777" w:rsidR="007D7EEA" w:rsidRPr="0096065B" w:rsidRDefault="00DD2A4D">
      <w:pPr>
        <w:pStyle w:val="NoSpacing"/>
        <w:numPr>
          <w:ilvl w:val="0"/>
          <w:numId w:val="56"/>
        </w:numPr>
        <w:ind w:left="2694" w:right="432" w:hanging="426"/>
        <w:jc w:val="both"/>
        <w:rPr>
          <w:rFonts w:ascii="Arial" w:hAnsi="Arial" w:cs="Arial"/>
          <w:i/>
        </w:rPr>
      </w:pPr>
      <w:r w:rsidRPr="0096065B">
        <w:rPr>
          <w:rFonts w:ascii="Arial" w:hAnsi="Arial" w:cs="Arial"/>
          <w:i/>
        </w:rPr>
        <w:t>From the office or residence to the point of embarkation, and vice versa;</w:t>
      </w:r>
    </w:p>
    <w:p w14:paraId="41BF2575" w14:textId="77777777" w:rsidR="007D7EEA" w:rsidRPr="0096065B" w:rsidRDefault="00DD2A4D">
      <w:pPr>
        <w:pStyle w:val="NoSpacing"/>
        <w:ind w:left="2694" w:right="432" w:hanging="426"/>
        <w:jc w:val="both"/>
        <w:rPr>
          <w:rFonts w:ascii="Arial" w:hAnsi="Arial" w:cs="Arial"/>
          <w:i/>
        </w:rPr>
      </w:pPr>
      <w:r w:rsidRPr="0096065B">
        <w:rPr>
          <w:rFonts w:ascii="Arial" w:hAnsi="Arial" w:cs="Arial"/>
          <w:i/>
        </w:rPr>
        <w:t xml:space="preserve"> </w:t>
      </w:r>
    </w:p>
    <w:p w14:paraId="5D0CD9EF" w14:textId="77777777" w:rsidR="007D7EEA" w:rsidRPr="0096065B" w:rsidRDefault="00DD2A4D">
      <w:pPr>
        <w:pStyle w:val="NoSpacing"/>
        <w:numPr>
          <w:ilvl w:val="0"/>
          <w:numId w:val="56"/>
        </w:numPr>
        <w:ind w:left="2694" w:right="432" w:hanging="426"/>
        <w:jc w:val="both"/>
        <w:rPr>
          <w:rFonts w:ascii="Arial" w:hAnsi="Arial" w:cs="Arial"/>
          <w:i/>
        </w:rPr>
      </w:pPr>
      <w:r w:rsidRPr="0096065B">
        <w:rPr>
          <w:rFonts w:ascii="Arial" w:hAnsi="Arial" w:cs="Arial"/>
          <w:i/>
        </w:rPr>
        <w:t>From the point of embarkation to the point of disembarkation in the place of destination, and vice versa; and</w:t>
      </w:r>
    </w:p>
    <w:p w14:paraId="51119D42" w14:textId="77777777" w:rsidR="007D7EEA" w:rsidRPr="0096065B" w:rsidRDefault="007D7EEA">
      <w:pPr>
        <w:pStyle w:val="NoSpacing"/>
        <w:ind w:left="2694" w:right="432" w:hanging="426"/>
        <w:jc w:val="both"/>
        <w:rPr>
          <w:rFonts w:ascii="Arial" w:hAnsi="Arial" w:cs="Arial"/>
          <w:i/>
        </w:rPr>
      </w:pPr>
    </w:p>
    <w:p w14:paraId="2BCADB59" w14:textId="77777777" w:rsidR="007D7EEA" w:rsidRPr="0096065B" w:rsidRDefault="00DD2A4D">
      <w:pPr>
        <w:pStyle w:val="NoSpacing"/>
        <w:numPr>
          <w:ilvl w:val="0"/>
          <w:numId w:val="56"/>
        </w:numPr>
        <w:ind w:left="2694" w:right="432" w:hanging="426"/>
        <w:jc w:val="both"/>
        <w:rPr>
          <w:rFonts w:ascii="Arial" w:hAnsi="Arial" w:cs="Arial"/>
          <w:i/>
        </w:rPr>
      </w:pPr>
      <w:r w:rsidRPr="0096065B">
        <w:rPr>
          <w:rFonts w:ascii="Arial" w:hAnsi="Arial" w:cs="Arial"/>
          <w:i/>
        </w:rPr>
        <w:t>From the point of disembarkation to the office of destination or place of assignment in the field, and vice versa.</w:t>
      </w:r>
    </w:p>
    <w:p w14:paraId="204DAE2A" w14:textId="77777777" w:rsidR="007D7EEA" w:rsidRPr="0096065B" w:rsidRDefault="007D7EEA">
      <w:pPr>
        <w:pStyle w:val="NoSpacing"/>
        <w:ind w:left="1800" w:right="432"/>
        <w:jc w:val="both"/>
        <w:rPr>
          <w:rFonts w:ascii="Arial" w:hAnsi="Arial" w:cs="Arial"/>
          <w:i/>
        </w:rPr>
      </w:pPr>
    </w:p>
    <w:p w14:paraId="5F1F4A03" w14:textId="77777777" w:rsidR="007D7EEA" w:rsidRPr="0096065B" w:rsidRDefault="00DD2A4D" w:rsidP="00726543">
      <w:pPr>
        <w:pStyle w:val="NoSpacing"/>
        <w:ind w:left="1985" w:right="432"/>
        <w:jc w:val="both"/>
        <w:rPr>
          <w:rFonts w:ascii="Arial" w:hAnsi="Arial" w:cs="Arial"/>
          <w:i/>
        </w:rPr>
      </w:pPr>
      <w:r w:rsidRPr="0096065B">
        <w:rPr>
          <w:rFonts w:ascii="Arial" w:hAnsi="Arial" w:cs="Arial"/>
          <w:i/>
        </w:rPr>
        <w:t>The transportation expenses and reasonable miscellaneous expenses under this provision shall be in addition to the daily travel expenses under Section 5(b) of this Order.</w:t>
      </w:r>
    </w:p>
    <w:p w14:paraId="4E673D3D" w14:textId="77777777" w:rsidR="007D7EEA" w:rsidRPr="0096065B" w:rsidRDefault="007D7EEA" w:rsidP="00726543">
      <w:pPr>
        <w:pStyle w:val="NoSpacing"/>
        <w:ind w:left="1985" w:right="432"/>
        <w:jc w:val="both"/>
        <w:rPr>
          <w:rFonts w:ascii="Arial" w:hAnsi="Arial" w:cs="Arial"/>
          <w:i/>
        </w:rPr>
      </w:pPr>
    </w:p>
    <w:p w14:paraId="69A5396E" w14:textId="77777777" w:rsidR="007D7EEA" w:rsidRPr="0096065B" w:rsidRDefault="00DD2A4D" w:rsidP="00726543">
      <w:pPr>
        <w:pStyle w:val="NoSpacing"/>
        <w:ind w:left="1985" w:right="432"/>
        <w:jc w:val="both"/>
        <w:rPr>
          <w:rFonts w:ascii="Arial" w:hAnsi="Arial" w:cs="Arial"/>
          <w:i/>
        </w:rPr>
      </w:pPr>
      <w:r w:rsidRPr="0096065B">
        <w:rPr>
          <w:rFonts w:ascii="Arial" w:hAnsi="Arial" w:cs="Arial"/>
          <w:i/>
        </w:rPr>
        <w:t>Personnel concerned shall not be entitled to transportation expenses for the entire trip or portion of such trip where government vehicle was used.</w:t>
      </w:r>
    </w:p>
    <w:p w14:paraId="02991CDD" w14:textId="77777777" w:rsidR="007D7EEA" w:rsidRPr="0096065B" w:rsidRDefault="007D7EEA" w:rsidP="00726543">
      <w:pPr>
        <w:pStyle w:val="NoSpacing"/>
        <w:ind w:left="1985" w:right="432"/>
        <w:jc w:val="both"/>
        <w:rPr>
          <w:rFonts w:ascii="Arial" w:hAnsi="Arial" w:cs="Arial"/>
          <w:i/>
        </w:rPr>
      </w:pPr>
    </w:p>
    <w:p w14:paraId="46F4ECFA" w14:textId="77777777" w:rsidR="007D7EEA" w:rsidRPr="0096065B" w:rsidRDefault="00DD2A4D" w:rsidP="00726543">
      <w:pPr>
        <w:pStyle w:val="NoSpacing"/>
        <w:ind w:left="1985" w:right="432"/>
        <w:jc w:val="both"/>
        <w:rPr>
          <w:rFonts w:ascii="Arial" w:hAnsi="Arial" w:cs="Arial"/>
          <w:i/>
        </w:rPr>
      </w:pPr>
      <w:r w:rsidRPr="0096065B">
        <w:rPr>
          <w:rFonts w:ascii="Arial" w:hAnsi="Arial" w:cs="Arial"/>
          <w:i/>
        </w:rPr>
        <w:t>If a private vehicle is used, no reimbursement of the cost of gasoline and fuel shall be allowed. The official or employee concerned, however, is entitled to the equivalent cost of the customary mode of transportation.</w:t>
      </w:r>
    </w:p>
    <w:p w14:paraId="3D34107C" w14:textId="77777777" w:rsidR="007D7EEA" w:rsidRPr="0096065B" w:rsidRDefault="007D7EEA">
      <w:pPr>
        <w:pStyle w:val="NoSpacing"/>
        <w:ind w:left="1440" w:right="432" w:hanging="270"/>
        <w:jc w:val="both"/>
        <w:rPr>
          <w:rFonts w:ascii="Arial" w:hAnsi="Arial" w:cs="Arial"/>
        </w:rPr>
      </w:pPr>
    </w:p>
    <w:p w14:paraId="1169317A" w14:textId="77777777" w:rsidR="007D7EEA" w:rsidRPr="0096065B" w:rsidRDefault="00DD2A4D" w:rsidP="00BB0337">
      <w:pPr>
        <w:pStyle w:val="NoSpacing"/>
        <w:numPr>
          <w:ilvl w:val="3"/>
          <w:numId w:val="3"/>
        </w:numPr>
        <w:ind w:left="1985" w:right="746" w:hanging="284"/>
        <w:jc w:val="both"/>
        <w:rPr>
          <w:rFonts w:ascii="Arial" w:hAnsi="Arial" w:cs="Arial"/>
          <w:b/>
          <w:i/>
        </w:rPr>
      </w:pPr>
      <w:r w:rsidRPr="0096065B">
        <w:rPr>
          <w:rFonts w:ascii="Arial" w:hAnsi="Arial" w:cs="Arial"/>
          <w:b/>
          <w:i/>
        </w:rPr>
        <w:t xml:space="preserve">Daily Travel Expenses (DTE) </w:t>
      </w:r>
    </w:p>
    <w:p w14:paraId="0B9BD34A" w14:textId="77777777" w:rsidR="007D7EEA" w:rsidRPr="0096065B" w:rsidRDefault="007D7EEA">
      <w:pPr>
        <w:pStyle w:val="NoSpacing"/>
        <w:ind w:left="1530" w:right="432"/>
        <w:jc w:val="both"/>
        <w:rPr>
          <w:rFonts w:ascii="Arial" w:hAnsi="Arial" w:cs="Arial"/>
          <w:i/>
        </w:rPr>
      </w:pPr>
    </w:p>
    <w:p w14:paraId="740579AC" w14:textId="77777777" w:rsidR="007D7EEA" w:rsidRPr="0096065B" w:rsidRDefault="00DD2A4D" w:rsidP="00726543">
      <w:pPr>
        <w:pStyle w:val="NoSpacing"/>
        <w:numPr>
          <w:ilvl w:val="0"/>
          <w:numId w:val="57"/>
        </w:numPr>
        <w:ind w:left="2268" w:right="432" w:hanging="284"/>
        <w:jc w:val="both"/>
        <w:rPr>
          <w:rFonts w:ascii="Arial" w:hAnsi="Arial" w:cs="Arial"/>
          <w:i/>
        </w:rPr>
      </w:pPr>
      <w:r w:rsidRPr="0096065B">
        <w:rPr>
          <w:rFonts w:ascii="Arial" w:hAnsi="Arial" w:cs="Arial"/>
          <w:i/>
        </w:rPr>
        <w:t>The maximum allowable daily travel expenses (DTE) of government personnel, regardless of rank and position, shall be at the following rates:</w:t>
      </w:r>
    </w:p>
    <w:p w14:paraId="1119B9BE" w14:textId="77777777" w:rsidR="007D7EEA" w:rsidRPr="0096065B" w:rsidRDefault="007D7EEA">
      <w:pPr>
        <w:pStyle w:val="NoSpacing"/>
        <w:ind w:left="720" w:right="746"/>
        <w:jc w:val="both"/>
        <w:rPr>
          <w:rFonts w:ascii="Arial" w:hAnsi="Arial" w:cs="Arial"/>
          <w:i/>
        </w:rPr>
      </w:pPr>
    </w:p>
    <w:tbl>
      <w:tblPr>
        <w:tblStyle w:val="TableGrid"/>
        <w:tblW w:w="0" w:type="auto"/>
        <w:tblInd w:w="1980" w:type="dxa"/>
        <w:tblLook w:val="04A0" w:firstRow="1" w:lastRow="0" w:firstColumn="1" w:lastColumn="0" w:noHBand="0" w:noVBand="1"/>
      </w:tblPr>
      <w:tblGrid>
        <w:gridCol w:w="1260"/>
        <w:gridCol w:w="3104"/>
        <w:gridCol w:w="1873"/>
      </w:tblGrid>
      <w:tr w:rsidR="007D7EEA" w14:paraId="50E5AAA8" w14:textId="77777777" w:rsidTr="00726543">
        <w:trPr>
          <w:trHeight w:val="298"/>
          <w:tblHeader/>
        </w:trPr>
        <w:tc>
          <w:tcPr>
            <w:tcW w:w="4364" w:type="dxa"/>
            <w:gridSpan w:val="2"/>
            <w:vAlign w:val="center"/>
          </w:tcPr>
          <w:p w14:paraId="22F7640D" w14:textId="77777777" w:rsidR="007D7EEA" w:rsidRDefault="00DD2A4D">
            <w:pPr>
              <w:pStyle w:val="NoSpacing"/>
              <w:ind w:right="746"/>
              <w:jc w:val="center"/>
              <w:rPr>
                <w:rFonts w:ascii="Arial" w:hAnsi="Arial" w:cs="Arial"/>
                <w:b/>
                <w:sz w:val="19"/>
                <w:szCs w:val="19"/>
              </w:rPr>
            </w:pPr>
            <w:r>
              <w:rPr>
                <w:rFonts w:ascii="Arial" w:hAnsi="Arial" w:cs="Arial"/>
                <w:b/>
                <w:sz w:val="19"/>
                <w:szCs w:val="19"/>
              </w:rPr>
              <w:t>Destination</w:t>
            </w:r>
          </w:p>
        </w:tc>
        <w:tc>
          <w:tcPr>
            <w:tcW w:w="1873" w:type="dxa"/>
            <w:vAlign w:val="center"/>
          </w:tcPr>
          <w:p w14:paraId="07C5F8C7" w14:textId="77777777" w:rsidR="007D7EEA" w:rsidRDefault="00DD2A4D">
            <w:pPr>
              <w:pStyle w:val="NoSpacing"/>
              <w:ind w:left="-58" w:right="-58"/>
              <w:jc w:val="center"/>
              <w:rPr>
                <w:rFonts w:ascii="Arial" w:hAnsi="Arial" w:cs="Arial"/>
                <w:b/>
                <w:sz w:val="19"/>
                <w:szCs w:val="19"/>
              </w:rPr>
            </w:pPr>
            <w:r>
              <w:rPr>
                <w:rFonts w:ascii="Arial" w:hAnsi="Arial" w:cs="Arial"/>
                <w:b/>
                <w:i/>
                <w:sz w:val="19"/>
                <w:szCs w:val="19"/>
              </w:rPr>
              <w:t>Maximum</w:t>
            </w:r>
            <w:r>
              <w:rPr>
                <w:rFonts w:ascii="Arial" w:hAnsi="Arial" w:cs="Arial"/>
                <w:b/>
                <w:sz w:val="19"/>
                <w:szCs w:val="19"/>
              </w:rPr>
              <w:t xml:space="preserve"> DTE</w:t>
            </w:r>
          </w:p>
        </w:tc>
      </w:tr>
      <w:tr w:rsidR="007D7EEA" w14:paraId="0F0BFC58" w14:textId="77777777" w:rsidTr="00726543">
        <w:trPr>
          <w:trHeight w:val="1371"/>
        </w:trPr>
        <w:tc>
          <w:tcPr>
            <w:tcW w:w="1260" w:type="dxa"/>
          </w:tcPr>
          <w:p w14:paraId="15D0C9FF" w14:textId="77777777" w:rsidR="007D7EEA" w:rsidRDefault="00DD2A4D">
            <w:pPr>
              <w:pStyle w:val="NoSpacing"/>
              <w:jc w:val="both"/>
              <w:rPr>
                <w:rFonts w:ascii="Arial" w:hAnsi="Arial" w:cs="Arial"/>
                <w:b/>
                <w:i/>
                <w:sz w:val="19"/>
                <w:szCs w:val="18"/>
              </w:rPr>
            </w:pPr>
            <w:r>
              <w:rPr>
                <w:rFonts w:ascii="Arial" w:hAnsi="Arial" w:cs="Arial"/>
                <w:b/>
                <w:i/>
                <w:sz w:val="19"/>
                <w:szCs w:val="18"/>
              </w:rPr>
              <w:t>Cluster I</w:t>
            </w:r>
          </w:p>
        </w:tc>
        <w:tc>
          <w:tcPr>
            <w:tcW w:w="3104" w:type="dxa"/>
          </w:tcPr>
          <w:p w14:paraId="05E202BF" w14:textId="77777777" w:rsidR="007D7EEA" w:rsidRDefault="00DD2A4D">
            <w:pPr>
              <w:pStyle w:val="NoSpacing"/>
              <w:ind w:right="-144"/>
              <w:rPr>
                <w:rFonts w:ascii="Arial" w:hAnsi="Arial" w:cs="Arial"/>
                <w:i/>
                <w:sz w:val="19"/>
                <w:szCs w:val="19"/>
              </w:rPr>
            </w:pPr>
            <w:r>
              <w:rPr>
                <w:rFonts w:ascii="Arial" w:hAnsi="Arial" w:cs="Arial"/>
                <w:i/>
                <w:sz w:val="19"/>
                <w:szCs w:val="19"/>
              </w:rPr>
              <w:t>Region I</w:t>
            </w:r>
          </w:p>
          <w:p w14:paraId="4A901B53" w14:textId="77777777" w:rsidR="007D7EEA" w:rsidRDefault="00DD2A4D">
            <w:pPr>
              <w:pStyle w:val="NoSpacing"/>
              <w:ind w:right="-144"/>
              <w:rPr>
                <w:rFonts w:ascii="Arial" w:hAnsi="Arial" w:cs="Arial"/>
                <w:i/>
                <w:sz w:val="19"/>
                <w:szCs w:val="19"/>
              </w:rPr>
            </w:pPr>
            <w:r>
              <w:rPr>
                <w:rFonts w:ascii="Arial" w:hAnsi="Arial" w:cs="Arial"/>
                <w:i/>
                <w:sz w:val="19"/>
                <w:szCs w:val="19"/>
              </w:rPr>
              <w:t>Region II</w:t>
            </w:r>
          </w:p>
          <w:p w14:paraId="15751300" w14:textId="77777777" w:rsidR="007D7EEA" w:rsidRDefault="00DD2A4D">
            <w:pPr>
              <w:pStyle w:val="NoSpacing"/>
              <w:ind w:right="-144"/>
              <w:rPr>
                <w:rFonts w:ascii="Arial" w:hAnsi="Arial" w:cs="Arial"/>
                <w:i/>
                <w:sz w:val="19"/>
                <w:szCs w:val="19"/>
              </w:rPr>
            </w:pPr>
            <w:r>
              <w:rPr>
                <w:rFonts w:ascii="Arial" w:hAnsi="Arial" w:cs="Arial"/>
                <w:i/>
                <w:sz w:val="19"/>
                <w:szCs w:val="19"/>
              </w:rPr>
              <w:t>Region III</w:t>
            </w:r>
          </w:p>
          <w:p w14:paraId="4766A44B" w14:textId="77777777" w:rsidR="007D7EEA" w:rsidRDefault="00DD2A4D">
            <w:pPr>
              <w:pStyle w:val="NoSpacing"/>
              <w:ind w:right="-144"/>
              <w:rPr>
                <w:rFonts w:ascii="Arial" w:hAnsi="Arial" w:cs="Arial"/>
                <w:i/>
                <w:sz w:val="19"/>
                <w:szCs w:val="19"/>
              </w:rPr>
            </w:pPr>
            <w:r>
              <w:rPr>
                <w:rFonts w:ascii="Arial" w:hAnsi="Arial" w:cs="Arial"/>
                <w:i/>
                <w:sz w:val="19"/>
                <w:szCs w:val="19"/>
              </w:rPr>
              <w:t>Region V</w:t>
            </w:r>
          </w:p>
          <w:p w14:paraId="47B99B0D" w14:textId="77777777" w:rsidR="007D7EEA" w:rsidRDefault="00DD2A4D">
            <w:pPr>
              <w:pStyle w:val="NoSpacing"/>
              <w:ind w:right="-144"/>
              <w:rPr>
                <w:rFonts w:ascii="Arial" w:hAnsi="Arial" w:cs="Arial"/>
                <w:i/>
                <w:sz w:val="19"/>
                <w:szCs w:val="19"/>
              </w:rPr>
            </w:pPr>
            <w:r>
              <w:rPr>
                <w:rFonts w:ascii="Arial" w:hAnsi="Arial" w:cs="Arial"/>
                <w:i/>
                <w:sz w:val="19"/>
                <w:szCs w:val="19"/>
              </w:rPr>
              <w:t>Region VIII</w:t>
            </w:r>
          </w:p>
          <w:p w14:paraId="367E1857" w14:textId="77777777" w:rsidR="007D7EEA" w:rsidRDefault="00DD2A4D">
            <w:pPr>
              <w:pStyle w:val="NoSpacing"/>
              <w:ind w:right="-144"/>
              <w:rPr>
                <w:rFonts w:ascii="Arial" w:hAnsi="Arial" w:cs="Arial"/>
                <w:i/>
                <w:sz w:val="19"/>
                <w:szCs w:val="19"/>
              </w:rPr>
            </w:pPr>
            <w:r>
              <w:rPr>
                <w:rFonts w:ascii="Arial" w:hAnsi="Arial" w:cs="Arial"/>
                <w:i/>
                <w:sz w:val="19"/>
                <w:szCs w:val="19"/>
              </w:rPr>
              <w:t>Region IX</w:t>
            </w:r>
          </w:p>
          <w:p w14:paraId="1E789A8C" w14:textId="77777777" w:rsidR="007D7EEA" w:rsidRDefault="00DD2A4D">
            <w:pPr>
              <w:pStyle w:val="NoSpacing"/>
              <w:ind w:right="-144"/>
              <w:rPr>
                <w:rFonts w:ascii="Arial" w:hAnsi="Arial" w:cs="Arial"/>
                <w:i/>
                <w:sz w:val="19"/>
                <w:szCs w:val="19"/>
              </w:rPr>
            </w:pPr>
            <w:r>
              <w:rPr>
                <w:rFonts w:ascii="Arial" w:hAnsi="Arial" w:cs="Arial"/>
                <w:i/>
                <w:sz w:val="19"/>
                <w:szCs w:val="19"/>
              </w:rPr>
              <w:t>Region XII</w:t>
            </w:r>
          </w:p>
          <w:p w14:paraId="13CDB7A4" w14:textId="77777777" w:rsidR="007D7EEA" w:rsidRDefault="00DD2A4D">
            <w:pPr>
              <w:pStyle w:val="NoSpacing"/>
              <w:ind w:right="-144"/>
              <w:rPr>
                <w:rFonts w:ascii="Arial" w:hAnsi="Arial" w:cs="Arial"/>
                <w:i/>
                <w:sz w:val="19"/>
                <w:szCs w:val="19"/>
              </w:rPr>
            </w:pPr>
            <w:r>
              <w:rPr>
                <w:rFonts w:ascii="Arial" w:hAnsi="Arial" w:cs="Arial"/>
                <w:i/>
                <w:sz w:val="19"/>
                <w:szCs w:val="19"/>
              </w:rPr>
              <w:t>Region XIII</w:t>
            </w:r>
          </w:p>
          <w:p w14:paraId="560ACCB1" w14:textId="77777777" w:rsidR="007D7EEA" w:rsidRDefault="00DD2A4D">
            <w:pPr>
              <w:pStyle w:val="NoSpacing"/>
              <w:ind w:right="-144"/>
              <w:rPr>
                <w:rFonts w:ascii="Arial" w:hAnsi="Arial" w:cs="Arial"/>
                <w:i/>
                <w:sz w:val="19"/>
                <w:szCs w:val="19"/>
              </w:rPr>
            </w:pPr>
            <w:r>
              <w:rPr>
                <w:rFonts w:ascii="Arial" w:hAnsi="Arial" w:cs="Arial"/>
                <w:i/>
                <w:sz w:val="19"/>
                <w:szCs w:val="19"/>
              </w:rPr>
              <w:t>ARMM</w:t>
            </w:r>
          </w:p>
        </w:tc>
        <w:tc>
          <w:tcPr>
            <w:tcW w:w="1873" w:type="dxa"/>
          </w:tcPr>
          <w:p w14:paraId="775B9264" w14:textId="77777777" w:rsidR="007D7EEA" w:rsidRDefault="00DD2A4D">
            <w:pPr>
              <w:pStyle w:val="NoSpacing"/>
              <w:jc w:val="center"/>
              <w:rPr>
                <w:rFonts w:ascii="Arial" w:hAnsi="Arial" w:cs="Arial"/>
                <w:i/>
                <w:sz w:val="19"/>
                <w:szCs w:val="19"/>
              </w:rPr>
            </w:pPr>
            <w:r>
              <w:rPr>
                <w:rFonts w:ascii="Arial" w:hAnsi="Arial" w:cs="Arial"/>
                <w:i/>
                <w:sz w:val="19"/>
                <w:szCs w:val="19"/>
              </w:rPr>
              <w:t>P1,500</w:t>
            </w:r>
          </w:p>
        </w:tc>
      </w:tr>
      <w:tr w:rsidR="007D7EEA" w14:paraId="2B085FF3" w14:textId="77777777" w:rsidTr="00726543">
        <w:trPr>
          <w:trHeight w:val="763"/>
        </w:trPr>
        <w:tc>
          <w:tcPr>
            <w:tcW w:w="1260" w:type="dxa"/>
          </w:tcPr>
          <w:p w14:paraId="59DC72BD" w14:textId="77777777" w:rsidR="007D7EEA" w:rsidRDefault="00DD2A4D">
            <w:pPr>
              <w:pStyle w:val="NoSpacing"/>
              <w:jc w:val="both"/>
              <w:rPr>
                <w:rFonts w:ascii="Arial" w:hAnsi="Arial" w:cs="Arial"/>
                <w:b/>
                <w:i/>
                <w:sz w:val="19"/>
                <w:szCs w:val="18"/>
              </w:rPr>
            </w:pPr>
            <w:r>
              <w:rPr>
                <w:rFonts w:ascii="Arial" w:hAnsi="Arial" w:cs="Arial"/>
                <w:b/>
                <w:i/>
                <w:sz w:val="19"/>
                <w:szCs w:val="18"/>
              </w:rPr>
              <w:t>Cluster II</w:t>
            </w:r>
          </w:p>
        </w:tc>
        <w:tc>
          <w:tcPr>
            <w:tcW w:w="3104" w:type="dxa"/>
          </w:tcPr>
          <w:p w14:paraId="792AB464" w14:textId="77777777" w:rsidR="007D7EEA" w:rsidRDefault="00DD2A4D">
            <w:pPr>
              <w:pStyle w:val="NoSpacing"/>
              <w:ind w:right="-144"/>
              <w:rPr>
                <w:rFonts w:ascii="Arial" w:hAnsi="Arial" w:cs="Arial"/>
                <w:i/>
                <w:sz w:val="19"/>
                <w:szCs w:val="19"/>
              </w:rPr>
            </w:pPr>
            <w:r>
              <w:rPr>
                <w:rFonts w:ascii="Arial" w:hAnsi="Arial" w:cs="Arial"/>
                <w:i/>
                <w:sz w:val="19"/>
                <w:szCs w:val="19"/>
              </w:rPr>
              <w:t>Cordillera Administrative Region</w:t>
            </w:r>
          </w:p>
          <w:p w14:paraId="76576A91" w14:textId="77777777" w:rsidR="007D7EEA" w:rsidRDefault="00DD2A4D">
            <w:pPr>
              <w:pStyle w:val="NoSpacing"/>
              <w:ind w:right="-144"/>
              <w:rPr>
                <w:rFonts w:ascii="Arial" w:hAnsi="Arial" w:cs="Arial"/>
                <w:i/>
                <w:sz w:val="19"/>
                <w:szCs w:val="19"/>
              </w:rPr>
            </w:pPr>
            <w:r>
              <w:rPr>
                <w:rFonts w:ascii="Arial" w:hAnsi="Arial" w:cs="Arial"/>
                <w:i/>
                <w:sz w:val="19"/>
                <w:szCs w:val="19"/>
              </w:rPr>
              <w:t>Region VI</w:t>
            </w:r>
          </w:p>
          <w:p w14:paraId="12A041D4" w14:textId="77777777" w:rsidR="007D7EEA" w:rsidRDefault="00DD2A4D">
            <w:pPr>
              <w:pStyle w:val="NoSpacing"/>
              <w:ind w:right="-144"/>
              <w:rPr>
                <w:rFonts w:ascii="Arial" w:hAnsi="Arial" w:cs="Arial"/>
                <w:i/>
                <w:sz w:val="19"/>
                <w:szCs w:val="19"/>
              </w:rPr>
            </w:pPr>
            <w:r>
              <w:rPr>
                <w:rFonts w:ascii="Arial" w:hAnsi="Arial" w:cs="Arial"/>
                <w:i/>
                <w:sz w:val="19"/>
                <w:szCs w:val="19"/>
              </w:rPr>
              <w:t>Region VII</w:t>
            </w:r>
          </w:p>
          <w:p w14:paraId="290A0CF4" w14:textId="77777777" w:rsidR="007D7EEA" w:rsidRDefault="00DD2A4D">
            <w:pPr>
              <w:pStyle w:val="NoSpacing"/>
              <w:ind w:right="-144"/>
              <w:rPr>
                <w:rFonts w:ascii="Arial" w:hAnsi="Arial" w:cs="Arial"/>
                <w:i/>
                <w:sz w:val="19"/>
                <w:szCs w:val="19"/>
              </w:rPr>
            </w:pPr>
            <w:r>
              <w:rPr>
                <w:rFonts w:ascii="Arial" w:hAnsi="Arial" w:cs="Arial"/>
                <w:i/>
                <w:sz w:val="19"/>
                <w:szCs w:val="19"/>
              </w:rPr>
              <w:t>Region X</w:t>
            </w:r>
          </w:p>
          <w:p w14:paraId="019FA331" w14:textId="77777777" w:rsidR="007D7EEA" w:rsidRDefault="00DD2A4D">
            <w:pPr>
              <w:pStyle w:val="NoSpacing"/>
              <w:ind w:right="-144"/>
              <w:rPr>
                <w:rFonts w:ascii="Arial" w:hAnsi="Arial" w:cs="Arial"/>
                <w:i/>
                <w:sz w:val="19"/>
                <w:szCs w:val="19"/>
              </w:rPr>
            </w:pPr>
            <w:r>
              <w:rPr>
                <w:rFonts w:ascii="Arial" w:hAnsi="Arial" w:cs="Arial"/>
                <w:i/>
                <w:sz w:val="19"/>
                <w:szCs w:val="19"/>
              </w:rPr>
              <w:t>Region XI</w:t>
            </w:r>
          </w:p>
        </w:tc>
        <w:tc>
          <w:tcPr>
            <w:tcW w:w="1873" w:type="dxa"/>
          </w:tcPr>
          <w:p w14:paraId="64444B44" w14:textId="77777777" w:rsidR="007D7EEA" w:rsidRDefault="00DD2A4D">
            <w:pPr>
              <w:pStyle w:val="NoSpacing"/>
              <w:jc w:val="center"/>
              <w:rPr>
                <w:rFonts w:ascii="Arial" w:hAnsi="Arial" w:cs="Arial"/>
                <w:i/>
                <w:sz w:val="19"/>
                <w:szCs w:val="19"/>
              </w:rPr>
            </w:pPr>
            <w:r>
              <w:rPr>
                <w:rFonts w:ascii="Arial" w:hAnsi="Arial" w:cs="Arial"/>
                <w:i/>
                <w:sz w:val="19"/>
                <w:szCs w:val="19"/>
              </w:rPr>
              <w:t>P1,800</w:t>
            </w:r>
          </w:p>
        </w:tc>
      </w:tr>
      <w:tr w:rsidR="007D7EEA" w14:paraId="1E40E1E5" w14:textId="77777777" w:rsidTr="00726543">
        <w:trPr>
          <w:trHeight w:val="597"/>
        </w:trPr>
        <w:tc>
          <w:tcPr>
            <w:tcW w:w="1260" w:type="dxa"/>
          </w:tcPr>
          <w:p w14:paraId="7B55AFF6" w14:textId="77777777" w:rsidR="007D7EEA" w:rsidRDefault="00DD2A4D">
            <w:pPr>
              <w:pStyle w:val="NoSpacing"/>
              <w:jc w:val="both"/>
              <w:rPr>
                <w:rFonts w:ascii="Arial" w:hAnsi="Arial" w:cs="Arial"/>
                <w:b/>
                <w:i/>
                <w:sz w:val="19"/>
                <w:szCs w:val="18"/>
              </w:rPr>
            </w:pPr>
            <w:r>
              <w:rPr>
                <w:rFonts w:ascii="Arial" w:hAnsi="Arial" w:cs="Arial"/>
                <w:b/>
                <w:i/>
                <w:sz w:val="19"/>
                <w:szCs w:val="18"/>
              </w:rPr>
              <w:t>Cluster III</w:t>
            </w:r>
          </w:p>
        </w:tc>
        <w:tc>
          <w:tcPr>
            <w:tcW w:w="3104" w:type="dxa"/>
          </w:tcPr>
          <w:p w14:paraId="214C6389" w14:textId="77777777" w:rsidR="007D7EEA" w:rsidRDefault="00DD2A4D">
            <w:pPr>
              <w:pStyle w:val="NoSpacing"/>
              <w:ind w:right="-144"/>
              <w:rPr>
                <w:rFonts w:ascii="Arial" w:hAnsi="Arial" w:cs="Arial"/>
                <w:i/>
                <w:sz w:val="19"/>
                <w:szCs w:val="19"/>
              </w:rPr>
            </w:pPr>
            <w:r>
              <w:rPr>
                <w:rFonts w:ascii="Arial" w:hAnsi="Arial" w:cs="Arial"/>
                <w:i/>
                <w:sz w:val="19"/>
                <w:szCs w:val="19"/>
              </w:rPr>
              <w:t>National Capital Region</w:t>
            </w:r>
          </w:p>
          <w:p w14:paraId="0A93394B" w14:textId="77777777" w:rsidR="007D7EEA" w:rsidRDefault="00DD2A4D">
            <w:pPr>
              <w:pStyle w:val="NoSpacing"/>
              <w:ind w:right="-144"/>
              <w:rPr>
                <w:rFonts w:ascii="Arial" w:hAnsi="Arial" w:cs="Arial"/>
                <w:i/>
                <w:sz w:val="19"/>
                <w:szCs w:val="19"/>
              </w:rPr>
            </w:pPr>
            <w:r>
              <w:rPr>
                <w:rFonts w:ascii="Arial" w:hAnsi="Arial" w:cs="Arial"/>
                <w:i/>
                <w:sz w:val="19"/>
                <w:szCs w:val="19"/>
              </w:rPr>
              <w:t>Region IV-A</w:t>
            </w:r>
          </w:p>
          <w:p w14:paraId="4D09A067" w14:textId="77777777" w:rsidR="007D7EEA" w:rsidRDefault="00DD2A4D">
            <w:pPr>
              <w:pStyle w:val="NoSpacing"/>
              <w:ind w:right="-144"/>
              <w:rPr>
                <w:rFonts w:ascii="Arial" w:hAnsi="Arial" w:cs="Arial"/>
                <w:i/>
                <w:sz w:val="19"/>
                <w:szCs w:val="19"/>
              </w:rPr>
            </w:pPr>
            <w:r>
              <w:rPr>
                <w:rFonts w:ascii="Arial" w:hAnsi="Arial" w:cs="Arial"/>
                <w:i/>
                <w:sz w:val="19"/>
                <w:szCs w:val="19"/>
              </w:rPr>
              <w:t>Region IV-B</w:t>
            </w:r>
          </w:p>
        </w:tc>
        <w:tc>
          <w:tcPr>
            <w:tcW w:w="1873" w:type="dxa"/>
          </w:tcPr>
          <w:p w14:paraId="055B6511" w14:textId="77777777" w:rsidR="007D7EEA" w:rsidRDefault="00DD2A4D">
            <w:pPr>
              <w:pStyle w:val="NoSpacing"/>
              <w:jc w:val="center"/>
              <w:rPr>
                <w:rFonts w:ascii="Arial" w:hAnsi="Arial" w:cs="Arial"/>
                <w:i/>
                <w:sz w:val="19"/>
                <w:szCs w:val="19"/>
              </w:rPr>
            </w:pPr>
            <w:r>
              <w:rPr>
                <w:rFonts w:ascii="Arial" w:hAnsi="Arial" w:cs="Arial"/>
                <w:i/>
                <w:sz w:val="19"/>
                <w:szCs w:val="19"/>
              </w:rPr>
              <w:t>P2,200</w:t>
            </w:r>
          </w:p>
        </w:tc>
      </w:tr>
    </w:tbl>
    <w:p w14:paraId="3A26C1D1" w14:textId="77777777" w:rsidR="007D7EEA" w:rsidRDefault="00DD2A4D">
      <w:pPr>
        <w:pStyle w:val="NoSpacing"/>
        <w:ind w:left="720" w:right="746"/>
        <w:jc w:val="both"/>
        <w:rPr>
          <w:rFonts w:ascii="Arial" w:hAnsi="Arial" w:cs="Arial"/>
          <w:i/>
        </w:rPr>
      </w:pPr>
      <w:r>
        <w:rPr>
          <w:rFonts w:ascii="Arial" w:hAnsi="Arial" w:cs="Arial"/>
          <w:i/>
        </w:rPr>
        <w:t xml:space="preserve"> </w:t>
      </w:r>
    </w:p>
    <w:p w14:paraId="7BE64E88" w14:textId="77777777" w:rsidR="007D7EEA" w:rsidRDefault="00DD2A4D" w:rsidP="00726543">
      <w:pPr>
        <w:pStyle w:val="NoSpacing"/>
        <w:numPr>
          <w:ilvl w:val="0"/>
          <w:numId w:val="57"/>
        </w:numPr>
        <w:ind w:left="2268" w:right="432" w:hanging="283"/>
        <w:jc w:val="both"/>
        <w:rPr>
          <w:rFonts w:ascii="Arial" w:hAnsi="Arial" w:cs="Arial"/>
          <w:i/>
        </w:rPr>
      </w:pPr>
      <w:r>
        <w:rPr>
          <w:rFonts w:ascii="Arial" w:hAnsi="Arial" w:cs="Arial"/>
          <w:i/>
        </w:rPr>
        <w:lastRenderedPageBreak/>
        <w:t>Claims for payment of DTE as provided under Section 5(b)(i) hereof shall not require presentation of bills and receipts.</w:t>
      </w:r>
    </w:p>
    <w:p w14:paraId="4D5FAEEB" w14:textId="77777777" w:rsidR="007D7EEA" w:rsidRDefault="007D7EEA">
      <w:pPr>
        <w:pStyle w:val="NoSpacing"/>
        <w:ind w:left="2610" w:right="746"/>
        <w:jc w:val="both"/>
        <w:rPr>
          <w:rFonts w:ascii="Arial" w:hAnsi="Arial" w:cs="Arial"/>
          <w:i/>
        </w:rPr>
      </w:pPr>
    </w:p>
    <w:p w14:paraId="6AC63C6B" w14:textId="77777777" w:rsidR="007D7EEA" w:rsidRDefault="00DD2A4D" w:rsidP="00BB0337">
      <w:pPr>
        <w:pStyle w:val="NoSpacing"/>
        <w:numPr>
          <w:ilvl w:val="3"/>
          <w:numId w:val="3"/>
        </w:numPr>
        <w:ind w:left="1985" w:right="418" w:hanging="284"/>
        <w:jc w:val="both"/>
        <w:rPr>
          <w:rFonts w:ascii="Arial" w:hAnsi="Arial" w:cs="Arial"/>
          <w:i/>
        </w:rPr>
      </w:pPr>
      <w:r>
        <w:rPr>
          <w:rFonts w:ascii="Arial" w:hAnsi="Arial" w:cs="Arial"/>
          <w:b/>
          <w:i/>
        </w:rPr>
        <w:t>Apportioned Travel Expenses.</w:t>
      </w:r>
      <w:r>
        <w:rPr>
          <w:rFonts w:ascii="Arial" w:hAnsi="Arial" w:cs="Arial"/>
          <w:i/>
        </w:rPr>
        <w:t xml:space="preserve"> The allowable DTE for travel beyond the 50-kilometer radius from the permanent official station shall be based on the following apportionment:</w:t>
      </w:r>
    </w:p>
    <w:p w14:paraId="5208C6E9" w14:textId="77777777" w:rsidR="007D7EEA" w:rsidRDefault="007D7EEA">
      <w:pPr>
        <w:pStyle w:val="NoSpacing"/>
        <w:jc w:val="both"/>
        <w:rPr>
          <w:rFonts w:ascii="Arial" w:hAnsi="Arial" w:cs="Arial"/>
        </w:rPr>
      </w:pPr>
    </w:p>
    <w:tbl>
      <w:tblPr>
        <w:tblStyle w:val="TableGrid"/>
        <w:tblW w:w="0" w:type="auto"/>
        <w:tblInd w:w="1980" w:type="dxa"/>
        <w:tblLook w:val="04A0" w:firstRow="1" w:lastRow="0" w:firstColumn="1" w:lastColumn="0" w:noHBand="0" w:noVBand="1"/>
      </w:tblPr>
      <w:tblGrid>
        <w:gridCol w:w="2790"/>
        <w:gridCol w:w="1260"/>
        <w:gridCol w:w="2187"/>
      </w:tblGrid>
      <w:tr w:rsidR="007D7EEA" w14:paraId="3CFE87E0" w14:textId="77777777" w:rsidTr="00726543">
        <w:trPr>
          <w:trHeight w:val="307"/>
          <w:tblHeader/>
        </w:trPr>
        <w:tc>
          <w:tcPr>
            <w:tcW w:w="2790" w:type="dxa"/>
          </w:tcPr>
          <w:p w14:paraId="35C3C42B" w14:textId="77777777" w:rsidR="007D7EEA" w:rsidRDefault="00DD2A4D">
            <w:pPr>
              <w:pStyle w:val="NoSpacing"/>
              <w:jc w:val="center"/>
              <w:rPr>
                <w:rFonts w:ascii="Arial" w:hAnsi="Arial" w:cs="Arial"/>
                <w:b/>
                <w:sz w:val="20"/>
              </w:rPr>
            </w:pPr>
            <w:r>
              <w:rPr>
                <w:rFonts w:ascii="Arial" w:hAnsi="Arial" w:cs="Arial"/>
                <w:b/>
                <w:sz w:val="20"/>
              </w:rPr>
              <w:t>Particulars</w:t>
            </w:r>
          </w:p>
        </w:tc>
        <w:tc>
          <w:tcPr>
            <w:tcW w:w="1260" w:type="dxa"/>
          </w:tcPr>
          <w:p w14:paraId="32497233" w14:textId="77777777" w:rsidR="007D7EEA" w:rsidRDefault="00DD2A4D">
            <w:pPr>
              <w:pStyle w:val="NoSpacing"/>
              <w:ind w:left="-58" w:right="-58"/>
              <w:jc w:val="center"/>
              <w:rPr>
                <w:rFonts w:ascii="Arial" w:hAnsi="Arial" w:cs="Arial"/>
                <w:b/>
                <w:sz w:val="20"/>
              </w:rPr>
            </w:pPr>
            <w:r>
              <w:rPr>
                <w:rFonts w:ascii="Arial" w:hAnsi="Arial" w:cs="Arial"/>
                <w:b/>
                <w:sz w:val="20"/>
              </w:rPr>
              <w:t>Percentage</w:t>
            </w:r>
          </w:p>
        </w:tc>
        <w:tc>
          <w:tcPr>
            <w:tcW w:w="2187" w:type="dxa"/>
          </w:tcPr>
          <w:p w14:paraId="46AEDA6E" w14:textId="77777777" w:rsidR="007D7EEA" w:rsidRDefault="00DD2A4D">
            <w:pPr>
              <w:pStyle w:val="NoSpacing"/>
              <w:jc w:val="center"/>
              <w:rPr>
                <w:rFonts w:ascii="Arial" w:hAnsi="Arial" w:cs="Arial"/>
                <w:b/>
                <w:sz w:val="20"/>
              </w:rPr>
            </w:pPr>
            <w:r>
              <w:rPr>
                <w:rFonts w:ascii="Arial" w:hAnsi="Arial" w:cs="Arial"/>
                <w:b/>
                <w:sz w:val="20"/>
              </w:rPr>
              <w:t>To Cover</w:t>
            </w:r>
          </w:p>
        </w:tc>
      </w:tr>
      <w:tr w:rsidR="007D7EEA" w14:paraId="73857F6D" w14:textId="77777777" w:rsidTr="00726543">
        <w:trPr>
          <w:trHeight w:val="887"/>
        </w:trPr>
        <w:tc>
          <w:tcPr>
            <w:tcW w:w="2790" w:type="dxa"/>
            <w:vAlign w:val="center"/>
          </w:tcPr>
          <w:p w14:paraId="0BAF7505" w14:textId="77777777" w:rsidR="007D7EEA" w:rsidRDefault="00DD2A4D">
            <w:pPr>
              <w:pStyle w:val="NoSpacing"/>
              <w:jc w:val="center"/>
              <w:rPr>
                <w:rFonts w:ascii="Arial" w:hAnsi="Arial" w:cs="Arial"/>
                <w:sz w:val="20"/>
              </w:rPr>
            </w:pPr>
            <w:r>
              <w:rPr>
                <w:rFonts w:ascii="Arial" w:hAnsi="Arial" w:cs="Arial"/>
                <w:sz w:val="20"/>
              </w:rPr>
              <w:t>Day of arrival at point of destination (regardless of time) and succeeding day/s thereof on official business</w:t>
            </w:r>
          </w:p>
        </w:tc>
        <w:tc>
          <w:tcPr>
            <w:tcW w:w="1260" w:type="dxa"/>
            <w:vAlign w:val="center"/>
          </w:tcPr>
          <w:p w14:paraId="6528EFB8" w14:textId="77777777" w:rsidR="007D7EEA" w:rsidRDefault="00DD2A4D">
            <w:pPr>
              <w:pStyle w:val="NoSpacing"/>
              <w:jc w:val="center"/>
              <w:rPr>
                <w:rFonts w:ascii="Arial" w:hAnsi="Arial" w:cs="Arial"/>
                <w:sz w:val="20"/>
              </w:rPr>
            </w:pPr>
            <w:r>
              <w:rPr>
                <w:rFonts w:ascii="Arial" w:hAnsi="Arial" w:cs="Arial"/>
                <w:sz w:val="20"/>
              </w:rPr>
              <w:t>100%</w:t>
            </w:r>
          </w:p>
        </w:tc>
        <w:tc>
          <w:tcPr>
            <w:tcW w:w="2187" w:type="dxa"/>
            <w:vAlign w:val="center"/>
          </w:tcPr>
          <w:p w14:paraId="6E815ACE" w14:textId="77777777" w:rsidR="007D7EEA" w:rsidRDefault="00DD2A4D">
            <w:pPr>
              <w:pStyle w:val="NoSpacing"/>
              <w:jc w:val="center"/>
              <w:rPr>
                <w:rFonts w:ascii="Arial" w:hAnsi="Arial" w:cs="Arial"/>
                <w:sz w:val="20"/>
              </w:rPr>
            </w:pPr>
            <w:r>
              <w:rPr>
                <w:rFonts w:ascii="Arial" w:hAnsi="Arial" w:cs="Arial"/>
                <w:sz w:val="20"/>
              </w:rPr>
              <w:t>Hotel/lodging (50%), meals (30%), and incidental expenses (20%</w:t>
            </w:r>
          </w:p>
        </w:tc>
      </w:tr>
      <w:tr w:rsidR="007D7EEA" w14:paraId="1C9B740B" w14:textId="77777777" w:rsidTr="00726543">
        <w:trPr>
          <w:trHeight w:val="692"/>
        </w:trPr>
        <w:tc>
          <w:tcPr>
            <w:tcW w:w="2790" w:type="dxa"/>
            <w:vAlign w:val="center"/>
          </w:tcPr>
          <w:p w14:paraId="63767CB2" w14:textId="77777777" w:rsidR="007D7EEA" w:rsidRDefault="00DD2A4D">
            <w:pPr>
              <w:pStyle w:val="NoSpacing"/>
              <w:jc w:val="center"/>
              <w:rPr>
                <w:rFonts w:ascii="Arial" w:hAnsi="Arial" w:cs="Arial"/>
                <w:sz w:val="20"/>
              </w:rPr>
            </w:pPr>
            <w:r>
              <w:rPr>
                <w:rFonts w:ascii="Arial" w:hAnsi="Arial" w:cs="Arial"/>
                <w:sz w:val="20"/>
              </w:rPr>
              <w:t>Day of departure for permanent official station (regardless of time) if other than date of arrival</w:t>
            </w:r>
          </w:p>
        </w:tc>
        <w:tc>
          <w:tcPr>
            <w:tcW w:w="1260" w:type="dxa"/>
            <w:vAlign w:val="center"/>
          </w:tcPr>
          <w:p w14:paraId="539A9B7E" w14:textId="77777777" w:rsidR="007D7EEA" w:rsidRDefault="00DD2A4D">
            <w:pPr>
              <w:pStyle w:val="NoSpacing"/>
              <w:jc w:val="center"/>
              <w:rPr>
                <w:rFonts w:ascii="Arial" w:hAnsi="Arial" w:cs="Arial"/>
                <w:sz w:val="20"/>
              </w:rPr>
            </w:pPr>
            <w:r>
              <w:rPr>
                <w:rFonts w:ascii="Arial" w:hAnsi="Arial" w:cs="Arial"/>
                <w:sz w:val="20"/>
              </w:rPr>
              <w:t>50%</w:t>
            </w:r>
          </w:p>
        </w:tc>
        <w:tc>
          <w:tcPr>
            <w:tcW w:w="2187" w:type="dxa"/>
            <w:vAlign w:val="center"/>
          </w:tcPr>
          <w:p w14:paraId="6D4C2103" w14:textId="77777777" w:rsidR="007D7EEA" w:rsidRDefault="00DD2A4D">
            <w:pPr>
              <w:pStyle w:val="NoSpacing"/>
              <w:jc w:val="center"/>
              <w:rPr>
                <w:rFonts w:ascii="Arial" w:hAnsi="Arial" w:cs="Arial"/>
                <w:sz w:val="20"/>
              </w:rPr>
            </w:pPr>
            <w:r>
              <w:rPr>
                <w:rFonts w:ascii="Arial" w:hAnsi="Arial" w:cs="Arial"/>
                <w:sz w:val="20"/>
              </w:rPr>
              <w:t>Meals (30%), and incidental expenses (20%)</w:t>
            </w:r>
          </w:p>
        </w:tc>
      </w:tr>
    </w:tbl>
    <w:p w14:paraId="12BF7888" w14:textId="77777777" w:rsidR="007D7EEA" w:rsidRPr="0096065B" w:rsidRDefault="007D7EEA">
      <w:pPr>
        <w:pStyle w:val="NoSpacing"/>
        <w:ind w:left="720" w:right="746"/>
        <w:jc w:val="both"/>
        <w:rPr>
          <w:rFonts w:ascii="Arial" w:hAnsi="Arial" w:cs="Arial"/>
          <w:i/>
        </w:rPr>
      </w:pPr>
    </w:p>
    <w:p w14:paraId="567FA52A" w14:textId="77777777" w:rsidR="007D7EEA" w:rsidRPr="0096065B" w:rsidRDefault="00DD2A4D" w:rsidP="00BB0337">
      <w:pPr>
        <w:pStyle w:val="NoSpacing"/>
        <w:numPr>
          <w:ilvl w:val="3"/>
          <w:numId w:val="3"/>
        </w:numPr>
        <w:ind w:left="1985" w:right="418" w:hanging="284"/>
        <w:jc w:val="both"/>
        <w:rPr>
          <w:rFonts w:ascii="Arial" w:hAnsi="Arial" w:cs="Arial"/>
          <w:i/>
        </w:rPr>
      </w:pPr>
      <w:r w:rsidRPr="0096065B">
        <w:rPr>
          <w:rFonts w:ascii="Arial" w:hAnsi="Arial" w:cs="Arial"/>
          <w:b/>
          <w:i/>
        </w:rPr>
        <w:t>Travel Expenses in Excess of Authorized Travel Rates.</w:t>
      </w:r>
      <w:r w:rsidRPr="0096065B">
        <w:rPr>
          <w:rFonts w:ascii="Arial" w:hAnsi="Arial" w:cs="Arial"/>
          <w:i/>
        </w:rPr>
        <w:t xml:space="preserve"> Claims for reimbursement of actual accommodation expenses (excluding expenses for valets, room attendants, laundry, pressing, haircuts, and similar services furnished by hotels) in excess of the accommodation component of the DTE may be allowed, but in no case shall the difference exceed one hundred per cent (100%) of such component of the prescribed DTE rate, and only upon:</w:t>
      </w:r>
    </w:p>
    <w:p w14:paraId="79F01917" w14:textId="77777777" w:rsidR="007D7EEA" w:rsidRPr="0096065B" w:rsidRDefault="007D7EEA">
      <w:pPr>
        <w:pStyle w:val="NoSpacing"/>
        <w:jc w:val="both"/>
        <w:rPr>
          <w:rFonts w:ascii="Arial" w:hAnsi="Arial" w:cs="Arial"/>
          <w:i/>
        </w:rPr>
      </w:pPr>
    </w:p>
    <w:p w14:paraId="0AFF8996" w14:textId="77777777" w:rsidR="007D7EEA" w:rsidRPr="0096065B" w:rsidRDefault="00DD2A4D">
      <w:pPr>
        <w:pStyle w:val="NoSpacing"/>
        <w:numPr>
          <w:ilvl w:val="0"/>
          <w:numId w:val="58"/>
        </w:numPr>
        <w:ind w:left="2694" w:right="432" w:hanging="426"/>
        <w:jc w:val="both"/>
        <w:rPr>
          <w:rFonts w:ascii="Arial" w:hAnsi="Arial" w:cs="Arial"/>
          <w:i/>
        </w:rPr>
      </w:pPr>
      <w:r w:rsidRPr="0096065B">
        <w:rPr>
          <w:rFonts w:ascii="Arial" w:hAnsi="Arial" w:cs="Arial"/>
          <w:b/>
          <w:bCs/>
          <w:i/>
        </w:rPr>
        <w:t>Submission of certification by the agency head or authorized representative as absolutely necessary in the performance of an assignment</w:t>
      </w:r>
      <w:r w:rsidRPr="0096065B">
        <w:rPr>
          <w:rFonts w:ascii="Arial" w:hAnsi="Arial" w:cs="Arial"/>
          <w:i/>
        </w:rPr>
        <w:t>; and</w:t>
      </w:r>
    </w:p>
    <w:p w14:paraId="084DE748" w14:textId="77777777" w:rsidR="007D7EEA" w:rsidRPr="0096065B" w:rsidRDefault="007D7EEA">
      <w:pPr>
        <w:pStyle w:val="NoSpacing"/>
        <w:ind w:left="2178" w:right="746" w:hanging="450"/>
        <w:jc w:val="both"/>
        <w:rPr>
          <w:rFonts w:ascii="Arial" w:hAnsi="Arial" w:cs="Arial"/>
          <w:i/>
        </w:rPr>
      </w:pPr>
    </w:p>
    <w:p w14:paraId="2FAE79F1" w14:textId="77777777" w:rsidR="007D7EEA" w:rsidRPr="0096065B" w:rsidRDefault="00DD2A4D">
      <w:pPr>
        <w:pStyle w:val="NoSpacing"/>
        <w:numPr>
          <w:ilvl w:val="0"/>
          <w:numId w:val="58"/>
        </w:numPr>
        <w:ind w:left="2694" w:right="432" w:hanging="426"/>
        <w:jc w:val="both"/>
        <w:rPr>
          <w:rFonts w:ascii="Arial" w:hAnsi="Arial" w:cs="Arial"/>
          <w:i/>
        </w:rPr>
      </w:pPr>
      <w:r w:rsidRPr="0096065B">
        <w:rPr>
          <w:rFonts w:ascii="Arial" w:hAnsi="Arial" w:cs="Arial"/>
          <w:i/>
        </w:rPr>
        <w:t>Presentation of bills and receipts. A certification or affidavit of loss shall not be considered as appropriate replacement for lost bills and receipts.</w:t>
      </w:r>
    </w:p>
    <w:p w14:paraId="5388E2A6" w14:textId="77777777" w:rsidR="007D7EEA" w:rsidRPr="0096065B" w:rsidRDefault="007D7EEA">
      <w:pPr>
        <w:pStyle w:val="NoSpacing"/>
        <w:ind w:right="746"/>
        <w:jc w:val="both"/>
        <w:rPr>
          <w:rFonts w:ascii="Arial" w:hAnsi="Arial" w:cs="Arial"/>
          <w:i/>
        </w:rPr>
      </w:pPr>
    </w:p>
    <w:p w14:paraId="456BDAD0" w14:textId="77777777" w:rsidR="007D7EEA" w:rsidRPr="0096065B" w:rsidRDefault="00DD2A4D" w:rsidP="00BB0337">
      <w:pPr>
        <w:pStyle w:val="NoSpacing"/>
        <w:numPr>
          <w:ilvl w:val="3"/>
          <w:numId w:val="3"/>
        </w:numPr>
        <w:ind w:left="1985" w:right="418" w:hanging="284"/>
        <w:jc w:val="both"/>
        <w:rPr>
          <w:rFonts w:ascii="Arial" w:hAnsi="Arial" w:cs="Arial"/>
          <w:b/>
          <w:i/>
        </w:rPr>
      </w:pPr>
      <w:r w:rsidRPr="0096065B">
        <w:rPr>
          <w:rFonts w:ascii="Arial" w:hAnsi="Arial" w:cs="Arial"/>
          <w:b/>
          <w:i/>
        </w:rPr>
        <w:t xml:space="preserve">Precluding Double Payment of Travel Expenses. </w:t>
      </w:r>
      <w:r w:rsidRPr="0096065B">
        <w:rPr>
          <w:rFonts w:ascii="Arial" w:hAnsi="Arial" w:cs="Arial"/>
          <w:i/>
        </w:rPr>
        <w:t xml:space="preserve">To preclude double payment, the corresponding portion of DTE shall not be allowed when the fair paid for transportation includes meals and/or quarters </w:t>
      </w:r>
      <w:proofErr w:type="spellStart"/>
      <w:r w:rsidRPr="0096065B">
        <w:rPr>
          <w:rFonts w:ascii="Arial" w:hAnsi="Arial" w:cs="Arial"/>
          <w:i/>
        </w:rPr>
        <w:t>en</w:t>
      </w:r>
      <w:proofErr w:type="spellEnd"/>
      <w:r w:rsidRPr="0096065B">
        <w:rPr>
          <w:rFonts w:ascii="Arial" w:hAnsi="Arial" w:cs="Arial"/>
          <w:i/>
        </w:rPr>
        <w:t xml:space="preserve"> route, or where the meals and/or lodging are paid for or furnished by the government or other parties.</w:t>
      </w:r>
    </w:p>
    <w:p w14:paraId="55B6359A" w14:textId="77777777" w:rsidR="007D7EEA" w:rsidRPr="0096065B" w:rsidRDefault="007D7EEA">
      <w:pPr>
        <w:pStyle w:val="NoSpacing"/>
        <w:ind w:right="746"/>
        <w:jc w:val="both"/>
        <w:rPr>
          <w:rFonts w:ascii="Arial" w:hAnsi="Arial" w:cs="Arial"/>
        </w:rPr>
      </w:pPr>
    </w:p>
    <w:p w14:paraId="4A333F31" w14:textId="77777777" w:rsidR="007D7EEA" w:rsidRPr="0096065B" w:rsidRDefault="00DD2A4D">
      <w:pPr>
        <w:pStyle w:val="NoSpacing"/>
        <w:ind w:left="576"/>
        <w:jc w:val="both"/>
        <w:rPr>
          <w:rFonts w:ascii="Arial" w:hAnsi="Arial" w:cs="Arial"/>
          <w:i/>
        </w:rPr>
      </w:pPr>
      <w:r w:rsidRPr="0096065B">
        <w:rPr>
          <w:rFonts w:ascii="Arial" w:hAnsi="Arial" w:cs="Arial"/>
          <w:i/>
        </w:rPr>
        <w:t>Excessive claims for hotel accommodations and meals during travel amounting to P57,713</w:t>
      </w:r>
    </w:p>
    <w:p w14:paraId="2B0C2A5F" w14:textId="77777777" w:rsidR="007D7EEA" w:rsidRPr="0096065B" w:rsidRDefault="007D7EEA">
      <w:pPr>
        <w:pStyle w:val="NoSpacing"/>
        <w:ind w:firstLine="720"/>
        <w:jc w:val="both"/>
        <w:rPr>
          <w:rFonts w:ascii="Arial" w:hAnsi="Arial" w:cs="Arial"/>
        </w:rPr>
      </w:pPr>
    </w:p>
    <w:p w14:paraId="0CC243C0" w14:textId="795D6922" w:rsidR="007D7EEA"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In the review of the liquidation reports of cash advance for travels made in CY 2022, the Audit Team noted that the concerned officials and employees of the AFPRSBS were authorized to travel to Region IV-B, VI, and XII with corresponding maximum allowable DTE of P2,200, P1,800 and P1,500, respectively.  It was also noted that claims for hotel accommodation and meals were based on actual expenses incurred during official travel.  The maximum DTE was not </w:t>
      </w:r>
      <w:r w:rsidR="00CD68D0" w:rsidRPr="0096065B">
        <w:rPr>
          <w:rFonts w:ascii="Arial" w:hAnsi="Arial" w:cs="Arial"/>
          <w:sz w:val="22"/>
          <w:szCs w:val="22"/>
        </w:rPr>
        <w:t xml:space="preserve">considered </w:t>
      </w:r>
      <w:r w:rsidRPr="0096065B">
        <w:rPr>
          <w:rFonts w:ascii="Arial" w:hAnsi="Arial" w:cs="Arial"/>
          <w:sz w:val="22"/>
          <w:szCs w:val="22"/>
        </w:rPr>
        <w:t xml:space="preserve">in the computation </w:t>
      </w:r>
      <w:r w:rsidR="00CD68D0" w:rsidRPr="0096065B">
        <w:rPr>
          <w:rFonts w:ascii="Arial" w:hAnsi="Arial" w:cs="Arial"/>
          <w:sz w:val="22"/>
          <w:szCs w:val="22"/>
        </w:rPr>
        <w:t>of</w:t>
      </w:r>
      <w:r w:rsidRPr="0096065B">
        <w:rPr>
          <w:rFonts w:ascii="Arial" w:hAnsi="Arial" w:cs="Arial"/>
          <w:sz w:val="22"/>
          <w:szCs w:val="22"/>
        </w:rPr>
        <w:t xml:space="preserve"> the 50 per cent allowable daily hotel lodging of P1,100, P900 and P750, respectively</w:t>
      </w:r>
      <w:r w:rsidR="00CD68D0" w:rsidRPr="0096065B">
        <w:rPr>
          <w:rFonts w:ascii="Arial" w:hAnsi="Arial" w:cs="Arial"/>
          <w:sz w:val="22"/>
          <w:szCs w:val="22"/>
        </w:rPr>
        <w:t>.</w:t>
      </w:r>
      <w:r w:rsidRPr="0096065B">
        <w:rPr>
          <w:rFonts w:ascii="Arial" w:hAnsi="Arial" w:cs="Arial"/>
          <w:sz w:val="22"/>
          <w:szCs w:val="22"/>
        </w:rPr>
        <w:t xml:space="preserve">  Also, </w:t>
      </w:r>
      <w:r w:rsidRPr="0096065B">
        <w:rPr>
          <w:rFonts w:ascii="Arial" w:hAnsi="Arial" w:cs="Arial"/>
          <w:sz w:val="22"/>
          <w:szCs w:val="22"/>
        </w:rPr>
        <w:lastRenderedPageBreak/>
        <w:t xml:space="preserve">these claims were not supported by a certification of the agency head or authorized representative as absolutely necessary in the performance of an assignment. </w:t>
      </w:r>
    </w:p>
    <w:p w14:paraId="0F9741C1" w14:textId="77777777" w:rsidR="000966CD" w:rsidRPr="0096065B" w:rsidRDefault="000966CD" w:rsidP="000966CD">
      <w:pPr>
        <w:pStyle w:val="NormalWeb"/>
        <w:spacing w:before="0" w:beforeAutospacing="0" w:after="0" w:afterAutospacing="0"/>
        <w:ind w:left="1267"/>
        <w:jc w:val="both"/>
        <w:rPr>
          <w:rFonts w:ascii="Arial" w:hAnsi="Arial" w:cs="Arial"/>
          <w:sz w:val="22"/>
          <w:szCs w:val="22"/>
        </w:rPr>
      </w:pPr>
    </w:p>
    <w:p w14:paraId="0D289D9C" w14:textId="54CD3D10"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comparative analysis of the actual claims for traveling expenses and the maximum allowable DTE is presented in Table 1</w:t>
      </w:r>
      <w:r w:rsidR="00A57D4E" w:rsidRPr="0096065B">
        <w:rPr>
          <w:rFonts w:ascii="Arial" w:hAnsi="Arial" w:cs="Arial"/>
          <w:sz w:val="22"/>
          <w:szCs w:val="22"/>
        </w:rPr>
        <w:t>5</w:t>
      </w:r>
      <w:r w:rsidRPr="0096065B">
        <w:rPr>
          <w:rFonts w:ascii="Arial" w:hAnsi="Arial" w:cs="Arial"/>
          <w:sz w:val="22"/>
          <w:szCs w:val="22"/>
        </w:rPr>
        <w:t xml:space="preserve">.1. </w:t>
      </w:r>
    </w:p>
    <w:p w14:paraId="6A331D98" w14:textId="77777777" w:rsidR="007D7EEA" w:rsidRPr="0096065B" w:rsidRDefault="007D7EEA">
      <w:pPr>
        <w:pStyle w:val="ListParagraph"/>
        <w:rPr>
          <w:rFonts w:ascii="Arial" w:hAnsi="Arial" w:cs="Arial"/>
          <w:sz w:val="22"/>
          <w:szCs w:val="22"/>
        </w:rPr>
      </w:pPr>
    </w:p>
    <w:p w14:paraId="46034BB3" w14:textId="6FE67E59" w:rsidR="007D7EEA" w:rsidRPr="0096065B" w:rsidRDefault="00DD2A4D">
      <w:pPr>
        <w:spacing w:after="0" w:line="240" w:lineRule="auto"/>
        <w:ind w:left="270" w:firstLine="9"/>
        <w:jc w:val="center"/>
        <w:rPr>
          <w:rFonts w:ascii="Arial" w:hAnsi="Arial" w:cs="Arial"/>
          <w:b/>
          <w:bCs/>
        </w:rPr>
      </w:pPr>
      <w:r w:rsidRPr="0096065B">
        <w:rPr>
          <w:rFonts w:ascii="Arial" w:hAnsi="Arial" w:cs="Arial"/>
          <w:b/>
          <w:bCs/>
        </w:rPr>
        <w:t>Table 1</w:t>
      </w:r>
      <w:r w:rsidR="00A57D4E" w:rsidRPr="0096065B">
        <w:rPr>
          <w:rFonts w:ascii="Arial" w:hAnsi="Arial" w:cs="Arial"/>
          <w:b/>
          <w:bCs/>
        </w:rPr>
        <w:t>5</w:t>
      </w:r>
      <w:r w:rsidRPr="0096065B">
        <w:rPr>
          <w:rFonts w:ascii="Arial" w:hAnsi="Arial" w:cs="Arial"/>
          <w:b/>
          <w:bCs/>
        </w:rPr>
        <w:t xml:space="preserve">.1 – Comparative analysis between actual grant </w:t>
      </w:r>
    </w:p>
    <w:p w14:paraId="077BF90F" w14:textId="77777777" w:rsidR="007D7EEA" w:rsidRPr="0096065B" w:rsidRDefault="00DD2A4D">
      <w:pPr>
        <w:spacing w:after="0" w:line="240" w:lineRule="auto"/>
        <w:ind w:left="270"/>
        <w:jc w:val="center"/>
        <w:rPr>
          <w:rFonts w:ascii="Arial" w:hAnsi="Arial" w:cs="Arial"/>
          <w:b/>
          <w:bCs/>
        </w:rPr>
      </w:pPr>
      <w:r w:rsidRPr="0096065B">
        <w:rPr>
          <w:rFonts w:ascii="Arial" w:hAnsi="Arial" w:cs="Arial"/>
          <w:b/>
          <w:bCs/>
        </w:rPr>
        <w:t>and maximum allowable DTE</w:t>
      </w:r>
    </w:p>
    <w:p w14:paraId="3A0E5E8F" w14:textId="77777777" w:rsidR="007D7EEA" w:rsidRPr="0096065B" w:rsidRDefault="00DD2A4D">
      <w:pPr>
        <w:spacing w:after="0" w:line="240" w:lineRule="auto"/>
        <w:ind w:left="270"/>
        <w:jc w:val="center"/>
        <w:rPr>
          <w:rFonts w:ascii="Arial" w:hAnsi="Arial" w:cs="Arial"/>
          <w:b/>
          <w:bCs/>
        </w:rPr>
      </w:pPr>
      <w:r w:rsidRPr="0096065B">
        <w:rPr>
          <w:rFonts w:ascii="Arial" w:hAnsi="Arial" w:cs="Arial"/>
          <w:b/>
          <w:bCs/>
        </w:rPr>
        <w:t>For the Period Ended December 31, 2022</w:t>
      </w:r>
    </w:p>
    <w:p w14:paraId="544E70EF" w14:textId="77777777" w:rsidR="007D7EEA" w:rsidRPr="0096065B" w:rsidRDefault="007D7EEA">
      <w:pPr>
        <w:pStyle w:val="NormalWeb"/>
        <w:spacing w:before="0" w:beforeAutospacing="0" w:after="0" w:afterAutospacing="0"/>
        <w:ind w:left="1260"/>
        <w:jc w:val="center"/>
        <w:rPr>
          <w:rFonts w:ascii="Arial" w:hAnsi="Arial" w:cs="Arial"/>
          <w:sz w:val="22"/>
          <w:szCs w:val="22"/>
        </w:rPr>
      </w:pPr>
    </w:p>
    <w:tbl>
      <w:tblPr>
        <w:tblStyle w:val="TableGrid"/>
        <w:tblW w:w="8354" w:type="dxa"/>
        <w:tblInd w:w="270" w:type="dxa"/>
        <w:tblLayout w:type="fixed"/>
        <w:tblLook w:val="04A0" w:firstRow="1" w:lastRow="0" w:firstColumn="1" w:lastColumn="0" w:noHBand="0" w:noVBand="1"/>
      </w:tblPr>
      <w:tblGrid>
        <w:gridCol w:w="906"/>
        <w:gridCol w:w="1518"/>
        <w:gridCol w:w="6"/>
        <w:gridCol w:w="993"/>
        <w:gridCol w:w="810"/>
        <w:gridCol w:w="891"/>
        <w:gridCol w:w="1215"/>
        <w:gridCol w:w="1269"/>
        <w:gridCol w:w="746"/>
      </w:tblGrid>
      <w:tr w:rsidR="007D7EEA" w:rsidRPr="0077138C" w14:paraId="54D76C46" w14:textId="77777777" w:rsidTr="0096065B">
        <w:trPr>
          <w:trHeight w:val="119"/>
          <w:tblHeader/>
        </w:trPr>
        <w:tc>
          <w:tcPr>
            <w:tcW w:w="906" w:type="dxa"/>
            <w:vMerge w:val="restart"/>
            <w:tcBorders>
              <w:top w:val="single" w:sz="4" w:space="0" w:color="auto"/>
              <w:left w:val="nil"/>
              <w:right w:val="nil"/>
            </w:tcBorders>
            <w:vAlign w:val="center"/>
          </w:tcPr>
          <w:p w14:paraId="604F6A9F" w14:textId="77777777" w:rsidR="007D7EEA" w:rsidRPr="00726543" w:rsidRDefault="00DD2A4D">
            <w:pPr>
              <w:pStyle w:val="NoSpacing"/>
              <w:ind w:left="-58" w:right="-58"/>
              <w:jc w:val="center"/>
              <w:rPr>
                <w:rFonts w:ascii="Arial" w:hAnsi="Arial" w:cs="Arial"/>
                <w:b/>
                <w:sz w:val="18"/>
                <w:szCs w:val="16"/>
              </w:rPr>
            </w:pPr>
            <w:r w:rsidRPr="00726543">
              <w:rPr>
                <w:rFonts w:ascii="Arial" w:hAnsi="Arial" w:cs="Arial"/>
                <w:b/>
                <w:sz w:val="18"/>
                <w:szCs w:val="16"/>
              </w:rPr>
              <w:t>RVCP no.</w:t>
            </w:r>
          </w:p>
        </w:tc>
        <w:tc>
          <w:tcPr>
            <w:tcW w:w="1518" w:type="dxa"/>
            <w:vMerge w:val="restart"/>
            <w:tcBorders>
              <w:top w:val="single" w:sz="4" w:space="0" w:color="auto"/>
              <w:left w:val="nil"/>
              <w:right w:val="nil"/>
            </w:tcBorders>
            <w:vAlign w:val="center"/>
          </w:tcPr>
          <w:p w14:paraId="61BA41E2" w14:textId="77777777" w:rsidR="007D7EEA" w:rsidRPr="00726543" w:rsidRDefault="00DD2A4D">
            <w:pPr>
              <w:pStyle w:val="NoSpacing"/>
              <w:ind w:left="-58" w:right="-58"/>
              <w:jc w:val="center"/>
              <w:rPr>
                <w:rFonts w:ascii="Arial" w:hAnsi="Arial" w:cs="Arial"/>
                <w:b/>
                <w:sz w:val="18"/>
                <w:szCs w:val="16"/>
              </w:rPr>
            </w:pPr>
            <w:r w:rsidRPr="00726543">
              <w:rPr>
                <w:rFonts w:ascii="Arial" w:hAnsi="Arial" w:cs="Arial"/>
                <w:b/>
                <w:sz w:val="18"/>
                <w:szCs w:val="16"/>
              </w:rPr>
              <w:t>Destination</w:t>
            </w:r>
          </w:p>
        </w:tc>
        <w:tc>
          <w:tcPr>
            <w:tcW w:w="3915" w:type="dxa"/>
            <w:gridSpan w:val="5"/>
            <w:tcBorders>
              <w:top w:val="single" w:sz="4" w:space="0" w:color="auto"/>
              <w:left w:val="nil"/>
              <w:bottom w:val="single" w:sz="4" w:space="0" w:color="auto"/>
              <w:right w:val="nil"/>
            </w:tcBorders>
            <w:vAlign w:val="center"/>
          </w:tcPr>
          <w:p w14:paraId="417E5910" w14:textId="77777777" w:rsidR="007D7EEA" w:rsidRPr="00726543" w:rsidRDefault="00DD2A4D">
            <w:pPr>
              <w:pStyle w:val="NoSpacing"/>
              <w:ind w:left="-58" w:right="-58"/>
              <w:jc w:val="center"/>
              <w:rPr>
                <w:rFonts w:ascii="Arial" w:hAnsi="Arial" w:cs="Arial"/>
                <w:b/>
                <w:sz w:val="18"/>
                <w:szCs w:val="16"/>
              </w:rPr>
            </w:pPr>
            <w:r w:rsidRPr="00726543">
              <w:rPr>
                <w:rFonts w:ascii="Arial" w:hAnsi="Arial" w:cs="Arial"/>
                <w:b/>
                <w:sz w:val="18"/>
                <w:szCs w:val="16"/>
              </w:rPr>
              <w:t>Actual expenses incurred</w:t>
            </w:r>
          </w:p>
        </w:tc>
        <w:tc>
          <w:tcPr>
            <w:tcW w:w="1269" w:type="dxa"/>
            <w:vMerge w:val="restart"/>
            <w:tcBorders>
              <w:top w:val="single" w:sz="4" w:space="0" w:color="auto"/>
              <w:left w:val="nil"/>
              <w:right w:val="nil"/>
            </w:tcBorders>
            <w:vAlign w:val="center"/>
          </w:tcPr>
          <w:p w14:paraId="272B8C1D"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 xml:space="preserve">Total allowed DTE under </w:t>
            </w:r>
          </w:p>
          <w:p w14:paraId="4CAAEB15"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EO No. 77</w:t>
            </w:r>
          </w:p>
          <w:p w14:paraId="54096775" w14:textId="77777777" w:rsidR="007D7EEA" w:rsidRPr="00726543" w:rsidRDefault="00DD2A4D">
            <w:pPr>
              <w:pStyle w:val="NoSpacing"/>
              <w:ind w:left="-58" w:right="-58"/>
              <w:jc w:val="center"/>
              <w:rPr>
                <w:rFonts w:ascii="Arial" w:hAnsi="Arial" w:cs="Arial"/>
                <w:b/>
                <w:sz w:val="18"/>
                <w:szCs w:val="16"/>
              </w:rPr>
            </w:pPr>
            <w:r w:rsidRPr="00726543">
              <w:rPr>
                <w:rFonts w:ascii="Arial" w:hAnsi="Arial" w:cs="Arial"/>
                <w:b/>
                <w:sz w:val="18"/>
                <w:szCs w:val="16"/>
              </w:rPr>
              <w:t>(e)</w:t>
            </w:r>
          </w:p>
        </w:tc>
        <w:tc>
          <w:tcPr>
            <w:tcW w:w="746" w:type="dxa"/>
            <w:vMerge w:val="restart"/>
            <w:tcBorders>
              <w:top w:val="single" w:sz="4" w:space="0" w:color="auto"/>
              <w:left w:val="nil"/>
              <w:right w:val="nil"/>
            </w:tcBorders>
            <w:vAlign w:val="center"/>
          </w:tcPr>
          <w:p w14:paraId="07D2E3C0" w14:textId="77777777" w:rsidR="007D7EEA" w:rsidRPr="00726543" w:rsidRDefault="00DD2A4D">
            <w:pPr>
              <w:pStyle w:val="NoSpacing"/>
              <w:ind w:left="-58" w:right="-58"/>
              <w:jc w:val="center"/>
              <w:rPr>
                <w:rFonts w:ascii="Arial" w:hAnsi="Arial" w:cs="Arial"/>
                <w:b/>
                <w:sz w:val="18"/>
                <w:szCs w:val="16"/>
              </w:rPr>
            </w:pPr>
            <w:r w:rsidRPr="00726543">
              <w:rPr>
                <w:rFonts w:ascii="Arial" w:hAnsi="Arial" w:cs="Arial"/>
                <w:b/>
                <w:sz w:val="18"/>
                <w:szCs w:val="16"/>
              </w:rPr>
              <w:t>Excess</w:t>
            </w:r>
          </w:p>
          <w:p w14:paraId="4077F3F9" w14:textId="77777777" w:rsidR="007D7EEA" w:rsidRPr="00726543" w:rsidRDefault="00DD2A4D">
            <w:pPr>
              <w:pStyle w:val="NoSpacing"/>
              <w:ind w:left="-58" w:right="-58"/>
              <w:jc w:val="center"/>
              <w:rPr>
                <w:rFonts w:ascii="Arial" w:hAnsi="Arial" w:cs="Arial"/>
                <w:b/>
                <w:sz w:val="18"/>
                <w:szCs w:val="16"/>
              </w:rPr>
            </w:pPr>
            <w:r w:rsidRPr="00726543">
              <w:rPr>
                <w:rFonts w:ascii="Arial" w:hAnsi="Arial" w:cs="Arial"/>
                <w:b/>
                <w:sz w:val="18"/>
                <w:szCs w:val="16"/>
              </w:rPr>
              <w:t>(f=d-e)</w:t>
            </w:r>
          </w:p>
        </w:tc>
      </w:tr>
      <w:tr w:rsidR="007D7EEA" w:rsidRPr="0077138C" w14:paraId="14738970" w14:textId="77777777" w:rsidTr="0096065B">
        <w:trPr>
          <w:trHeight w:val="58"/>
          <w:tblHeader/>
        </w:trPr>
        <w:tc>
          <w:tcPr>
            <w:tcW w:w="906" w:type="dxa"/>
            <w:vMerge/>
            <w:tcBorders>
              <w:left w:val="nil"/>
              <w:bottom w:val="single" w:sz="4" w:space="0" w:color="auto"/>
              <w:right w:val="nil"/>
            </w:tcBorders>
            <w:vAlign w:val="center"/>
          </w:tcPr>
          <w:p w14:paraId="6761AAF2" w14:textId="77777777" w:rsidR="007D7EEA" w:rsidRPr="00726543" w:rsidRDefault="007D7EEA">
            <w:pPr>
              <w:pStyle w:val="NoSpacing"/>
              <w:jc w:val="center"/>
              <w:rPr>
                <w:rFonts w:ascii="Arial" w:hAnsi="Arial" w:cs="Arial"/>
                <w:b/>
                <w:sz w:val="18"/>
                <w:szCs w:val="16"/>
              </w:rPr>
            </w:pPr>
          </w:p>
        </w:tc>
        <w:tc>
          <w:tcPr>
            <w:tcW w:w="1518" w:type="dxa"/>
            <w:vMerge/>
            <w:tcBorders>
              <w:left w:val="nil"/>
              <w:bottom w:val="single" w:sz="4" w:space="0" w:color="auto"/>
              <w:right w:val="nil"/>
            </w:tcBorders>
            <w:vAlign w:val="center"/>
          </w:tcPr>
          <w:p w14:paraId="28E7E6DF" w14:textId="77777777" w:rsidR="007D7EEA" w:rsidRPr="00726543" w:rsidRDefault="007D7EEA">
            <w:pPr>
              <w:pStyle w:val="NoSpacing"/>
              <w:jc w:val="center"/>
              <w:rPr>
                <w:rFonts w:ascii="Arial" w:hAnsi="Arial" w:cs="Arial"/>
                <w:b/>
                <w:sz w:val="18"/>
                <w:szCs w:val="16"/>
              </w:rPr>
            </w:pPr>
          </w:p>
        </w:tc>
        <w:tc>
          <w:tcPr>
            <w:tcW w:w="999" w:type="dxa"/>
            <w:gridSpan w:val="2"/>
            <w:tcBorders>
              <w:top w:val="single" w:sz="4" w:space="0" w:color="auto"/>
              <w:left w:val="nil"/>
              <w:bottom w:val="single" w:sz="4" w:space="0" w:color="auto"/>
              <w:right w:val="nil"/>
            </w:tcBorders>
            <w:vAlign w:val="center"/>
          </w:tcPr>
          <w:p w14:paraId="6390D47F" w14:textId="77777777" w:rsidR="007D7EEA" w:rsidRPr="00726543" w:rsidRDefault="00DD2A4D">
            <w:pPr>
              <w:pStyle w:val="NoSpacing"/>
              <w:ind w:left="-144" w:right="-144"/>
              <w:jc w:val="center"/>
              <w:rPr>
                <w:rFonts w:ascii="Arial" w:hAnsi="Arial" w:cs="Arial"/>
                <w:b/>
                <w:sz w:val="18"/>
                <w:szCs w:val="16"/>
              </w:rPr>
            </w:pPr>
            <w:proofErr w:type="spellStart"/>
            <w:r w:rsidRPr="00726543">
              <w:rPr>
                <w:rFonts w:ascii="Arial" w:hAnsi="Arial" w:cs="Arial"/>
                <w:b/>
                <w:sz w:val="18"/>
                <w:szCs w:val="16"/>
              </w:rPr>
              <w:t>Accommo</w:t>
            </w:r>
            <w:proofErr w:type="spellEnd"/>
            <w:r w:rsidR="00726543">
              <w:rPr>
                <w:rFonts w:ascii="Arial" w:hAnsi="Arial" w:cs="Arial"/>
                <w:b/>
                <w:sz w:val="18"/>
                <w:szCs w:val="16"/>
              </w:rPr>
              <w:t>-</w:t>
            </w:r>
            <w:r w:rsidRPr="00726543">
              <w:rPr>
                <w:rFonts w:ascii="Arial" w:hAnsi="Arial" w:cs="Arial"/>
                <w:b/>
                <w:sz w:val="18"/>
                <w:szCs w:val="16"/>
              </w:rPr>
              <w:t xml:space="preserve">dation </w:t>
            </w:r>
          </w:p>
          <w:p w14:paraId="46350406"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(a)</w:t>
            </w:r>
          </w:p>
        </w:tc>
        <w:tc>
          <w:tcPr>
            <w:tcW w:w="810" w:type="dxa"/>
            <w:tcBorders>
              <w:top w:val="single" w:sz="4" w:space="0" w:color="auto"/>
              <w:left w:val="nil"/>
              <w:bottom w:val="single" w:sz="4" w:space="0" w:color="auto"/>
              <w:right w:val="nil"/>
            </w:tcBorders>
            <w:vAlign w:val="center"/>
          </w:tcPr>
          <w:p w14:paraId="7AE825A1"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 xml:space="preserve">Meals </w:t>
            </w:r>
          </w:p>
          <w:p w14:paraId="36F88E52"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(b)</w:t>
            </w:r>
          </w:p>
        </w:tc>
        <w:tc>
          <w:tcPr>
            <w:tcW w:w="891" w:type="dxa"/>
            <w:tcBorders>
              <w:top w:val="single" w:sz="4" w:space="0" w:color="auto"/>
              <w:left w:val="nil"/>
              <w:bottom w:val="single" w:sz="4" w:space="0" w:color="auto"/>
              <w:right w:val="nil"/>
            </w:tcBorders>
            <w:vAlign w:val="center"/>
          </w:tcPr>
          <w:p w14:paraId="7878AAF0"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 xml:space="preserve">Incidental </w:t>
            </w:r>
          </w:p>
          <w:p w14:paraId="4842C082"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 xml:space="preserve">(c) </w:t>
            </w:r>
          </w:p>
        </w:tc>
        <w:tc>
          <w:tcPr>
            <w:tcW w:w="1215" w:type="dxa"/>
            <w:tcBorders>
              <w:top w:val="single" w:sz="4" w:space="0" w:color="auto"/>
              <w:left w:val="nil"/>
              <w:bottom w:val="single" w:sz="4" w:space="0" w:color="auto"/>
              <w:right w:val="nil"/>
            </w:tcBorders>
            <w:vAlign w:val="center"/>
          </w:tcPr>
          <w:p w14:paraId="43E016DD"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 xml:space="preserve">Total amount claimed </w:t>
            </w:r>
          </w:p>
          <w:p w14:paraId="06D9FBBF" w14:textId="77777777" w:rsidR="007D7EEA" w:rsidRPr="00726543" w:rsidRDefault="00DD2A4D">
            <w:pPr>
              <w:pStyle w:val="NoSpacing"/>
              <w:ind w:left="-144" w:right="-144"/>
              <w:jc w:val="center"/>
              <w:rPr>
                <w:rFonts w:ascii="Arial" w:hAnsi="Arial" w:cs="Arial"/>
                <w:b/>
                <w:sz w:val="18"/>
                <w:szCs w:val="16"/>
              </w:rPr>
            </w:pPr>
            <w:r w:rsidRPr="00726543">
              <w:rPr>
                <w:rFonts w:ascii="Arial" w:hAnsi="Arial" w:cs="Arial"/>
                <w:b/>
                <w:sz w:val="18"/>
                <w:szCs w:val="16"/>
              </w:rPr>
              <w:t>(d=</w:t>
            </w:r>
            <w:proofErr w:type="spellStart"/>
            <w:r w:rsidRPr="00726543">
              <w:rPr>
                <w:rFonts w:ascii="Arial" w:hAnsi="Arial" w:cs="Arial"/>
                <w:b/>
                <w:sz w:val="18"/>
                <w:szCs w:val="16"/>
              </w:rPr>
              <w:t>a+b+c</w:t>
            </w:r>
            <w:proofErr w:type="spellEnd"/>
            <w:r w:rsidRPr="00726543">
              <w:rPr>
                <w:rFonts w:ascii="Arial" w:hAnsi="Arial" w:cs="Arial"/>
                <w:b/>
                <w:sz w:val="18"/>
                <w:szCs w:val="16"/>
              </w:rPr>
              <w:t>)</w:t>
            </w:r>
          </w:p>
        </w:tc>
        <w:tc>
          <w:tcPr>
            <w:tcW w:w="1269" w:type="dxa"/>
            <w:vMerge/>
            <w:tcBorders>
              <w:left w:val="nil"/>
              <w:bottom w:val="single" w:sz="4" w:space="0" w:color="auto"/>
              <w:right w:val="nil"/>
            </w:tcBorders>
            <w:vAlign w:val="center"/>
          </w:tcPr>
          <w:p w14:paraId="739B9198" w14:textId="77777777" w:rsidR="007D7EEA" w:rsidRPr="00726543" w:rsidRDefault="007D7EEA">
            <w:pPr>
              <w:pStyle w:val="NoSpacing"/>
              <w:jc w:val="center"/>
              <w:rPr>
                <w:rFonts w:ascii="Arial" w:hAnsi="Arial" w:cs="Arial"/>
                <w:b/>
                <w:sz w:val="18"/>
                <w:szCs w:val="16"/>
              </w:rPr>
            </w:pPr>
          </w:p>
        </w:tc>
        <w:tc>
          <w:tcPr>
            <w:tcW w:w="746" w:type="dxa"/>
            <w:vMerge/>
            <w:tcBorders>
              <w:left w:val="nil"/>
              <w:bottom w:val="single" w:sz="4" w:space="0" w:color="auto"/>
              <w:right w:val="nil"/>
            </w:tcBorders>
            <w:vAlign w:val="center"/>
          </w:tcPr>
          <w:p w14:paraId="322D71CD" w14:textId="77777777" w:rsidR="007D7EEA" w:rsidRPr="00726543" w:rsidRDefault="007D7EEA">
            <w:pPr>
              <w:pStyle w:val="NoSpacing"/>
              <w:jc w:val="center"/>
              <w:rPr>
                <w:rFonts w:ascii="Arial" w:hAnsi="Arial" w:cs="Arial"/>
                <w:b/>
                <w:sz w:val="18"/>
                <w:szCs w:val="16"/>
              </w:rPr>
            </w:pPr>
          </w:p>
        </w:tc>
      </w:tr>
      <w:tr w:rsidR="007D7EEA" w:rsidRPr="0077138C" w14:paraId="0EE563EC" w14:textId="77777777" w:rsidTr="00726543">
        <w:trPr>
          <w:trHeight w:val="207"/>
        </w:trPr>
        <w:tc>
          <w:tcPr>
            <w:tcW w:w="906" w:type="dxa"/>
            <w:tcBorders>
              <w:top w:val="single" w:sz="4" w:space="0" w:color="auto"/>
              <w:left w:val="nil"/>
              <w:bottom w:val="nil"/>
              <w:right w:val="nil"/>
            </w:tcBorders>
          </w:tcPr>
          <w:p w14:paraId="2F6C3780" w14:textId="77777777" w:rsidR="007D7EEA" w:rsidRPr="00726543" w:rsidRDefault="00DD2A4D" w:rsidP="00AA3078">
            <w:pPr>
              <w:pStyle w:val="NoSpacing"/>
              <w:ind w:left="-58" w:right="-192"/>
              <w:rPr>
                <w:rFonts w:ascii="Arial" w:hAnsi="Arial" w:cs="Arial"/>
                <w:sz w:val="18"/>
                <w:szCs w:val="16"/>
              </w:rPr>
            </w:pPr>
            <w:r w:rsidRPr="00726543">
              <w:rPr>
                <w:rFonts w:ascii="Arial" w:hAnsi="Arial" w:cs="Arial"/>
                <w:sz w:val="18"/>
                <w:szCs w:val="16"/>
              </w:rPr>
              <w:t>NI 257791</w:t>
            </w:r>
          </w:p>
        </w:tc>
        <w:tc>
          <w:tcPr>
            <w:tcW w:w="1518" w:type="dxa"/>
            <w:tcBorders>
              <w:top w:val="single" w:sz="4" w:space="0" w:color="auto"/>
              <w:left w:val="nil"/>
              <w:bottom w:val="nil"/>
              <w:right w:val="nil"/>
            </w:tcBorders>
          </w:tcPr>
          <w:p w14:paraId="6599EA9C" w14:textId="77777777" w:rsidR="007D7EEA" w:rsidRPr="00726543" w:rsidRDefault="00DD2A4D">
            <w:pPr>
              <w:pStyle w:val="NoSpacing"/>
              <w:jc w:val="both"/>
              <w:rPr>
                <w:rFonts w:ascii="Arial" w:hAnsi="Arial" w:cs="Arial"/>
                <w:sz w:val="18"/>
                <w:szCs w:val="16"/>
              </w:rPr>
            </w:pPr>
            <w:r w:rsidRPr="00726543">
              <w:rPr>
                <w:rFonts w:ascii="Arial" w:hAnsi="Arial" w:cs="Arial"/>
                <w:sz w:val="18"/>
                <w:szCs w:val="16"/>
              </w:rPr>
              <w:t>General Santos City, Region XII</w:t>
            </w:r>
          </w:p>
        </w:tc>
        <w:tc>
          <w:tcPr>
            <w:tcW w:w="999" w:type="dxa"/>
            <w:gridSpan w:val="2"/>
            <w:tcBorders>
              <w:top w:val="single" w:sz="4" w:space="0" w:color="auto"/>
              <w:left w:val="nil"/>
              <w:bottom w:val="nil"/>
              <w:right w:val="nil"/>
            </w:tcBorders>
          </w:tcPr>
          <w:p w14:paraId="5CCA5CF4" w14:textId="77777777" w:rsidR="007D7EEA" w:rsidRPr="00726543" w:rsidRDefault="00DD2A4D">
            <w:pPr>
              <w:pStyle w:val="NoSpacing"/>
              <w:ind w:left="-144"/>
              <w:jc w:val="right"/>
              <w:rPr>
                <w:rFonts w:ascii="Arial" w:hAnsi="Arial" w:cs="Arial"/>
                <w:sz w:val="18"/>
                <w:szCs w:val="16"/>
              </w:rPr>
            </w:pPr>
            <w:r w:rsidRPr="00726543">
              <w:rPr>
                <w:rFonts w:ascii="Arial" w:hAnsi="Arial" w:cs="Arial"/>
                <w:sz w:val="18"/>
                <w:szCs w:val="16"/>
              </w:rPr>
              <w:t>P 17,240</w:t>
            </w:r>
          </w:p>
        </w:tc>
        <w:tc>
          <w:tcPr>
            <w:tcW w:w="810" w:type="dxa"/>
            <w:tcBorders>
              <w:top w:val="single" w:sz="4" w:space="0" w:color="auto"/>
              <w:left w:val="nil"/>
              <w:bottom w:val="nil"/>
              <w:right w:val="nil"/>
            </w:tcBorders>
            <w:shd w:val="clear" w:color="auto" w:fill="auto"/>
          </w:tcPr>
          <w:p w14:paraId="5A5CE743" w14:textId="77777777" w:rsidR="007D7EEA" w:rsidRPr="00726543" w:rsidRDefault="00DD2A4D">
            <w:pPr>
              <w:pStyle w:val="NoSpacing"/>
              <w:ind w:left="-144"/>
              <w:jc w:val="right"/>
              <w:rPr>
                <w:rFonts w:ascii="Arial" w:hAnsi="Arial" w:cs="Arial"/>
                <w:sz w:val="18"/>
                <w:szCs w:val="16"/>
              </w:rPr>
            </w:pPr>
            <w:r w:rsidRPr="00726543">
              <w:rPr>
                <w:rFonts w:ascii="Arial" w:hAnsi="Arial" w:cs="Arial"/>
                <w:sz w:val="18"/>
                <w:szCs w:val="16"/>
              </w:rPr>
              <w:t>P 15,791</w:t>
            </w:r>
          </w:p>
        </w:tc>
        <w:tc>
          <w:tcPr>
            <w:tcW w:w="891" w:type="dxa"/>
            <w:tcBorders>
              <w:top w:val="single" w:sz="4" w:space="0" w:color="auto"/>
              <w:left w:val="nil"/>
              <w:bottom w:val="nil"/>
              <w:right w:val="nil"/>
            </w:tcBorders>
            <w:shd w:val="clear" w:color="auto" w:fill="auto"/>
          </w:tcPr>
          <w:p w14:paraId="3920E163" w14:textId="77777777" w:rsidR="007D7EEA" w:rsidRPr="00726543" w:rsidRDefault="00DD2A4D">
            <w:pPr>
              <w:pStyle w:val="NoSpacing"/>
              <w:ind w:left="-144"/>
              <w:jc w:val="right"/>
              <w:rPr>
                <w:rFonts w:ascii="Arial" w:hAnsi="Arial" w:cs="Arial"/>
                <w:sz w:val="18"/>
                <w:szCs w:val="16"/>
              </w:rPr>
            </w:pPr>
            <w:r w:rsidRPr="00726543">
              <w:rPr>
                <w:rFonts w:ascii="Arial" w:hAnsi="Arial" w:cs="Arial"/>
                <w:sz w:val="18"/>
                <w:szCs w:val="16"/>
              </w:rPr>
              <w:t xml:space="preserve">P </w:t>
            </w:r>
            <w:r w:rsidR="00C043FB" w:rsidRPr="00726543">
              <w:rPr>
                <w:rFonts w:ascii="Arial" w:hAnsi="Arial" w:cs="Arial"/>
                <w:sz w:val="18"/>
                <w:szCs w:val="16"/>
              </w:rPr>
              <w:t>12</w:t>
            </w:r>
            <w:r w:rsidRPr="00726543">
              <w:rPr>
                <w:rFonts w:ascii="Arial" w:hAnsi="Arial" w:cs="Arial"/>
                <w:sz w:val="18"/>
                <w:szCs w:val="16"/>
              </w:rPr>
              <w:t>,</w:t>
            </w:r>
            <w:r w:rsidR="00C043FB" w:rsidRPr="00726543">
              <w:rPr>
                <w:rFonts w:ascii="Arial" w:hAnsi="Arial" w:cs="Arial"/>
                <w:sz w:val="18"/>
                <w:szCs w:val="16"/>
              </w:rPr>
              <w:t>933</w:t>
            </w:r>
          </w:p>
        </w:tc>
        <w:tc>
          <w:tcPr>
            <w:tcW w:w="1215" w:type="dxa"/>
            <w:tcBorders>
              <w:top w:val="single" w:sz="4" w:space="0" w:color="auto"/>
              <w:left w:val="nil"/>
              <w:bottom w:val="nil"/>
              <w:right w:val="nil"/>
            </w:tcBorders>
            <w:shd w:val="clear" w:color="auto" w:fill="auto"/>
          </w:tcPr>
          <w:p w14:paraId="3D7369F5" w14:textId="77777777" w:rsidR="007D7EEA" w:rsidRPr="00726543" w:rsidRDefault="00DD2A4D">
            <w:pPr>
              <w:pStyle w:val="NoSpacing"/>
              <w:ind w:left="-144"/>
              <w:jc w:val="right"/>
              <w:rPr>
                <w:rFonts w:ascii="Arial" w:hAnsi="Arial" w:cs="Arial"/>
                <w:sz w:val="18"/>
                <w:szCs w:val="16"/>
              </w:rPr>
            </w:pPr>
            <w:r w:rsidRPr="00726543">
              <w:rPr>
                <w:rFonts w:ascii="Arial" w:hAnsi="Arial" w:cs="Arial"/>
                <w:sz w:val="18"/>
                <w:szCs w:val="16"/>
              </w:rPr>
              <w:t xml:space="preserve">P   </w:t>
            </w:r>
            <w:r w:rsidR="00C043FB" w:rsidRPr="00726543">
              <w:rPr>
                <w:rFonts w:ascii="Arial" w:hAnsi="Arial" w:cs="Arial"/>
                <w:sz w:val="18"/>
                <w:szCs w:val="16"/>
              </w:rPr>
              <w:t>45</w:t>
            </w:r>
            <w:r w:rsidRPr="00726543">
              <w:rPr>
                <w:rFonts w:ascii="Arial" w:hAnsi="Arial" w:cs="Arial"/>
                <w:sz w:val="18"/>
                <w:szCs w:val="16"/>
              </w:rPr>
              <w:t>,</w:t>
            </w:r>
            <w:r w:rsidR="00C043FB" w:rsidRPr="00726543">
              <w:rPr>
                <w:rFonts w:ascii="Arial" w:hAnsi="Arial" w:cs="Arial"/>
                <w:sz w:val="18"/>
                <w:szCs w:val="16"/>
              </w:rPr>
              <w:t>964</w:t>
            </w:r>
          </w:p>
        </w:tc>
        <w:tc>
          <w:tcPr>
            <w:tcW w:w="1269" w:type="dxa"/>
            <w:tcBorders>
              <w:top w:val="single" w:sz="4" w:space="0" w:color="auto"/>
              <w:left w:val="nil"/>
              <w:bottom w:val="nil"/>
              <w:right w:val="nil"/>
            </w:tcBorders>
            <w:shd w:val="clear" w:color="auto" w:fill="auto"/>
          </w:tcPr>
          <w:p w14:paraId="0FB4B16D" w14:textId="77777777" w:rsidR="007D7EEA" w:rsidRPr="00726543" w:rsidRDefault="00DD2A4D">
            <w:pPr>
              <w:pStyle w:val="NoSpacing"/>
              <w:ind w:left="-144"/>
              <w:jc w:val="right"/>
              <w:rPr>
                <w:rFonts w:ascii="Arial" w:hAnsi="Arial" w:cs="Arial"/>
                <w:sz w:val="18"/>
                <w:szCs w:val="16"/>
              </w:rPr>
            </w:pPr>
            <w:r w:rsidRPr="00726543">
              <w:rPr>
                <w:rFonts w:ascii="Arial" w:hAnsi="Arial" w:cs="Arial"/>
                <w:sz w:val="18"/>
                <w:szCs w:val="16"/>
              </w:rPr>
              <w:t>P 18,750</w:t>
            </w:r>
          </w:p>
        </w:tc>
        <w:tc>
          <w:tcPr>
            <w:tcW w:w="746" w:type="dxa"/>
            <w:tcBorders>
              <w:top w:val="single" w:sz="4" w:space="0" w:color="auto"/>
              <w:left w:val="nil"/>
              <w:bottom w:val="nil"/>
              <w:right w:val="nil"/>
            </w:tcBorders>
            <w:shd w:val="clear" w:color="auto" w:fill="auto"/>
          </w:tcPr>
          <w:p w14:paraId="220758C6" w14:textId="77777777" w:rsidR="007D7EEA" w:rsidRPr="00726543" w:rsidRDefault="00DD2A4D">
            <w:pPr>
              <w:pStyle w:val="NoSpacing"/>
              <w:ind w:left="-144" w:right="-72"/>
              <w:jc w:val="right"/>
              <w:rPr>
                <w:rFonts w:ascii="Arial" w:hAnsi="Arial" w:cs="Arial"/>
                <w:sz w:val="18"/>
                <w:szCs w:val="16"/>
              </w:rPr>
            </w:pPr>
            <w:r w:rsidRPr="00726543">
              <w:rPr>
                <w:rFonts w:ascii="Arial" w:hAnsi="Arial" w:cs="Arial"/>
                <w:sz w:val="18"/>
                <w:szCs w:val="16"/>
              </w:rPr>
              <w:t xml:space="preserve">P </w:t>
            </w:r>
            <w:r w:rsidR="00C043FB" w:rsidRPr="00726543">
              <w:rPr>
                <w:rFonts w:ascii="Arial" w:hAnsi="Arial" w:cs="Arial"/>
                <w:sz w:val="18"/>
                <w:szCs w:val="16"/>
              </w:rPr>
              <w:t>27</w:t>
            </w:r>
            <w:r w:rsidRPr="00726543">
              <w:rPr>
                <w:rFonts w:ascii="Arial" w:hAnsi="Arial" w:cs="Arial"/>
                <w:sz w:val="18"/>
                <w:szCs w:val="16"/>
              </w:rPr>
              <w:t>,</w:t>
            </w:r>
            <w:r w:rsidR="00C043FB" w:rsidRPr="00726543">
              <w:rPr>
                <w:rFonts w:ascii="Arial" w:hAnsi="Arial" w:cs="Arial"/>
                <w:sz w:val="18"/>
                <w:szCs w:val="16"/>
              </w:rPr>
              <w:t>214</w:t>
            </w:r>
          </w:p>
        </w:tc>
      </w:tr>
      <w:tr w:rsidR="007D7EEA" w:rsidRPr="0077138C" w14:paraId="7BDA25D9" w14:textId="77777777" w:rsidTr="00726543">
        <w:trPr>
          <w:trHeight w:val="207"/>
        </w:trPr>
        <w:tc>
          <w:tcPr>
            <w:tcW w:w="906" w:type="dxa"/>
            <w:tcBorders>
              <w:top w:val="nil"/>
              <w:left w:val="nil"/>
              <w:bottom w:val="nil"/>
              <w:right w:val="nil"/>
            </w:tcBorders>
          </w:tcPr>
          <w:p w14:paraId="11370CDC" w14:textId="77777777" w:rsidR="007D7EEA" w:rsidRPr="00726543" w:rsidRDefault="00DD2A4D" w:rsidP="00AA3078">
            <w:pPr>
              <w:pStyle w:val="NoSpacing"/>
              <w:ind w:left="-58" w:right="-192"/>
              <w:rPr>
                <w:rFonts w:ascii="Arial" w:hAnsi="Arial" w:cs="Arial"/>
                <w:sz w:val="18"/>
                <w:szCs w:val="16"/>
              </w:rPr>
            </w:pPr>
            <w:r w:rsidRPr="00726543">
              <w:rPr>
                <w:rFonts w:ascii="Arial" w:hAnsi="Arial" w:cs="Arial"/>
                <w:sz w:val="18"/>
                <w:szCs w:val="16"/>
              </w:rPr>
              <w:t>NI 260646</w:t>
            </w:r>
          </w:p>
        </w:tc>
        <w:tc>
          <w:tcPr>
            <w:tcW w:w="1518" w:type="dxa"/>
            <w:tcBorders>
              <w:top w:val="nil"/>
              <w:left w:val="nil"/>
              <w:bottom w:val="nil"/>
              <w:right w:val="nil"/>
            </w:tcBorders>
          </w:tcPr>
          <w:p w14:paraId="07F50946" w14:textId="77777777" w:rsidR="007D7EEA" w:rsidRPr="00726543" w:rsidRDefault="00DD2A4D">
            <w:pPr>
              <w:pStyle w:val="NoSpacing"/>
              <w:jc w:val="both"/>
              <w:rPr>
                <w:rFonts w:ascii="Arial" w:hAnsi="Arial" w:cs="Arial"/>
                <w:sz w:val="18"/>
                <w:szCs w:val="16"/>
              </w:rPr>
            </w:pPr>
            <w:r w:rsidRPr="00726543">
              <w:rPr>
                <w:rFonts w:ascii="Arial" w:hAnsi="Arial" w:cs="Arial"/>
                <w:sz w:val="18"/>
                <w:szCs w:val="16"/>
              </w:rPr>
              <w:t>Iloilo City, Region VI</w:t>
            </w:r>
          </w:p>
        </w:tc>
        <w:tc>
          <w:tcPr>
            <w:tcW w:w="999" w:type="dxa"/>
            <w:gridSpan w:val="2"/>
            <w:tcBorders>
              <w:top w:val="nil"/>
              <w:left w:val="nil"/>
              <w:bottom w:val="nil"/>
              <w:right w:val="nil"/>
            </w:tcBorders>
          </w:tcPr>
          <w:p w14:paraId="5E71827E"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11,120</w:t>
            </w:r>
          </w:p>
        </w:tc>
        <w:tc>
          <w:tcPr>
            <w:tcW w:w="810" w:type="dxa"/>
            <w:tcBorders>
              <w:top w:val="nil"/>
              <w:left w:val="nil"/>
              <w:bottom w:val="nil"/>
              <w:right w:val="nil"/>
            </w:tcBorders>
          </w:tcPr>
          <w:p w14:paraId="43A8013A"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2,250</w:t>
            </w:r>
          </w:p>
        </w:tc>
        <w:tc>
          <w:tcPr>
            <w:tcW w:w="891" w:type="dxa"/>
            <w:tcBorders>
              <w:top w:val="nil"/>
              <w:left w:val="nil"/>
              <w:bottom w:val="nil"/>
              <w:right w:val="nil"/>
            </w:tcBorders>
            <w:shd w:val="clear" w:color="auto" w:fill="FFFFFF" w:themeFill="background1"/>
          </w:tcPr>
          <w:p w14:paraId="1F43E5AA"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5,700</w:t>
            </w:r>
          </w:p>
        </w:tc>
        <w:tc>
          <w:tcPr>
            <w:tcW w:w="1215" w:type="dxa"/>
            <w:tcBorders>
              <w:top w:val="nil"/>
              <w:left w:val="nil"/>
              <w:bottom w:val="nil"/>
              <w:right w:val="nil"/>
            </w:tcBorders>
            <w:shd w:val="clear" w:color="auto" w:fill="FFFFFF" w:themeFill="background1"/>
          </w:tcPr>
          <w:p w14:paraId="0ACE6B33"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19,070</w:t>
            </w:r>
          </w:p>
        </w:tc>
        <w:tc>
          <w:tcPr>
            <w:tcW w:w="1269" w:type="dxa"/>
            <w:tcBorders>
              <w:top w:val="nil"/>
              <w:left w:val="nil"/>
              <w:bottom w:val="nil"/>
              <w:right w:val="nil"/>
            </w:tcBorders>
          </w:tcPr>
          <w:p w14:paraId="2BF33F19"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13,500</w:t>
            </w:r>
          </w:p>
        </w:tc>
        <w:tc>
          <w:tcPr>
            <w:tcW w:w="746" w:type="dxa"/>
            <w:tcBorders>
              <w:top w:val="nil"/>
              <w:left w:val="nil"/>
              <w:bottom w:val="nil"/>
              <w:right w:val="nil"/>
            </w:tcBorders>
          </w:tcPr>
          <w:p w14:paraId="2DC86512" w14:textId="77777777" w:rsidR="007D7EEA" w:rsidRPr="00726543" w:rsidRDefault="00DD2A4D">
            <w:pPr>
              <w:pStyle w:val="NoSpacing"/>
              <w:ind w:right="-72"/>
              <w:jc w:val="right"/>
              <w:rPr>
                <w:rFonts w:ascii="Arial" w:hAnsi="Arial" w:cs="Arial"/>
                <w:sz w:val="18"/>
                <w:szCs w:val="16"/>
              </w:rPr>
            </w:pPr>
            <w:r w:rsidRPr="00726543">
              <w:rPr>
                <w:rFonts w:ascii="Arial" w:hAnsi="Arial" w:cs="Arial"/>
                <w:sz w:val="18"/>
                <w:szCs w:val="16"/>
              </w:rPr>
              <w:t>5,570</w:t>
            </w:r>
          </w:p>
        </w:tc>
      </w:tr>
      <w:tr w:rsidR="007D7EEA" w:rsidRPr="0077138C" w14:paraId="0086D7EB" w14:textId="77777777" w:rsidTr="00726543">
        <w:trPr>
          <w:trHeight w:val="207"/>
        </w:trPr>
        <w:tc>
          <w:tcPr>
            <w:tcW w:w="906" w:type="dxa"/>
            <w:tcBorders>
              <w:top w:val="nil"/>
              <w:left w:val="nil"/>
              <w:bottom w:val="nil"/>
              <w:right w:val="nil"/>
            </w:tcBorders>
          </w:tcPr>
          <w:p w14:paraId="7AEAEC84" w14:textId="77777777" w:rsidR="007D7EEA" w:rsidRPr="00726543" w:rsidRDefault="00DD2A4D" w:rsidP="00AA3078">
            <w:pPr>
              <w:pStyle w:val="NoSpacing"/>
              <w:ind w:left="-58" w:right="-192"/>
              <w:rPr>
                <w:rFonts w:ascii="Arial" w:hAnsi="Arial" w:cs="Arial"/>
                <w:sz w:val="18"/>
                <w:szCs w:val="16"/>
              </w:rPr>
            </w:pPr>
            <w:r w:rsidRPr="00726543">
              <w:rPr>
                <w:rFonts w:ascii="Arial" w:hAnsi="Arial" w:cs="Arial"/>
                <w:sz w:val="18"/>
                <w:szCs w:val="16"/>
              </w:rPr>
              <w:t>NI 245721</w:t>
            </w:r>
          </w:p>
        </w:tc>
        <w:tc>
          <w:tcPr>
            <w:tcW w:w="1518" w:type="dxa"/>
            <w:tcBorders>
              <w:top w:val="nil"/>
              <w:left w:val="nil"/>
              <w:bottom w:val="nil"/>
              <w:right w:val="nil"/>
            </w:tcBorders>
          </w:tcPr>
          <w:p w14:paraId="2180795E" w14:textId="77777777" w:rsidR="007D7EEA" w:rsidRPr="00726543" w:rsidRDefault="00DD2A4D">
            <w:pPr>
              <w:pStyle w:val="NoSpacing"/>
              <w:jc w:val="both"/>
              <w:rPr>
                <w:rFonts w:ascii="Arial" w:hAnsi="Arial" w:cs="Arial"/>
                <w:sz w:val="18"/>
                <w:szCs w:val="16"/>
              </w:rPr>
            </w:pPr>
            <w:r w:rsidRPr="00726543">
              <w:rPr>
                <w:rFonts w:ascii="Arial" w:hAnsi="Arial" w:cs="Arial"/>
                <w:sz w:val="18"/>
                <w:szCs w:val="16"/>
              </w:rPr>
              <w:t>General Santos City, Region XII</w:t>
            </w:r>
          </w:p>
        </w:tc>
        <w:tc>
          <w:tcPr>
            <w:tcW w:w="999" w:type="dxa"/>
            <w:gridSpan w:val="2"/>
            <w:tcBorders>
              <w:top w:val="nil"/>
              <w:left w:val="nil"/>
              <w:bottom w:val="nil"/>
              <w:right w:val="nil"/>
            </w:tcBorders>
          </w:tcPr>
          <w:p w14:paraId="58BCD6E6"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 xml:space="preserve"> 7,377</w:t>
            </w:r>
          </w:p>
        </w:tc>
        <w:tc>
          <w:tcPr>
            <w:tcW w:w="810" w:type="dxa"/>
            <w:tcBorders>
              <w:top w:val="nil"/>
              <w:left w:val="nil"/>
              <w:bottom w:val="nil"/>
              <w:right w:val="nil"/>
            </w:tcBorders>
          </w:tcPr>
          <w:p w14:paraId="5F8D27E5"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2,530</w:t>
            </w:r>
          </w:p>
        </w:tc>
        <w:tc>
          <w:tcPr>
            <w:tcW w:w="891" w:type="dxa"/>
            <w:tcBorders>
              <w:top w:val="nil"/>
              <w:left w:val="nil"/>
              <w:bottom w:val="nil"/>
              <w:right w:val="nil"/>
            </w:tcBorders>
          </w:tcPr>
          <w:p w14:paraId="45405D13"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12,699</w:t>
            </w:r>
          </w:p>
        </w:tc>
        <w:tc>
          <w:tcPr>
            <w:tcW w:w="1215" w:type="dxa"/>
            <w:tcBorders>
              <w:top w:val="nil"/>
              <w:left w:val="nil"/>
              <w:bottom w:val="nil"/>
              <w:right w:val="nil"/>
            </w:tcBorders>
          </w:tcPr>
          <w:p w14:paraId="513F766C"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22,606</w:t>
            </w:r>
          </w:p>
        </w:tc>
        <w:tc>
          <w:tcPr>
            <w:tcW w:w="1269" w:type="dxa"/>
            <w:tcBorders>
              <w:top w:val="nil"/>
              <w:left w:val="nil"/>
              <w:bottom w:val="nil"/>
              <w:right w:val="nil"/>
            </w:tcBorders>
          </w:tcPr>
          <w:p w14:paraId="0AAEE2E2"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9,000</w:t>
            </w:r>
          </w:p>
        </w:tc>
        <w:tc>
          <w:tcPr>
            <w:tcW w:w="746" w:type="dxa"/>
            <w:tcBorders>
              <w:top w:val="nil"/>
              <w:left w:val="nil"/>
              <w:bottom w:val="nil"/>
              <w:right w:val="nil"/>
            </w:tcBorders>
          </w:tcPr>
          <w:p w14:paraId="72429CD0" w14:textId="77777777" w:rsidR="007D7EEA" w:rsidRPr="00726543" w:rsidRDefault="00DD2A4D">
            <w:pPr>
              <w:pStyle w:val="NoSpacing"/>
              <w:ind w:right="-72"/>
              <w:jc w:val="right"/>
              <w:rPr>
                <w:rFonts w:ascii="Arial" w:hAnsi="Arial" w:cs="Arial"/>
                <w:sz w:val="18"/>
                <w:szCs w:val="16"/>
              </w:rPr>
            </w:pPr>
            <w:r w:rsidRPr="00726543">
              <w:rPr>
                <w:rFonts w:ascii="Arial" w:hAnsi="Arial" w:cs="Arial"/>
                <w:sz w:val="18"/>
                <w:szCs w:val="16"/>
              </w:rPr>
              <w:t>13,606</w:t>
            </w:r>
          </w:p>
        </w:tc>
      </w:tr>
      <w:tr w:rsidR="007D7EEA" w:rsidRPr="0077138C" w14:paraId="2BF965C3" w14:textId="77777777" w:rsidTr="00726543">
        <w:trPr>
          <w:trHeight w:val="207"/>
        </w:trPr>
        <w:tc>
          <w:tcPr>
            <w:tcW w:w="906" w:type="dxa"/>
            <w:tcBorders>
              <w:top w:val="nil"/>
              <w:left w:val="nil"/>
              <w:bottom w:val="nil"/>
              <w:right w:val="nil"/>
            </w:tcBorders>
          </w:tcPr>
          <w:p w14:paraId="50160BB1" w14:textId="77777777" w:rsidR="007D7EEA" w:rsidRPr="00726543" w:rsidRDefault="00DD2A4D" w:rsidP="00AA3078">
            <w:pPr>
              <w:pStyle w:val="NoSpacing"/>
              <w:ind w:left="-58" w:right="-192"/>
              <w:rPr>
                <w:rFonts w:ascii="Arial" w:hAnsi="Arial" w:cs="Arial"/>
                <w:sz w:val="18"/>
                <w:szCs w:val="16"/>
              </w:rPr>
            </w:pPr>
            <w:r w:rsidRPr="00726543">
              <w:rPr>
                <w:rFonts w:ascii="Arial" w:hAnsi="Arial" w:cs="Arial"/>
                <w:sz w:val="18"/>
                <w:szCs w:val="16"/>
              </w:rPr>
              <w:t>NI 255457</w:t>
            </w:r>
          </w:p>
        </w:tc>
        <w:tc>
          <w:tcPr>
            <w:tcW w:w="1518" w:type="dxa"/>
            <w:tcBorders>
              <w:top w:val="nil"/>
              <w:left w:val="nil"/>
              <w:bottom w:val="nil"/>
              <w:right w:val="nil"/>
            </w:tcBorders>
          </w:tcPr>
          <w:p w14:paraId="78CB5D6A" w14:textId="77777777" w:rsidR="007D7EEA" w:rsidRPr="00726543" w:rsidRDefault="00DD2A4D">
            <w:pPr>
              <w:pStyle w:val="NoSpacing"/>
              <w:jc w:val="both"/>
              <w:rPr>
                <w:rFonts w:ascii="Arial" w:hAnsi="Arial" w:cs="Arial"/>
                <w:sz w:val="18"/>
                <w:szCs w:val="16"/>
              </w:rPr>
            </w:pPr>
            <w:r w:rsidRPr="00726543">
              <w:rPr>
                <w:rFonts w:ascii="Arial" w:hAnsi="Arial" w:cs="Arial"/>
                <w:sz w:val="18"/>
                <w:szCs w:val="16"/>
              </w:rPr>
              <w:t>General Santos City, Region XII</w:t>
            </w:r>
          </w:p>
        </w:tc>
        <w:tc>
          <w:tcPr>
            <w:tcW w:w="999" w:type="dxa"/>
            <w:gridSpan w:val="2"/>
            <w:tcBorders>
              <w:top w:val="nil"/>
              <w:left w:val="nil"/>
              <w:bottom w:val="nil"/>
              <w:right w:val="nil"/>
            </w:tcBorders>
          </w:tcPr>
          <w:p w14:paraId="2CCBA831"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6,000</w:t>
            </w:r>
          </w:p>
        </w:tc>
        <w:tc>
          <w:tcPr>
            <w:tcW w:w="810" w:type="dxa"/>
            <w:tcBorders>
              <w:top w:val="nil"/>
              <w:left w:val="nil"/>
              <w:bottom w:val="nil"/>
              <w:right w:val="nil"/>
            </w:tcBorders>
          </w:tcPr>
          <w:p w14:paraId="1C001CDF"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0</w:t>
            </w:r>
          </w:p>
        </w:tc>
        <w:tc>
          <w:tcPr>
            <w:tcW w:w="891" w:type="dxa"/>
            <w:tcBorders>
              <w:top w:val="nil"/>
              <w:left w:val="nil"/>
              <w:bottom w:val="nil"/>
              <w:right w:val="nil"/>
            </w:tcBorders>
            <w:shd w:val="clear" w:color="auto" w:fill="FFFFFF" w:themeFill="background1"/>
          </w:tcPr>
          <w:p w14:paraId="4B604BE9"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2,235</w:t>
            </w:r>
          </w:p>
        </w:tc>
        <w:tc>
          <w:tcPr>
            <w:tcW w:w="1215" w:type="dxa"/>
            <w:tcBorders>
              <w:top w:val="nil"/>
              <w:left w:val="nil"/>
              <w:bottom w:val="nil"/>
              <w:right w:val="nil"/>
            </w:tcBorders>
            <w:shd w:val="clear" w:color="auto" w:fill="FFFFFF" w:themeFill="background1"/>
          </w:tcPr>
          <w:p w14:paraId="484D0CA0"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8,235</w:t>
            </w:r>
          </w:p>
        </w:tc>
        <w:tc>
          <w:tcPr>
            <w:tcW w:w="1269" w:type="dxa"/>
            <w:tcBorders>
              <w:top w:val="nil"/>
              <w:left w:val="nil"/>
              <w:bottom w:val="nil"/>
              <w:right w:val="nil"/>
            </w:tcBorders>
          </w:tcPr>
          <w:p w14:paraId="4EEA2DF1"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3,750</w:t>
            </w:r>
          </w:p>
        </w:tc>
        <w:tc>
          <w:tcPr>
            <w:tcW w:w="746" w:type="dxa"/>
            <w:tcBorders>
              <w:top w:val="nil"/>
              <w:left w:val="nil"/>
              <w:bottom w:val="nil"/>
              <w:right w:val="nil"/>
            </w:tcBorders>
          </w:tcPr>
          <w:p w14:paraId="08F14BE6" w14:textId="77777777" w:rsidR="007D7EEA" w:rsidRPr="00726543" w:rsidRDefault="00DD2A4D">
            <w:pPr>
              <w:pStyle w:val="NoSpacing"/>
              <w:ind w:right="-72"/>
              <w:jc w:val="right"/>
              <w:rPr>
                <w:rFonts w:ascii="Arial" w:hAnsi="Arial" w:cs="Arial"/>
                <w:sz w:val="18"/>
                <w:szCs w:val="16"/>
              </w:rPr>
            </w:pPr>
            <w:r w:rsidRPr="00726543">
              <w:rPr>
                <w:rFonts w:ascii="Arial" w:hAnsi="Arial" w:cs="Arial"/>
                <w:sz w:val="18"/>
                <w:szCs w:val="16"/>
              </w:rPr>
              <w:t>4,485</w:t>
            </w:r>
          </w:p>
        </w:tc>
      </w:tr>
      <w:tr w:rsidR="007D7EEA" w:rsidRPr="0077138C" w14:paraId="218FA3B1" w14:textId="77777777" w:rsidTr="00726543">
        <w:trPr>
          <w:trHeight w:val="207"/>
        </w:trPr>
        <w:tc>
          <w:tcPr>
            <w:tcW w:w="906" w:type="dxa"/>
            <w:tcBorders>
              <w:top w:val="nil"/>
              <w:left w:val="nil"/>
              <w:bottom w:val="nil"/>
              <w:right w:val="nil"/>
            </w:tcBorders>
          </w:tcPr>
          <w:p w14:paraId="19C1ADF4" w14:textId="77777777" w:rsidR="007D7EEA" w:rsidRPr="00726543" w:rsidRDefault="00DD2A4D" w:rsidP="00AA3078">
            <w:pPr>
              <w:pStyle w:val="NoSpacing"/>
              <w:ind w:left="-58" w:right="-192"/>
              <w:rPr>
                <w:rFonts w:ascii="Arial" w:hAnsi="Arial" w:cs="Arial"/>
                <w:sz w:val="18"/>
                <w:szCs w:val="16"/>
              </w:rPr>
            </w:pPr>
            <w:r w:rsidRPr="00726543">
              <w:rPr>
                <w:rFonts w:ascii="Arial" w:hAnsi="Arial" w:cs="Arial"/>
                <w:sz w:val="18"/>
                <w:szCs w:val="16"/>
              </w:rPr>
              <w:t>NI 260228</w:t>
            </w:r>
          </w:p>
        </w:tc>
        <w:tc>
          <w:tcPr>
            <w:tcW w:w="1518" w:type="dxa"/>
            <w:tcBorders>
              <w:top w:val="nil"/>
              <w:left w:val="nil"/>
              <w:bottom w:val="nil"/>
              <w:right w:val="nil"/>
            </w:tcBorders>
          </w:tcPr>
          <w:p w14:paraId="363B2163" w14:textId="77777777" w:rsidR="007D7EEA" w:rsidRPr="00726543" w:rsidRDefault="00DD2A4D">
            <w:pPr>
              <w:pStyle w:val="NoSpacing"/>
              <w:rPr>
                <w:rFonts w:ascii="Arial" w:hAnsi="Arial" w:cs="Arial"/>
                <w:sz w:val="18"/>
                <w:szCs w:val="16"/>
              </w:rPr>
            </w:pPr>
            <w:r w:rsidRPr="00726543">
              <w:rPr>
                <w:rFonts w:ascii="Arial" w:hAnsi="Arial" w:cs="Arial"/>
                <w:sz w:val="18"/>
                <w:szCs w:val="16"/>
              </w:rPr>
              <w:t>General Santos City, Region XII</w:t>
            </w:r>
          </w:p>
        </w:tc>
        <w:tc>
          <w:tcPr>
            <w:tcW w:w="999" w:type="dxa"/>
            <w:gridSpan w:val="2"/>
            <w:tcBorders>
              <w:top w:val="nil"/>
              <w:left w:val="nil"/>
              <w:bottom w:val="nil"/>
              <w:right w:val="nil"/>
            </w:tcBorders>
          </w:tcPr>
          <w:p w14:paraId="157CB234"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6,000</w:t>
            </w:r>
          </w:p>
        </w:tc>
        <w:tc>
          <w:tcPr>
            <w:tcW w:w="810" w:type="dxa"/>
            <w:tcBorders>
              <w:top w:val="nil"/>
              <w:left w:val="nil"/>
              <w:bottom w:val="nil"/>
              <w:right w:val="nil"/>
            </w:tcBorders>
          </w:tcPr>
          <w:p w14:paraId="6BCD2332"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0</w:t>
            </w:r>
          </w:p>
        </w:tc>
        <w:tc>
          <w:tcPr>
            <w:tcW w:w="891" w:type="dxa"/>
            <w:tcBorders>
              <w:top w:val="nil"/>
              <w:left w:val="nil"/>
              <w:bottom w:val="nil"/>
              <w:right w:val="nil"/>
            </w:tcBorders>
          </w:tcPr>
          <w:p w14:paraId="37CC18BF"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0</w:t>
            </w:r>
          </w:p>
        </w:tc>
        <w:tc>
          <w:tcPr>
            <w:tcW w:w="1215" w:type="dxa"/>
            <w:tcBorders>
              <w:top w:val="nil"/>
              <w:left w:val="nil"/>
              <w:bottom w:val="nil"/>
              <w:right w:val="nil"/>
            </w:tcBorders>
          </w:tcPr>
          <w:p w14:paraId="2BDE1A4D"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6,000</w:t>
            </w:r>
          </w:p>
        </w:tc>
        <w:tc>
          <w:tcPr>
            <w:tcW w:w="1269" w:type="dxa"/>
            <w:tcBorders>
              <w:top w:val="nil"/>
              <w:left w:val="nil"/>
              <w:bottom w:val="nil"/>
              <w:right w:val="nil"/>
            </w:tcBorders>
          </w:tcPr>
          <w:p w14:paraId="02A3B752"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2,250</w:t>
            </w:r>
          </w:p>
        </w:tc>
        <w:tc>
          <w:tcPr>
            <w:tcW w:w="746" w:type="dxa"/>
            <w:tcBorders>
              <w:top w:val="nil"/>
              <w:left w:val="nil"/>
              <w:bottom w:val="nil"/>
              <w:right w:val="nil"/>
            </w:tcBorders>
          </w:tcPr>
          <w:p w14:paraId="5DBC72DE" w14:textId="77777777" w:rsidR="007D7EEA" w:rsidRPr="00726543" w:rsidRDefault="00DD2A4D">
            <w:pPr>
              <w:pStyle w:val="NoSpacing"/>
              <w:ind w:right="-72"/>
              <w:jc w:val="right"/>
              <w:rPr>
                <w:rFonts w:ascii="Arial" w:hAnsi="Arial" w:cs="Arial"/>
                <w:sz w:val="18"/>
                <w:szCs w:val="16"/>
              </w:rPr>
            </w:pPr>
            <w:r w:rsidRPr="00726543">
              <w:rPr>
                <w:rFonts w:ascii="Arial" w:hAnsi="Arial" w:cs="Arial"/>
                <w:sz w:val="18"/>
                <w:szCs w:val="16"/>
              </w:rPr>
              <w:t>3,750</w:t>
            </w:r>
          </w:p>
        </w:tc>
      </w:tr>
      <w:tr w:rsidR="007D7EEA" w:rsidRPr="0077138C" w14:paraId="58B8FFFB" w14:textId="77777777" w:rsidTr="00AA3078">
        <w:trPr>
          <w:trHeight w:val="207"/>
        </w:trPr>
        <w:tc>
          <w:tcPr>
            <w:tcW w:w="906" w:type="dxa"/>
            <w:tcBorders>
              <w:top w:val="nil"/>
              <w:left w:val="nil"/>
              <w:bottom w:val="nil"/>
              <w:right w:val="nil"/>
            </w:tcBorders>
          </w:tcPr>
          <w:p w14:paraId="1E877D24" w14:textId="77777777" w:rsidR="007D7EEA" w:rsidRPr="00726543" w:rsidRDefault="00DD2A4D" w:rsidP="00AA3078">
            <w:pPr>
              <w:pStyle w:val="NoSpacing"/>
              <w:ind w:left="-58" w:right="-192"/>
              <w:rPr>
                <w:rFonts w:ascii="Arial" w:hAnsi="Arial" w:cs="Arial"/>
                <w:sz w:val="18"/>
                <w:szCs w:val="16"/>
              </w:rPr>
            </w:pPr>
            <w:r w:rsidRPr="00726543">
              <w:rPr>
                <w:rFonts w:ascii="Arial" w:hAnsi="Arial" w:cs="Arial"/>
                <w:sz w:val="18"/>
                <w:szCs w:val="16"/>
              </w:rPr>
              <w:t>NI 256567</w:t>
            </w:r>
          </w:p>
        </w:tc>
        <w:tc>
          <w:tcPr>
            <w:tcW w:w="1524" w:type="dxa"/>
            <w:gridSpan w:val="2"/>
            <w:tcBorders>
              <w:top w:val="nil"/>
              <w:left w:val="nil"/>
              <w:bottom w:val="nil"/>
              <w:right w:val="nil"/>
            </w:tcBorders>
          </w:tcPr>
          <w:p w14:paraId="4ED89EA0" w14:textId="77777777" w:rsidR="007D7EEA" w:rsidRPr="00726543" w:rsidRDefault="00DD2A4D">
            <w:pPr>
              <w:pStyle w:val="NoSpacing"/>
              <w:jc w:val="both"/>
              <w:rPr>
                <w:rFonts w:ascii="Arial" w:hAnsi="Arial" w:cs="Arial"/>
                <w:sz w:val="18"/>
                <w:szCs w:val="16"/>
              </w:rPr>
            </w:pPr>
            <w:proofErr w:type="spellStart"/>
            <w:r w:rsidRPr="00726543">
              <w:rPr>
                <w:rFonts w:ascii="Arial" w:hAnsi="Arial" w:cs="Arial"/>
                <w:sz w:val="18"/>
                <w:szCs w:val="16"/>
              </w:rPr>
              <w:t>Calapan</w:t>
            </w:r>
            <w:proofErr w:type="spellEnd"/>
            <w:r w:rsidRPr="00726543">
              <w:rPr>
                <w:rFonts w:ascii="Arial" w:hAnsi="Arial" w:cs="Arial"/>
                <w:sz w:val="18"/>
                <w:szCs w:val="16"/>
              </w:rPr>
              <w:t xml:space="preserve"> City, Region IV-B</w:t>
            </w:r>
          </w:p>
        </w:tc>
        <w:tc>
          <w:tcPr>
            <w:tcW w:w="993" w:type="dxa"/>
            <w:tcBorders>
              <w:top w:val="nil"/>
              <w:left w:val="nil"/>
              <w:bottom w:val="nil"/>
              <w:right w:val="nil"/>
            </w:tcBorders>
          </w:tcPr>
          <w:p w14:paraId="674A4414"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4,500</w:t>
            </w:r>
          </w:p>
        </w:tc>
        <w:tc>
          <w:tcPr>
            <w:tcW w:w="810" w:type="dxa"/>
            <w:tcBorders>
              <w:top w:val="nil"/>
              <w:left w:val="nil"/>
              <w:bottom w:val="nil"/>
              <w:right w:val="nil"/>
            </w:tcBorders>
          </w:tcPr>
          <w:p w14:paraId="272298F2"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822</w:t>
            </w:r>
          </w:p>
        </w:tc>
        <w:tc>
          <w:tcPr>
            <w:tcW w:w="891" w:type="dxa"/>
            <w:tcBorders>
              <w:top w:val="nil"/>
              <w:left w:val="nil"/>
              <w:bottom w:val="nil"/>
              <w:right w:val="nil"/>
            </w:tcBorders>
            <w:shd w:val="clear" w:color="auto" w:fill="FFFFFF" w:themeFill="background1"/>
          </w:tcPr>
          <w:p w14:paraId="7552420B"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3,266</w:t>
            </w:r>
          </w:p>
        </w:tc>
        <w:tc>
          <w:tcPr>
            <w:tcW w:w="1215" w:type="dxa"/>
            <w:tcBorders>
              <w:top w:val="nil"/>
              <w:left w:val="nil"/>
              <w:bottom w:val="nil"/>
              <w:right w:val="nil"/>
            </w:tcBorders>
            <w:shd w:val="clear" w:color="auto" w:fill="FFFFFF" w:themeFill="background1"/>
          </w:tcPr>
          <w:p w14:paraId="6FBCA0CC"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8,588</w:t>
            </w:r>
          </w:p>
        </w:tc>
        <w:tc>
          <w:tcPr>
            <w:tcW w:w="1269" w:type="dxa"/>
            <w:tcBorders>
              <w:top w:val="nil"/>
              <w:left w:val="nil"/>
              <w:bottom w:val="nil"/>
              <w:right w:val="nil"/>
            </w:tcBorders>
          </w:tcPr>
          <w:p w14:paraId="3271953E" w14:textId="77777777" w:rsidR="007D7EEA" w:rsidRPr="00726543" w:rsidRDefault="00DD2A4D">
            <w:pPr>
              <w:pStyle w:val="NoSpacing"/>
              <w:jc w:val="right"/>
              <w:rPr>
                <w:rFonts w:ascii="Arial" w:hAnsi="Arial" w:cs="Arial"/>
                <w:sz w:val="18"/>
                <w:szCs w:val="16"/>
              </w:rPr>
            </w:pPr>
            <w:r w:rsidRPr="00726543">
              <w:rPr>
                <w:rFonts w:ascii="Arial" w:hAnsi="Arial" w:cs="Arial"/>
                <w:sz w:val="18"/>
                <w:szCs w:val="16"/>
              </w:rPr>
              <w:t>5,500</w:t>
            </w:r>
          </w:p>
        </w:tc>
        <w:tc>
          <w:tcPr>
            <w:tcW w:w="746" w:type="dxa"/>
            <w:tcBorders>
              <w:top w:val="nil"/>
              <w:left w:val="nil"/>
              <w:bottom w:val="nil"/>
              <w:right w:val="nil"/>
            </w:tcBorders>
          </w:tcPr>
          <w:p w14:paraId="4A772AFD" w14:textId="77777777" w:rsidR="007D7EEA" w:rsidRPr="00726543" w:rsidRDefault="00DD2A4D">
            <w:pPr>
              <w:pStyle w:val="NoSpacing"/>
              <w:ind w:right="-72"/>
              <w:jc w:val="right"/>
              <w:rPr>
                <w:rFonts w:ascii="Arial" w:hAnsi="Arial" w:cs="Arial"/>
                <w:sz w:val="18"/>
                <w:szCs w:val="16"/>
              </w:rPr>
            </w:pPr>
            <w:r w:rsidRPr="00726543">
              <w:rPr>
                <w:rFonts w:ascii="Arial" w:hAnsi="Arial" w:cs="Arial"/>
                <w:sz w:val="18"/>
                <w:szCs w:val="16"/>
              </w:rPr>
              <w:t>3,088</w:t>
            </w:r>
          </w:p>
        </w:tc>
      </w:tr>
      <w:tr w:rsidR="007D7EEA" w:rsidRPr="0077138C" w14:paraId="2A69E5BA" w14:textId="77777777" w:rsidTr="00726543">
        <w:trPr>
          <w:trHeight w:val="288"/>
        </w:trPr>
        <w:tc>
          <w:tcPr>
            <w:tcW w:w="906" w:type="dxa"/>
            <w:tcBorders>
              <w:top w:val="single" w:sz="4" w:space="0" w:color="auto"/>
              <w:left w:val="nil"/>
              <w:bottom w:val="double" w:sz="4" w:space="0" w:color="auto"/>
              <w:right w:val="nil"/>
            </w:tcBorders>
            <w:vAlign w:val="center"/>
          </w:tcPr>
          <w:p w14:paraId="4C411261" w14:textId="77777777" w:rsidR="007D7EEA" w:rsidRPr="00726543" w:rsidRDefault="00DD2A4D">
            <w:pPr>
              <w:pStyle w:val="NoSpacing"/>
              <w:ind w:left="-58" w:right="-58"/>
              <w:rPr>
                <w:rFonts w:ascii="Arial" w:hAnsi="Arial" w:cs="Arial"/>
                <w:b/>
                <w:sz w:val="18"/>
                <w:szCs w:val="16"/>
              </w:rPr>
            </w:pPr>
            <w:r w:rsidRPr="00726543">
              <w:rPr>
                <w:rFonts w:ascii="Arial" w:hAnsi="Arial" w:cs="Arial"/>
                <w:b/>
                <w:sz w:val="18"/>
                <w:szCs w:val="16"/>
              </w:rPr>
              <w:t>Total</w:t>
            </w:r>
          </w:p>
        </w:tc>
        <w:tc>
          <w:tcPr>
            <w:tcW w:w="1518" w:type="dxa"/>
            <w:tcBorders>
              <w:top w:val="single" w:sz="4" w:space="0" w:color="auto"/>
              <w:left w:val="nil"/>
              <w:bottom w:val="double" w:sz="4" w:space="0" w:color="auto"/>
              <w:right w:val="nil"/>
            </w:tcBorders>
          </w:tcPr>
          <w:p w14:paraId="776AF70A" w14:textId="77777777" w:rsidR="007D7EEA" w:rsidRPr="00726543" w:rsidRDefault="007D7EEA">
            <w:pPr>
              <w:pStyle w:val="NoSpacing"/>
              <w:jc w:val="both"/>
              <w:rPr>
                <w:rFonts w:ascii="Arial" w:hAnsi="Arial" w:cs="Arial"/>
                <w:sz w:val="18"/>
                <w:szCs w:val="16"/>
              </w:rPr>
            </w:pPr>
          </w:p>
        </w:tc>
        <w:tc>
          <w:tcPr>
            <w:tcW w:w="999" w:type="dxa"/>
            <w:gridSpan w:val="2"/>
            <w:tcBorders>
              <w:top w:val="single" w:sz="4" w:space="0" w:color="auto"/>
              <w:left w:val="nil"/>
              <w:bottom w:val="double" w:sz="4" w:space="0" w:color="auto"/>
              <w:right w:val="nil"/>
            </w:tcBorders>
            <w:vAlign w:val="center"/>
          </w:tcPr>
          <w:p w14:paraId="5D9438BC" w14:textId="77777777" w:rsidR="007D7EEA" w:rsidRPr="00726543" w:rsidRDefault="00DD2A4D">
            <w:pPr>
              <w:pStyle w:val="NoSpacing"/>
              <w:ind w:left="-144"/>
              <w:jc w:val="right"/>
              <w:rPr>
                <w:rFonts w:ascii="Arial" w:hAnsi="Arial" w:cs="Arial"/>
                <w:b/>
                <w:sz w:val="18"/>
                <w:szCs w:val="16"/>
              </w:rPr>
            </w:pPr>
            <w:r w:rsidRPr="00726543">
              <w:rPr>
                <w:rFonts w:ascii="Arial" w:hAnsi="Arial" w:cs="Arial"/>
                <w:b/>
                <w:sz w:val="18"/>
                <w:szCs w:val="16"/>
              </w:rPr>
              <w:t>P 52,237</w:t>
            </w:r>
          </w:p>
        </w:tc>
        <w:tc>
          <w:tcPr>
            <w:tcW w:w="810" w:type="dxa"/>
            <w:tcBorders>
              <w:top w:val="single" w:sz="4" w:space="0" w:color="auto"/>
              <w:left w:val="nil"/>
              <w:bottom w:val="double" w:sz="4" w:space="0" w:color="auto"/>
              <w:right w:val="nil"/>
            </w:tcBorders>
            <w:vAlign w:val="center"/>
          </w:tcPr>
          <w:p w14:paraId="1A51791D" w14:textId="77777777" w:rsidR="007D7EEA" w:rsidRPr="00726543" w:rsidRDefault="00DD2A4D">
            <w:pPr>
              <w:pStyle w:val="NoSpacing"/>
              <w:ind w:left="-144"/>
              <w:jc w:val="right"/>
              <w:rPr>
                <w:rFonts w:ascii="Arial" w:hAnsi="Arial" w:cs="Arial"/>
                <w:b/>
                <w:sz w:val="18"/>
                <w:szCs w:val="16"/>
              </w:rPr>
            </w:pPr>
            <w:r w:rsidRPr="00726543">
              <w:rPr>
                <w:rFonts w:ascii="Arial" w:hAnsi="Arial" w:cs="Arial"/>
                <w:b/>
                <w:sz w:val="18"/>
                <w:szCs w:val="16"/>
              </w:rPr>
              <w:t>P 21,393</w:t>
            </w:r>
          </w:p>
        </w:tc>
        <w:tc>
          <w:tcPr>
            <w:tcW w:w="891" w:type="dxa"/>
            <w:tcBorders>
              <w:top w:val="single" w:sz="4" w:space="0" w:color="auto"/>
              <w:left w:val="nil"/>
              <w:bottom w:val="double" w:sz="4" w:space="0" w:color="auto"/>
              <w:right w:val="nil"/>
            </w:tcBorders>
            <w:vAlign w:val="center"/>
          </w:tcPr>
          <w:p w14:paraId="42A007D4" w14:textId="77777777" w:rsidR="007D7EEA" w:rsidRPr="00726543" w:rsidRDefault="00DD2A4D">
            <w:pPr>
              <w:pStyle w:val="NoSpacing"/>
              <w:ind w:left="-144"/>
              <w:jc w:val="right"/>
              <w:rPr>
                <w:rFonts w:ascii="Arial" w:hAnsi="Arial" w:cs="Arial"/>
                <w:b/>
                <w:sz w:val="18"/>
                <w:szCs w:val="16"/>
              </w:rPr>
            </w:pPr>
            <w:r w:rsidRPr="00726543">
              <w:rPr>
                <w:rFonts w:ascii="Arial" w:hAnsi="Arial" w:cs="Arial"/>
                <w:b/>
                <w:sz w:val="18"/>
                <w:szCs w:val="16"/>
              </w:rPr>
              <w:t>P 36,833</w:t>
            </w:r>
          </w:p>
        </w:tc>
        <w:tc>
          <w:tcPr>
            <w:tcW w:w="1215" w:type="dxa"/>
            <w:tcBorders>
              <w:top w:val="single" w:sz="4" w:space="0" w:color="auto"/>
              <w:left w:val="nil"/>
              <w:bottom w:val="double" w:sz="4" w:space="0" w:color="auto"/>
              <w:right w:val="nil"/>
            </w:tcBorders>
            <w:vAlign w:val="center"/>
          </w:tcPr>
          <w:p w14:paraId="105935FF" w14:textId="77777777" w:rsidR="007D7EEA" w:rsidRPr="00726543" w:rsidRDefault="00DD2A4D">
            <w:pPr>
              <w:pStyle w:val="NoSpacing"/>
              <w:ind w:left="-144"/>
              <w:jc w:val="right"/>
              <w:rPr>
                <w:rFonts w:ascii="Arial" w:hAnsi="Arial" w:cs="Arial"/>
                <w:b/>
                <w:sz w:val="18"/>
                <w:szCs w:val="16"/>
              </w:rPr>
            </w:pPr>
            <w:r w:rsidRPr="00726543">
              <w:rPr>
                <w:rFonts w:ascii="Arial" w:hAnsi="Arial" w:cs="Arial"/>
                <w:b/>
                <w:sz w:val="18"/>
                <w:szCs w:val="16"/>
              </w:rPr>
              <w:t>P 110,463</w:t>
            </w:r>
          </w:p>
        </w:tc>
        <w:tc>
          <w:tcPr>
            <w:tcW w:w="1269" w:type="dxa"/>
            <w:tcBorders>
              <w:top w:val="single" w:sz="4" w:space="0" w:color="auto"/>
              <w:left w:val="nil"/>
              <w:bottom w:val="double" w:sz="4" w:space="0" w:color="auto"/>
              <w:right w:val="nil"/>
            </w:tcBorders>
            <w:vAlign w:val="center"/>
          </w:tcPr>
          <w:p w14:paraId="49793348" w14:textId="77777777" w:rsidR="007D7EEA" w:rsidRPr="00726543" w:rsidRDefault="00726543">
            <w:pPr>
              <w:pStyle w:val="NoSpacing"/>
              <w:ind w:left="-144"/>
              <w:jc w:val="right"/>
              <w:rPr>
                <w:rFonts w:ascii="Arial" w:hAnsi="Arial" w:cs="Arial"/>
                <w:b/>
                <w:sz w:val="18"/>
                <w:szCs w:val="16"/>
              </w:rPr>
            </w:pPr>
            <w:r>
              <w:rPr>
                <w:rFonts w:ascii="Arial" w:hAnsi="Arial" w:cs="Arial"/>
                <w:b/>
                <w:sz w:val="18"/>
                <w:szCs w:val="16"/>
              </w:rPr>
              <w:t>P</w:t>
            </w:r>
            <w:r w:rsidR="00DD2A4D" w:rsidRPr="00726543">
              <w:rPr>
                <w:rFonts w:ascii="Arial" w:hAnsi="Arial" w:cs="Arial"/>
                <w:b/>
                <w:sz w:val="18"/>
                <w:szCs w:val="16"/>
              </w:rPr>
              <w:t>52,750</w:t>
            </w:r>
          </w:p>
        </w:tc>
        <w:tc>
          <w:tcPr>
            <w:tcW w:w="746" w:type="dxa"/>
            <w:tcBorders>
              <w:top w:val="single" w:sz="4" w:space="0" w:color="auto"/>
              <w:left w:val="nil"/>
              <w:bottom w:val="double" w:sz="4" w:space="0" w:color="auto"/>
              <w:right w:val="nil"/>
            </w:tcBorders>
            <w:vAlign w:val="center"/>
          </w:tcPr>
          <w:p w14:paraId="49B11B1C" w14:textId="77777777" w:rsidR="007D7EEA" w:rsidRPr="00726543" w:rsidRDefault="00DD2A4D">
            <w:pPr>
              <w:pStyle w:val="NoSpacing"/>
              <w:ind w:left="-144" w:right="-72"/>
              <w:jc w:val="right"/>
              <w:rPr>
                <w:rFonts w:ascii="Arial" w:hAnsi="Arial" w:cs="Arial"/>
                <w:b/>
                <w:sz w:val="18"/>
                <w:szCs w:val="16"/>
              </w:rPr>
            </w:pPr>
            <w:r w:rsidRPr="00726543">
              <w:rPr>
                <w:rFonts w:ascii="Arial" w:hAnsi="Arial" w:cs="Arial"/>
                <w:b/>
                <w:sz w:val="18"/>
                <w:szCs w:val="16"/>
              </w:rPr>
              <w:t>P 57,713</w:t>
            </w:r>
          </w:p>
        </w:tc>
      </w:tr>
    </w:tbl>
    <w:p w14:paraId="3B9EE145" w14:textId="77777777" w:rsidR="007D7EEA" w:rsidRPr="0096065B" w:rsidRDefault="007D7EEA">
      <w:pPr>
        <w:pStyle w:val="ListParagraph"/>
        <w:rPr>
          <w:rFonts w:ascii="Arial" w:hAnsi="Arial" w:cs="Arial"/>
          <w:sz w:val="22"/>
          <w:szCs w:val="22"/>
          <w:highlight w:val="yellow"/>
        </w:rPr>
      </w:pPr>
    </w:p>
    <w:p w14:paraId="5934DF98" w14:textId="5D00E4C3"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As can be gleaned in Table 1</w:t>
      </w:r>
      <w:r w:rsidR="0096065B">
        <w:rPr>
          <w:rFonts w:ascii="Arial" w:hAnsi="Arial" w:cs="Arial"/>
          <w:sz w:val="22"/>
          <w:szCs w:val="22"/>
        </w:rPr>
        <w:t>5</w:t>
      </w:r>
      <w:r w:rsidRPr="0096065B">
        <w:rPr>
          <w:rFonts w:ascii="Arial" w:hAnsi="Arial" w:cs="Arial"/>
          <w:sz w:val="22"/>
          <w:szCs w:val="22"/>
        </w:rPr>
        <w:t>.1, the total amount claimed for local travels during CY 2022 exceeds the total allowed DTE under EO No. 77 by P57,713. This indicates non-compliance of the Management with the guidelines in the grant of allowable maximum DTE during the said official travel.</w:t>
      </w:r>
    </w:p>
    <w:p w14:paraId="5C72A7A7" w14:textId="77777777" w:rsidR="007D7EEA" w:rsidRPr="0096065B" w:rsidRDefault="007D7EEA">
      <w:pPr>
        <w:pStyle w:val="NormalWeb"/>
        <w:spacing w:before="0" w:beforeAutospacing="0" w:after="0" w:afterAutospacing="0"/>
        <w:ind w:left="1267"/>
        <w:jc w:val="both"/>
        <w:rPr>
          <w:rFonts w:ascii="Arial" w:hAnsi="Arial" w:cs="Arial"/>
          <w:sz w:val="22"/>
          <w:szCs w:val="22"/>
        </w:rPr>
      </w:pPr>
    </w:p>
    <w:p w14:paraId="35969EEA" w14:textId="4DEC79A1"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recommended that Management direct the AD to ensure that only the authorized allowable DTE are considered in the grant and liquidation of cash advances in accordance with EO No. 77 to avoid incurrence of audit suspension and/or disallowance.</w:t>
      </w:r>
    </w:p>
    <w:p w14:paraId="6E5B4A67" w14:textId="77777777" w:rsidR="007D7EEA" w:rsidRPr="0096065B" w:rsidRDefault="007D7EEA">
      <w:pPr>
        <w:pStyle w:val="NormalWeb"/>
        <w:spacing w:before="0" w:beforeAutospacing="0" w:after="0" w:afterAutospacing="0"/>
        <w:ind w:left="1440"/>
        <w:jc w:val="both"/>
        <w:rPr>
          <w:rFonts w:ascii="Arial" w:hAnsi="Arial" w:cs="Arial"/>
          <w:sz w:val="22"/>
          <w:szCs w:val="22"/>
        </w:rPr>
      </w:pPr>
    </w:p>
    <w:p w14:paraId="3F4231A0"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Management commented that the expenses incurred during official travels are all necessary in the attainment of the activity.  All expenses to be incurred are approved/authorized by the approving authority.  The existing policy of the AFPRSBS is being followed in the </w:t>
      </w:r>
      <w:proofErr w:type="spellStart"/>
      <w:r w:rsidRPr="0096065B">
        <w:rPr>
          <w:rFonts w:ascii="Arial" w:hAnsi="Arial" w:cs="Arial"/>
          <w:sz w:val="22"/>
          <w:szCs w:val="22"/>
        </w:rPr>
        <w:t>availment</w:t>
      </w:r>
      <w:proofErr w:type="spellEnd"/>
      <w:r w:rsidRPr="0096065B">
        <w:rPr>
          <w:rFonts w:ascii="Arial" w:hAnsi="Arial" w:cs="Arial"/>
          <w:sz w:val="22"/>
          <w:szCs w:val="22"/>
        </w:rPr>
        <w:t xml:space="preserve"> of cash advances. </w:t>
      </w:r>
    </w:p>
    <w:p w14:paraId="6976A9A7" w14:textId="77777777" w:rsidR="007D7EEA" w:rsidRPr="0096065B" w:rsidRDefault="007D7EEA">
      <w:pPr>
        <w:pStyle w:val="ListParagraph"/>
        <w:rPr>
          <w:rFonts w:ascii="Arial" w:hAnsi="Arial" w:cs="Arial"/>
          <w:sz w:val="22"/>
          <w:szCs w:val="22"/>
        </w:rPr>
      </w:pPr>
    </w:p>
    <w:p w14:paraId="08576667"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As a rejoinder, although the Audit Team noted that the existing policy of AFPRSBS on Travel Allowance was issued on March 25, 2003, it should conform to the governing laws, rules and regulation of the government.  Since, EO No. 77 was issued to amend prescribed rules and regulations and rates of expenses and allowances for official local and foreign travels of government personnel, the AFPRSBS must comply with the same as the latest governing rule on travel expenses. </w:t>
      </w:r>
    </w:p>
    <w:p w14:paraId="1C004520" w14:textId="77777777" w:rsidR="007D7EEA" w:rsidRPr="0096065B" w:rsidRDefault="007D7EEA">
      <w:pPr>
        <w:pStyle w:val="NormalWeb"/>
        <w:spacing w:before="0" w:beforeAutospacing="0" w:after="0" w:afterAutospacing="0"/>
        <w:ind w:left="1260"/>
        <w:jc w:val="both"/>
        <w:rPr>
          <w:rFonts w:ascii="Arial" w:hAnsi="Arial" w:cs="Arial"/>
          <w:b/>
          <w:sz w:val="22"/>
          <w:szCs w:val="22"/>
        </w:rPr>
      </w:pPr>
    </w:p>
    <w:p w14:paraId="5168AFF2" w14:textId="77777777" w:rsidR="007D7EEA" w:rsidRPr="0096065B" w:rsidRDefault="00DD2A4D">
      <w:pPr>
        <w:pStyle w:val="NoSpacing"/>
        <w:ind w:left="576"/>
        <w:jc w:val="both"/>
        <w:rPr>
          <w:rFonts w:ascii="Arial" w:hAnsi="Arial" w:cs="Arial"/>
          <w:i/>
        </w:rPr>
      </w:pPr>
      <w:r w:rsidRPr="0096065B">
        <w:rPr>
          <w:rFonts w:ascii="Arial" w:hAnsi="Arial" w:cs="Arial"/>
          <w:i/>
        </w:rPr>
        <w:lastRenderedPageBreak/>
        <w:t>Reimbursement of the cost of gasoline/fuel in the amount of P8,701, although there was no proof that government service vehicle was used</w:t>
      </w:r>
    </w:p>
    <w:p w14:paraId="3832B028" w14:textId="77777777" w:rsidR="007D7EEA" w:rsidRPr="0096065B" w:rsidRDefault="007D7EEA">
      <w:pPr>
        <w:pStyle w:val="NoSpacing"/>
        <w:ind w:right="4620"/>
        <w:jc w:val="both"/>
        <w:rPr>
          <w:rFonts w:ascii="Arial" w:hAnsi="Arial" w:cs="Arial"/>
          <w:i/>
        </w:rPr>
      </w:pPr>
    </w:p>
    <w:p w14:paraId="0B9CAED3" w14:textId="555BB073"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Review of the disbursement vouchers and liquidation reports of cash advances for travel revealed reimbursement for cost of gasoline and fuel in the amount of P8,701 was claimed and used in violation of the provisions of the said Order.  Details are summarized in Table 1</w:t>
      </w:r>
      <w:r w:rsidR="00A57D4E" w:rsidRPr="0096065B">
        <w:rPr>
          <w:rFonts w:ascii="Arial" w:hAnsi="Arial" w:cs="Arial"/>
          <w:sz w:val="22"/>
          <w:szCs w:val="22"/>
        </w:rPr>
        <w:t>5</w:t>
      </w:r>
      <w:r w:rsidRPr="0096065B">
        <w:rPr>
          <w:rFonts w:ascii="Arial" w:hAnsi="Arial" w:cs="Arial"/>
          <w:sz w:val="22"/>
          <w:szCs w:val="22"/>
        </w:rPr>
        <w:t>.2.</w:t>
      </w:r>
    </w:p>
    <w:p w14:paraId="14EB8249" w14:textId="77777777" w:rsidR="007D7EEA" w:rsidRPr="0096065B" w:rsidRDefault="007D7EEA">
      <w:pPr>
        <w:pStyle w:val="NoSpacing"/>
        <w:ind w:firstLine="720"/>
        <w:jc w:val="both"/>
        <w:rPr>
          <w:rFonts w:ascii="Arial" w:hAnsi="Arial" w:cs="Arial"/>
        </w:rPr>
      </w:pPr>
    </w:p>
    <w:p w14:paraId="29F1F5C0" w14:textId="29B73D08" w:rsidR="007D7EEA" w:rsidRPr="0096065B" w:rsidRDefault="00DD2A4D">
      <w:pPr>
        <w:pStyle w:val="NoSpacing"/>
        <w:ind w:left="1260"/>
        <w:jc w:val="center"/>
        <w:rPr>
          <w:rFonts w:ascii="Arial" w:hAnsi="Arial" w:cs="Arial"/>
          <w:b/>
        </w:rPr>
      </w:pPr>
      <w:r w:rsidRPr="0096065B">
        <w:rPr>
          <w:rFonts w:ascii="Arial" w:hAnsi="Arial" w:cs="Arial"/>
          <w:b/>
        </w:rPr>
        <w:t>Table 1</w:t>
      </w:r>
      <w:r w:rsidR="00A57D4E" w:rsidRPr="0096065B">
        <w:rPr>
          <w:rFonts w:ascii="Arial" w:hAnsi="Arial" w:cs="Arial"/>
          <w:b/>
        </w:rPr>
        <w:t>5</w:t>
      </w:r>
      <w:r w:rsidRPr="0096065B">
        <w:rPr>
          <w:rFonts w:ascii="Arial" w:hAnsi="Arial" w:cs="Arial"/>
          <w:b/>
        </w:rPr>
        <w:t xml:space="preserve">.2 – Summary of Reimbursement of Gasoline/Fuel </w:t>
      </w:r>
    </w:p>
    <w:p w14:paraId="426D8850" w14:textId="77777777" w:rsidR="007D7EEA" w:rsidRPr="0096065B" w:rsidRDefault="00DD2A4D">
      <w:pPr>
        <w:pStyle w:val="NoSpacing"/>
        <w:ind w:left="1260"/>
        <w:jc w:val="center"/>
        <w:rPr>
          <w:rFonts w:ascii="Arial" w:hAnsi="Arial" w:cs="Arial"/>
          <w:b/>
        </w:rPr>
      </w:pPr>
      <w:r w:rsidRPr="0096065B">
        <w:rPr>
          <w:rFonts w:ascii="Arial" w:hAnsi="Arial" w:cs="Arial"/>
          <w:b/>
        </w:rPr>
        <w:t>During Official Travel</w:t>
      </w:r>
    </w:p>
    <w:p w14:paraId="7F133C6D" w14:textId="77777777" w:rsidR="007D7EEA" w:rsidRPr="0096065B" w:rsidRDefault="00DD2A4D">
      <w:pPr>
        <w:pStyle w:val="NoSpacing"/>
        <w:ind w:left="1260"/>
        <w:jc w:val="center"/>
        <w:rPr>
          <w:rFonts w:ascii="Arial" w:hAnsi="Arial" w:cs="Arial"/>
          <w:b/>
        </w:rPr>
      </w:pPr>
      <w:r w:rsidRPr="0096065B">
        <w:rPr>
          <w:rFonts w:ascii="Arial" w:hAnsi="Arial" w:cs="Arial"/>
          <w:b/>
        </w:rPr>
        <w:t>As at December 31, 2022</w:t>
      </w:r>
    </w:p>
    <w:p w14:paraId="200219DC" w14:textId="77777777" w:rsidR="007D7EEA" w:rsidRPr="0096065B" w:rsidRDefault="007D7EEA">
      <w:pPr>
        <w:pStyle w:val="NoSpacing"/>
        <w:ind w:left="720"/>
        <w:jc w:val="both"/>
        <w:rPr>
          <w:rFonts w:ascii="Arial" w:hAnsi="Arial" w:cs="Arial"/>
        </w:rPr>
      </w:pPr>
    </w:p>
    <w:tbl>
      <w:tblPr>
        <w:tblStyle w:val="TableGrid"/>
        <w:tblW w:w="7383"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350"/>
        <w:gridCol w:w="1710"/>
        <w:gridCol w:w="1676"/>
        <w:gridCol w:w="1387"/>
      </w:tblGrid>
      <w:tr w:rsidR="007D7EEA" w:rsidRPr="005E7FF0" w14:paraId="44CE97CD" w14:textId="77777777">
        <w:trPr>
          <w:trHeight w:val="317"/>
          <w:tblHeader/>
        </w:trPr>
        <w:tc>
          <w:tcPr>
            <w:tcW w:w="1260" w:type="dxa"/>
            <w:tcBorders>
              <w:top w:val="single" w:sz="4" w:space="0" w:color="auto"/>
              <w:bottom w:val="single" w:sz="4" w:space="0" w:color="auto"/>
            </w:tcBorders>
            <w:vAlign w:val="center"/>
          </w:tcPr>
          <w:p w14:paraId="0BA6D4EE" w14:textId="77777777" w:rsidR="007D7EEA" w:rsidRPr="005E7FF0" w:rsidRDefault="00DD2A4D">
            <w:pPr>
              <w:pStyle w:val="NoSpacing"/>
              <w:jc w:val="center"/>
              <w:rPr>
                <w:rFonts w:ascii="Arial" w:hAnsi="Arial" w:cs="Arial"/>
                <w:b/>
                <w:bCs/>
                <w:sz w:val="20"/>
                <w:szCs w:val="20"/>
              </w:rPr>
            </w:pPr>
            <w:r w:rsidRPr="005E7FF0">
              <w:rPr>
                <w:rFonts w:ascii="Arial" w:hAnsi="Arial" w:cs="Arial"/>
                <w:b/>
                <w:bCs/>
                <w:sz w:val="20"/>
                <w:szCs w:val="20"/>
              </w:rPr>
              <w:t>RVCP no.</w:t>
            </w:r>
          </w:p>
        </w:tc>
        <w:tc>
          <w:tcPr>
            <w:tcW w:w="1350" w:type="dxa"/>
            <w:tcBorders>
              <w:top w:val="single" w:sz="4" w:space="0" w:color="auto"/>
              <w:bottom w:val="single" w:sz="4" w:space="0" w:color="auto"/>
            </w:tcBorders>
            <w:vAlign w:val="center"/>
          </w:tcPr>
          <w:p w14:paraId="1A43774B" w14:textId="77777777" w:rsidR="007D7EEA" w:rsidRPr="005E7FF0" w:rsidRDefault="00DD2A4D">
            <w:pPr>
              <w:pStyle w:val="NoSpacing"/>
              <w:jc w:val="center"/>
              <w:rPr>
                <w:rFonts w:ascii="Arial" w:hAnsi="Arial" w:cs="Arial"/>
                <w:b/>
                <w:bCs/>
                <w:sz w:val="20"/>
                <w:szCs w:val="20"/>
              </w:rPr>
            </w:pPr>
            <w:r w:rsidRPr="005E7FF0">
              <w:rPr>
                <w:rFonts w:ascii="Arial" w:hAnsi="Arial" w:cs="Arial"/>
                <w:b/>
                <w:bCs/>
                <w:sz w:val="20"/>
                <w:szCs w:val="20"/>
              </w:rPr>
              <w:t>Date</w:t>
            </w:r>
          </w:p>
        </w:tc>
        <w:tc>
          <w:tcPr>
            <w:tcW w:w="1710" w:type="dxa"/>
            <w:tcBorders>
              <w:top w:val="single" w:sz="4" w:space="0" w:color="auto"/>
              <w:bottom w:val="single" w:sz="4" w:space="0" w:color="auto"/>
            </w:tcBorders>
            <w:vAlign w:val="center"/>
          </w:tcPr>
          <w:p w14:paraId="29444101" w14:textId="77777777" w:rsidR="007D7EEA" w:rsidRPr="005E7FF0" w:rsidRDefault="00DD2A4D">
            <w:pPr>
              <w:pStyle w:val="NoSpacing"/>
              <w:jc w:val="center"/>
              <w:rPr>
                <w:rFonts w:ascii="Arial" w:hAnsi="Arial" w:cs="Arial"/>
                <w:b/>
                <w:bCs/>
                <w:sz w:val="20"/>
                <w:szCs w:val="20"/>
              </w:rPr>
            </w:pPr>
            <w:r w:rsidRPr="005E7FF0">
              <w:rPr>
                <w:rFonts w:ascii="Arial" w:hAnsi="Arial" w:cs="Arial"/>
                <w:b/>
                <w:bCs/>
                <w:sz w:val="20"/>
                <w:szCs w:val="20"/>
              </w:rPr>
              <w:t>OR No.</w:t>
            </w:r>
          </w:p>
        </w:tc>
        <w:tc>
          <w:tcPr>
            <w:tcW w:w="1676" w:type="dxa"/>
            <w:tcBorders>
              <w:top w:val="single" w:sz="4" w:space="0" w:color="auto"/>
              <w:bottom w:val="single" w:sz="4" w:space="0" w:color="auto"/>
            </w:tcBorders>
            <w:vAlign w:val="center"/>
          </w:tcPr>
          <w:p w14:paraId="3A7E8527" w14:textId="77777777" w:rsidR="007D7EEA" w:rsidRPr="005E7FF0" w:rsidRDefault="00DD2A4D">
            <w:pPr>
              <w:pStyle w:val="NoSpacing"/>
              <w:jc w:val="center"/>
              <w:rPr>
                <w:rFonts w:ascii="Arial" w:hAnsi="Arial" w:cs="Arial"/>
                <w:b/>
                <w:bCs/>
                <w:sz w:val="20"/>
                <w:szCs w:val="20"/>
              </w:rPr>
            </w:pPr>
            <w:r w:rsidRPr="005E7FF0">
              <w:rPr>
                <w:rFonts w:ascii="Arial" w:hAnsi="Arial" w:cs="Arial"/>
                <w:b/>
                <w:bCs/>
                <w:sz w:val="20"/>
                <w:szCs w:val="20"/>
              </w:rPr>
              <w:t>Date</w:t>
            </w:r>
          </w:p>
        </w:tc>
        <w:tc>
          <w:tcPr>
            <w:tcW w:w="1387" w:type="dxa"/>
            <w:tcBorders>
              <w:top w:val="single" w:sz="4" w:space="0" w:color="auto"/>
              <w:bottom w:val="single" w:sz="4" w:space="0" w:color="auto"/>
            </w:tcBorders>
            <w:vAlign w:val="center"/>
          </w:tcPr>
          <w:p w14:paraId="22C6EF14" w14:textId="77777777" w:rsidR="007D7EEA" w:rsidRPr="005E7FF0" w:rsidRDefault="00DD2A4D">
            <w:pPr>
              <w:pStyle w:val="NoSpacing"/>
              <w:jc w:val="center"/>
              <w:rPr>
                <w:rFonts w:ascii="Arial" w:hAnsi="Arial" w:cs="Arial"/>
                <w:b/>
                <w:bCs/>
                <w:sz w:val="20"/>
                <w:szCs w:val="20"/>
              </w:rPr>
            </w:pPr>
            <w:r w:rsidRPr="005E7FF0">
              <w:rPr>
                <w:rFonts w:ascii="Arial" w:hAnsi="Arial" w:cs="Arial"/>
                <w:b/>
                <w:bCs/>
                <w:sz w:val="20"/>
                <w:szCs w:val="20"/>
              </w:rPr>
              <w:t>Amount</w:t>
            </w:r>
          </w:p>
        </w:tc>
      </w:tr>
      <w:tr w:rsidR="007D7EEA" w:rsidRPr="005E7FF0" w14:paraId="72E75D06" w14:textId="77777777">
        <w:trPr>
          <w:trHeight w:val="124"/>
        </w:trPr>
        <w:tc>
          <w:tcPr>
            <w:tcW w:w="1260" w:type="dxa"/>
            <w:tcBorders>
              <w:top w:val="single" w:sz="4" w:space="0" w:color="auto"/>
            </w:tcBorders>
          </w:tcPr>
          <w:p w14:paraId="44A25C87"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NI 255457</w:t>
            </w:r>
          </w:p>
        </w:tc>
        <w:tc>
          <w:tcPr>
            <w:tcW w:w="1350" w:type="dxa"/>
            <w:tcBorders>
              <w:top w:val="single" w:sz="4" w:space="0" w:color="auto"/>
            </w:tcBorders>
          </w:tcPr>
          <w:p w14:paraId="23C484B5"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08/25/2022</w:t>
            </w:r>
          </w:p>
        </w:tc>
        <w:tc>
          <w:tcPr>
            <w:tcW w:w="1710" w:type="dxa"/>
            <w:tcBorders>
              <w:top w:val="single" w:sz="4" w:space="0" w:color="auto"/>
            </w:tcBorders>
          </w:tcPr>
          <w:p w14:paraId="4523C92E"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12479</w:t>
            </w:r>
          </w:p>
        </w:tc>
        <w:tc>
          <w:tcPr>
            <w:tcW w:w="1676" w:type="dxa"/>
            <w:tcBorders>
              <w:top w:val="single" w:sz="4" w:space="0" w:color="auto"/>
            </w:tcBorders>
          </w:tcPr>
          <w:p w14:paraId="08E9B0BF"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09/01/2022</w:t>
            </w:r>
          </w:p>
        </w:tc>
        <w:tc>
          <w:tcPr>
            <w:tcW w:w="1387" w:type="dxa"/>
            <w:tcBorders>
              <w:top w:val="single" w:sz="4" w:space="0" w:color="auto"/>
            </w:tcBorders>
          </w:tcPr>
          <w:p w14:paraId="082E4A5C" w14:textId="77777777" w:rsidR="007D7EEA" w:rsidRPr="005E7FF0" w:rsidRDefault="00DD2A4D">
            <w:pPr>
              <w:pStyle w:val="NoSpacing"/>
              <w:jc w:val="right"/>
              <w:rPr>
                <w:rFonts w:ascii="Arial" w:hAnsi="Arial" w:cs="Arial"/>
                <w:sz w:val="20"/>
                <w:szCs w:val="20"/>
              </w:rPr>
            </w:pPr>
            <w:r w:rsidRPr="005E7FF0">
              <w:rPr>
                <w:rFonts w:ascii="Arial" w:hAnsi="Arial" w:cs="Arial"/>
                <w:sz w:val="20"/>
                <w:szCs w:val="20"/>
              </w:rPr>
              <w:t>P      2,235</w:t>
            </w:r>
          </w:p>
        </w:tc>
      </w:tr>
      <w:tr w:rsidR="007D7EEA" w:rsidRPr="005E7FF0" w14:paraId="789E4036" w14:textId="77777777">
        <w:trPr>
          <w:trHeight w:val="151"/>
        </w:trPr>
        <w:tc>
          <w:tcPr>
            <w:tcW w:w="1260" w:type="dxa"/>
          </w:tcPr>
          <w:p w14:paraId="30E89276"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NI 260646</w:t>
            </w:r>
          </w:p>
        </w:tc>
        <w:tc>
          <w:tcPr>
            <w:tcW w:w="1350" w:type="dxa"/>
          </w:tcPr>
          <w:p w14:paraId="65478644"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10/13/2022</w:t>
            </w:r>
          </w:p>
        </w:tc>
        <w:tc>
          <w:tcPr>
            <w:tcW w:w="1710" w:type="dxa"/>
          </w:tcPr>
          <w:p w14:paraId="03F6D0E6"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125331</w:t>
            </w:r>
          </w:p>
        </w:tc>
        <w:tc>
          <w:tcPr>
            <w:tcW w:w="1676" w:type="dxa"/>
          </w:tcPr>
          <w:p w14:paraId="2EB8B423"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10/20/2022</w:t>
            </w:r>
          </w:p>
        </w:tc>
        <w:tc>
          <w:tcPr>
            <w:tcW w:w="1387" w:type="dxa"/>
          </w:tcPr>
          <w:p w14:paraId="7EE37F79" w14:textId="77777777" w:rsidR="007D7EEA" w:rsidRPr="005E7FF0" w:rsidRDefault="00DD2A4D">
            <w:pPr>
              <w:pStyle w:val="NoSpacing"/>
              <w:jc w:val="right"/>
              <w:rPr>
                <w:rFonts w:ascii="Arial" w:hAnsi="Arial" w:cs="Arial"/>
                <w:sz w:val="20"/>
                <w:szCs w:val="20"/>
              </w:rPr>
            </w:pPr>
            <w:r w:rsidRPr="005E7FF0">
              <w:rPr>
                <w:rFonts w:ascii="Arial" w:hAnsi="Arial" w:cs="Arial"/>
                <w:sz w:val="20"/>
                <w:szCs w:val="20"/>
              </w:rPr>
              <w:t>2,000</w:t>
            </w:r>
          </w:p>
        </w:tc>
      </w:tr>
      <w:tr w:rsidR="007D7EEA" w:rsidRPr="005E7FF0" w14:paraId="3973A955" w14:textId="77777777">
        <w:trPr>
          <w:trHeight w:val="56"/>
        </w:trPr>
        <w:tc>
          <w:tcPr>
            <w:tcW w:w="1260" w:type="dxa"/>
          </w:tcPr>
          <w:p w14:paraId="6A12502D"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 xml:space="preserve">NI 257791 </w:t>
            </w:r>
          </w:p>
        </w:tc>
        <w:tc>
          <w:tcPr>
            <w:tcW w:w="1350" w:type="dxa"/>
          </w:tcPr>
          <w:p w14:paraId="5B9AB23A"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 xml:space="preserve">09/12/2022 </w:t>
            </w:r>
          </w:p>
        </w:tc>
        <w:tc>
          <w:tcPr>
            <w:tcW w:w="1710" w:type="dxa"/>
          </w:tcPr>
          <w:p w14:paraId="58B439C7"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128595</w:t>
            </w:r>
          </w:p>
        </w:tc>
        <w:tc>
          <w:tcPr>
            <w:tcW w:w="1676" w:type="dxa"/>
          </w:tcPr>
          <w:p w14:paraId="151977EA"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09/14/2022</w:t>
            </w:r>
          </w:p>
        </w:tc>
        <w:tc>
          <w:tcPr>
            <w:tcW w:w="1387" w:type="dxa"/>
          </w:tcPr>
          <w:p w14:paraId="0D19FFB6" w14:textId="77777777" w:rsidR="007D7EEA" w:rsidRPr="005E7FF0" w:rsidRDefault="00DD2A4D">
            <w:pPr>
              <w:pStyle w:val="NoSpacing"/>
              <w:jc w:val="right"/>
              <w:rPr>
                <w:rFonts w:ascii="Arial" w:hAnsi="Arial" w:cs="Arial"/>
                <w:sz w:val="20"/>
                <w:szCs w:val="20"/>
              </w:rPr>
            </w:pPr>
            <w:r w:rsidRPr="005E7FF0">
              <w:rPr>
                <w:rFonts w:ascii="Arial" w:hAnsi="Arial" w:cs="Arial"/>
                <w:sz w:val="20"/>
                <w:szCs w:val="20"/>
              </w:rPr>
              <w:t>1,700</w:t>
            </w:r>
          </w:p>
        </w:tc>
      </w:tr>
      <w:tr w:rsidR="007D7EEA" w:rsidRPr="005E7FF0" w14:paraId="6E186D58" w14:textId="77777777">
        <w:trPr>
          <w:trHeight w:val="73"/>
        </w:trPr>
        <w:tc>
          <w:tcPr>
            <w:tcW w:w="1260" w:type="dxa"/>
          </w:tcPr>
          <w:p w14:paraId="2533EEE8"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NI 256567</w:t>
            </w:r>
          </w:p>
        </w:tc>
        <w:tc>
          <w:tcPr>
            <w:tcW w:w="1350" w:type="dxa"/>
          </w:tcPr>
          <w:p w14:paraId="546109A1"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09/01/2022</w:t>
            </w:r>
          </w:p>
        </w:tc>
        <w:tc>
          <w:tcPr>
            <w:tcW w:w="1710" w:type="dxa"/>
          </w:tcPr>
          <w:p w14:paraId="29BB4D0A"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34555</w:t>
            </w:r>
          </w:p>
        </w:tc>
        <w:tc>
          <w:tcPr>
            <w:tcW w:w="1676" w:type="dxa"/>
          </w:tcPr>
          <w:p w14:paraId="11875386"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09/09/2022</w:t>
            </w:r>
          </w:p>
        </w:tc>
        <w:tc>
          <w:tcPr>
            <w:tcW w:w="1387" w:type="dxa"/>
          </w:tcPr>
          <w:p w14:paraId="0F9BFBD2" w14:textId="77777777" w:rsidR="007D7EEA" w:rsidRPr="005E7FF0" w:rsidRDefault="00DD2A4D">
            <w:pPr>
              <w:pStyle w:val="NoSpacing"/>
              <w:jc w:val="right"/>
              <w:rPr>
                <w:rFonts w:ascii="Arial" w:hAnsi="Arial" w:cs="Arial"/>
                <w:sz w:val="20"/>
                <w:szCs w:val="20"/>
              </w:rPr>
            </w:pPr>
            <w:r w:rsidRPr="005E7FF0">
              <w:rPr>
                <w:rFonts w:ascii="Arial" w:hAnsi="Arial" w:cs="Arial"/>
                <w:sz w:val="20"/>
                <w:szCs w:val="20"/>
              </w:rPr>
              <w:t>1,000</w:t>
            </w:r>
          </w:p>
        </w:tc>
      </w:tr>
      <w:tr w:rsidR="007D7EEA" w:rsidRPr="005E7FF0" w14:paraId="5722FA6E" w14:textId="77777777">
        <w:trPr>
          <w:trHeight w:val="248"/>
        </w:trPr>
        <w:tc>
          <w:tcPr>
            <w:tcW w:w="1260" w:type="dxa"/>
          </w:tcPr>
          <w:p w14:paraId="3A27C2CE"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NI 260646</w:t>
            </w:r>
          </w:p>
        </w:tc>
        <w:tc>
          <w:tcPr>
            <w:tcW w:w="1350" w:type="dxa"/>
          </w:tcPr>
          <w:p w14:paraId="226919CD"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10/13/2022</w:t>
            </w:r>
          </w:p>
        </w:tc>
        <w:tc>
          <w:tcPr>
            <w:tcW w:w="1710" w:type="dxa"/>
          </w:tcPr>
          <w:p w14:paraId="350F9375"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1422</w:t>
            </w:r>
          </w:p>
        </w:tc>
        <w:tc>
          <w:tcPr>
            <w:tcW w:w="1676" w:type="dxa"/>
          </w:tcPr>
          <w:p w14:paraId="3198BC02"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10/19/2022</w:t>
            </w:r>
          </w:p>
        </w:tc>
        <w:tc>
          <w:tcPr>
            <w:tcW w:w="1387" w:type="dxa"/>
          </w:tcPr>
          <w:p w14:paraId="4B715DA9" w14:textId="77777777" w:rsidR="007D7EEA" w:rsidRPr="005E7FF0" w:rsidRDefault="00DD2A4D">
            <w:pPr>
              <w:pStyle w:val="NoSpacing"/>
              <w:jc w:val="right"/>
              <w:rPr>
                <w:rFonts w:ascii="Arial" w:hAnsi="Arial" w:cs="Arial"/>
                <w:sz w:val="20"/>
                <w:szCs w:val="20"/>
              </w:rPr>
            </w:pPr>
            <w:r w:rsidRPr="005E7FF0">
              <w:rPr>
                <w:rFonts w:ascii="Arial" w:hAnsi="Arial" w:cs="Arial"/>
                <w:sz w:val="20"/>
                <w:szCs w:val="20"/>
              </w:rPr>
              <w:t>1,000</w:t>
            </w:r>
          </w:p>
        </w:tc>
      </w:tr>
      <w:tr w:rsidR="007D7EEA" w:rsidRPr="005E7FF0" w14:paraId="43502CF5" w14:textId="77777777">
        <w:trPr>
          <w:trHeight w:val="137"/>
        </w:trPr>
        <w:tc>
          <w:tcPr>
            <w:tcW w:w="1260" w:type="dxa"/>
          </w:tcPr>
          <w:p w14:paraId="73EE2639"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NI 256567</w:t>
            </w:r>
          </w:p>
        </w:tc>
        <w:tc>
          <w:tcPr>
            <w:tcW w:w="1350" w:type="dxa"/>
          </w:tcPr>
          <w:p w14:paraId="123D57DD"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09/01/2022</w:t>
            </w:r>
          </w:p>
        </w:tc>
        <w:tc>
          <w:tcPr>
            <w:tcW w:w="1710" w:type="dxa"/>
          </w:tcPr>
          <w:p w14:paraId="56607633"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121489</w:t>
            </w:r>
          </w:p>
        </w:tc>
        <w:tc>
          <w:tcPr>
            <w:tcW w:w="1676" w:type="dxa"/>
          </w:tcPr>
          <w:p w14:paraId="4DA37637" w14:textId="77777777" w:rsidR="007D7EEA" w:rsidRPr="005E7FF0" w:rsidRDefault="00DD2A4D">
            <w:pPr>
              <w:pStyle w:val="NoSpacing"/>
              <w:jc w:val="center"/>
              <w:rPr>
                <w:rFonts w:ascii="Arial" w:hAnsi="Arial" w:cs="Arial"/>
                <w:sz w:val="20"/>
                <w:szCs w:val="20"/>
              </w:rPr>
            </w:pPr>
            <w:r w:rsidRPr="005E7FF0">
              <w:rPr>
                <w:rFonts w:ascii="Arial" w:hAnsi="Arial" w:cs="Arial"/>
                <w:sz w:val="20"/>
                <w:szCs w:val="20"/>
              </w:rPr>
              <w:t>09/08/2022</w:t>
            </w:r>
          </w:p>
        </w:tc>
        <w:tc>
          <w:tcPr>
            <w:tcW w:w="1387" w:type="dxa"/>
          </w:tcPr>
          <w:p w14:paraId="12FB0735" w14:textId="77777777" w:rsidR="007D7EEA" w:rsidRPr="005E7FF0" w:rsidRDefault="00DD2A4D">
            <w:pPr>
              <w:pStyle w:val="NoSpacing"/>
              <w:jc w:val="right"/>
              <w:rPr>
                <w:rFonts w:ascii="Arial" w:hAnsi="Arial" w:cs="Arial"/>
                <w:sz w:val="20"/>
                <w:szCs w:val="20"/>
              </w:rPr>
            </w:pPr>
            <w:r w:rsidRPr="005E7FF0">
              <w:rPr>
                <w:rFonts w:ascii="Arial" w:hAnsi="Arial" w:cs="Arial"/>
                <w:sz w:val="20"/>
                <w:szCs w:val="20"/>
              </w:rPr>
              <w:t xml:space="preserve">  766</w:t>
            </w:r>
          </w:p>
        </w:tc>
      </w:tr>
      <w:tr w:rsidR="007D7EEA" w:rsidRPr="005E7FF0" w14:paraId="6B9C9B88" w14:textId="77777777">
        <w:trPr>
          <w:trHeight w:val="197"/>
        </w:trPr>
        <w:tc>
          <w:tcPr>
            <w:tcW w:w="1260" w:type="dxa"/>
            <w:tcBorders>
              <w:top w:val="single" w:sz="4" w:space="0" w:color="auto"/>
              <w:bottom w:val="double" w:sz="4" w:space="0" w:color="auto"/>
            </w:tcBorders>
          </w:tcPr>
          <w:p w14:paraId="75D98F63" w14:textId="77777777" w:rsidR="007D7EEA" w:rsidRPr="005E7FF0" w:rsidRDefault="00DD2A4D">
            <w:pPr>
              <w:pStyle w:val="NoSpacing"/>
              <w:jc w:val="center"/>
              <w:rPr>
                <w:rFonts w:ascii="Arial" w:hAnsi="Arial" w:cs="Arial"/>
                <w:b/>
                <w:bCs/>
                <w:sz w:val="20"/>
                <w:szCs w:val="20"/>
              </w:rPr>
            </w:pPr>
            <w:r w:rsidRPr="005E7FF0">
              <w:rPr>
                <w:rFonts w:ascii="Arial" w:hAnsi="Arial" w:cs="Arial"/>
                <w:b/>
                <w:bCs/>
                <w:sz w:val="20"/>
                <w:szCs w:val="20"/>
              </w:rPr>
              <w:t>Total</w:t>
            </w:r>
          </w:p>
        </w:tc>
        <w:tc>
          <w:tcPr>
            <w:tcW w:w="1350" w:type="dxa"/>
            <w:tcBorders>
              <w:top w:val="single" w:sz="4" w:space="0" w:color="auto"/>
              <w:bottom w:val="double" w:sz="4" w:space="0" w:color="auto"/>
            </w:tcBorders>
          </w:tcPr>
          <w:p w14:paraId="365EC7BF" w14:textId="77777777" w:rsidR="007D7EEA" w:rsidRPr="005E7FF0" w:rsidRDefault="007D7EEA">
            <w:pPr>
              <w:pStyle w:val="NoSpacing"/>
              <w:jc w:val="center"/>
              <w:rPr>
                <w:rFonts w:ascii="Arial" w:hAnsi="Arial" w:cs="Arial"/>
                <w:b/>
                <w:bCs/>
                <w:sz w:val="20"/>
                <w:szCs w:val="20"/>
              </w:rPr>
            </w:pPr>
          </w:p>
        </w:tc>
        <w:tc>
          <w:tcPr>
            <w:tcW w:w="1710" w:type="dxa"/>
            <w:tcBorders>
              <w:top w:val="single" w:sz="4" w:space="0" w:color="auto"/>
              <w:bottom w:val="double" w:sz="4" w:space="0" w:color="auto"/>
            </w:tcBorders>
          </w:tcPr>
          <w:p w14:paraId="6D21AABF" w14:textId="77777777" w:rsidR="007D7EEA" w:rsidRPr="005E7FF0" w:rsidRDefault="007D7EEA">
            <w:pPr>
              <w:pStyle w:val="NoSpacing"/>
              <w:jc w:val="center"/>
              <w:rPr>
                <w:rFonts w:ascii="Arial" w:hAnsi="Arial" w:cs="Arial"/>
                <w:sz w:val="20"/>
                <w:szCs w:val="20"/>
              </w:rPr>
            </w:pPr>
          </w:p>
        </w:tc>
        <w:tc>
          <w:tcPr>
            <w:tcW w:w="1676" w:type="dxa"/>
            <w:tcBorders>
              <w:top w:val="single" w:sz="4" w:space="0" w:color="auto"/>
              <w:bottom w:val="double" w:sz="4" w:space="0" w:color="auto"/>
            </w:tcBorders>
          </w:tcPr>
          <w:p w14:paraId="3FA062B7" w14:textId="77777777" w:rsidR="007D7EEA" w:rsidRPr="005E7FF0" w:rsidRDefault="007D7EEA">
            <w:pPr>
              <w:pStyle w:val="NoSpacing"/>
              <w:jc w:val="center"/>
              <w:rPr>
                <w:rFonts w:ascii="Arial" w:hAnsi="Arial" w:cs="Arial"/>
                <w:sz w:val="20"/>
                <w:szCs w:val="20"/>
              </w:rPr>
            </w:pPr>
          </w:p>
        </w:tc>
        <w:tc>
          <w:tcPr>
            <w:tcW w:w="1387" w:type="dxa"/>
            <w:tcBorders>
              <w:top w:val="single" w:sz="4" w:space="0" w:color="auto"/>
              <w:bottom w:val="double" w:sz="4" w:space="0" w:color="auto"/>
            </w:tcBorders>
          </w:tcPr>
          <w:p w14:paraId="06F7CDBE" w14:textId="77777777" w:rsidR="007D7EEA" w:rsidRPr="005E7FF0" w:rsidRDefault="00DD2A4D">
            <w:pPr>
              <w:pStyle w:val="NoSpacing"/>
              <w:jc w:val="right"/>
              <w:rPr>
                <w:rFonts w:ascii="Arial" w:hAnsi="Arial" w:cs="Arial"/>
                <w:sz w:val="20"/>
                <w:szCs w:val="20"/>
              </w:rPr>
            </w:pPr>
            <w:r w:rsidRPr="005E7FF0">
              <w:rPr>
                <w:rFonts w:ascii="Arial" w:hAnsi="Arial" w:cs="Arial"/>
                <w:b/>
                <w:bCs/>
                <w:sz w:val="20"/>
                <w:szCs w:val="20"/>
              </w:rPr>
              <w:t>P     8,701</w:t>
            </w:r>
          </w:p>
        </w:tc>
      </w:tr>
    </w:tbl>
    <w:p w14:paraId="7207A25F" w14:textId="77777777" w:rsidR="007D7EEA" w:rsidRPr="0096065B" w:rsidRDefault="007D7EEA">
      <w:pPr>
        <w:pStyle w:val="NoSpacing"/>
        <w:jc w:val="both"/>
        <w:rPr>
          <w:rFonts w:ascii="Arial" w:hAnsi="Arial" w:cs="Arial"/>
        </w:rPr>
      </w:pPr>
    </w:p>
    <w:p w14:paraId="29ECFAFE"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It should be noted that gasoline and fuel expenses shall only be allowed during official travel if government vehicle is used under any circumstances. Moreover, these expenses were not supported with certification justifying its necessity to the accomplishment of the purpose of travel. </w:t>
      </w:r>
    </w:p>
    <w:p w14:paraId="0365AC15" w14:textId="77777777" w:rsidR="007D7EEA" w:rsidRPr="0096065B" w:rsidRDefault="007D7EEA">
      <w:pPr>
        <w:pStyle w:val="NoSpacing"/>
        <w:jc w:val="both"/>
        <w:rPr>
          <w:rFonts w:ascii="Arial" w:hAnsi="Arial" w:cs="Arial"/>
          <w:b/>
        </w:rPr>
      </w:pPr>
    </w:p>
    <w:p w14:paraId="6E8751E1"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recommended that Management instruct the AD to ensure that no reimbursement of the cost of gasoline and fuel shall be allowed</w:t>
      </w:r>
      <w:r w:rsidRPr="0096065B">
        <w:rPr>
          <w:rFonts w:ascii="Arial" w:hAnsi="Arial" w:cs="Arial"/>
          <w:sz w:val="22"/>
          <w:szCs w:val="22"/>
        </w:rPr>
        <w:t xml:space="preserve"> </w:t>
      </w:r>
      <w:r w:rsidRPr="0096065B">
        <w:rPr>
          <w:rFonts w:ascii="Arial" w:hAnsi="Arial" w:cs="Arial"/>
          <w:b/>
          <w:sz w:val="22"/>
          <w:szCs w:val="22"/>
        </w:rPr>
        <w:t>if a private vehicle is used.</w:t>
      </w:r>
    </w:p>
    <w:p w14:paraId="585D240A" w14:textId="77777777" w:rsidR="007D7EEA" w:rsidRPr="0096065B" w:rsidRDefault="00DD2A4D">
      <w:pPr>
        <w:pStyle w:val="ListParagraph"/>
        <w:ind w:left="1170"/>
        <w:jc w:val="both"/>
        <w:rPr>
          <w:rFonts w:ascii="Arial" w:hAnsi="Arial" w:cs="Arial"/>
          <w:b/>
          <w:sz w:val="22"/>
          <w:szCs w:val="22"/>
        </w:rPr>
      </w:pPr>
      <w:r w:rsidRPr="0096065B">
        <w:rPr>
          <w:rFonts w:ascii="Arial" w:hAnsi="Arial" w:cs="Arial"/>
          <w:b/>
          <w:sz w:val="22"/>
          <w:szCs w:val="22"/>
        </w:rPr>
        <w:t xml:space="preserve"> </w:t>
      </w:r>
    </w:p>
    <w:p w14:paraId="083C84DA"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The Management commented that the cash advances pertaining to the official travels made by the officers and employees in General Santos City, Iloilo City, </w:t>
      </w:r>
      <w:proofErr w:type="spellStart"/>
      <w:r w:rsidRPr="0096065B">
        <w:rPr>
          <w:rFonts w:ascii="Arial" w:hAnsi="Arial" w:cs="Arial"/>
          <w:sz w:val="22"/>
          <w:szCs w:val="22"/>
        </w:rPr>
        <w:t>Calapan</w:t>
      </w:r>
      <w:proofErr w:type="spellEnd"/>
      <w:r w:rsidRPr="0096065B">
        <w:rPr>
          <w:rFonts w:ascii="Arial" w:hAnsi="Arial" w:cs="Arial"/>
          <w:sz w:val="22"/>
          <w:szCs w:val="22"/>
        </w:rPr>
        <w:t xml:space="preserve"> City and </w:t>
      </w:r>
      <w:proofErr w:type="spellStart"/>
      <w:r w:rsidRPr="0096065B">
        <w:rPr>
          <w:rFonts w:ascii="Arial" w:hAnsi="Arial" w:cs="Arial"/>
          <w:sz w:val="22"/>
          <w:szCs w:val="22"/>
        </w:rPr>
        <w:t>Bansud</w:t>
      </w:r>
      <w:proofErr w:type="spellEnd"/>
      <w:r w:rsidRPr="0096065B">
        <w:rPr>
          <w:rFonts w:ascii="Arial" w:hAnsi="Arial" w:cs="Arial"/>
          <w:sz w:val="22"/>
          <w:szCs w:val="22"/>
        </w:rPr>
        <w:t>, Oriental Mindoro for the period April to November 2022 were all processed in accordance with the existing internal policy of AFPRSBS dated March 25, 2003 and are all deemed necessary.</w:t>
      </w:r>
    </w:p>
    <w:p w14:paraId="14C16448" w14:textId="77777777" w:rsidR="007D7EEA" w:rsidRPr="0096065B" w:rsidRDefault="007D7EEA">
      <w:pPr>
        <w:pStyle w:val="NormalWeb"/>
        <w:spacing w:before="0" w:beforeAutospacing="0" w:after="0" w:afterAutospacing="0"/>
        <w:jc w:val="both"/>
        <w:rPr>
          <w:rFonts w:ascii="Arial" w:hAnsi="Arial" w:cs="Arial"/>
          <w:sz w:val="22"/>
          <w:szCs w:val="22"/>
        </w:rPr>
      </w:pPr>
    </w:p>
    <w:p w14:paraId="5A30E3C3" w14:textId="77777777" w:rsidR="007D7EEA" w:rsidRPr="0096065B" w:rsidRDefault="00DD2A4D">
      <w:pPr>
        <w:pStyle w:val="NoSpacing"/>
        <w:ind w:left="576"/>
        <w:jc w:val="both"/>
        <w:rPr>
          <w:rFonts w:ascii="Arial" w:hAnsi="Arial" w:cs="Arial"/>
          <w:i/>
        </w:rPr>
      </w:pPr>
      <w:r w:rsidRPr="0096065B">
        <w:rPr>
          <w:rFonts w:ascii="Arial" w:hAnsi="Arial" w:cs="Arial"/>
          <w:i/>
        </w:rPr>
        <w:t>Inclusion of payment for tips and/or gratuities in the amount of P2,883 is unnecessary expenditures under COA Circular No. 2012-003 dated October 29, 2012.</w:t>
      </w:r>
    </w:p>
    <w:p w14:paraId="209EA63B" w14:textId="77777777" w:rsidR="007D7EEA" w:rsidRPr="0096065B" w:rsidRDefault="007D7EEA">
      <w:pPr>
        <w:spacing w:after="0" w:line="240" w:lineRule="auto"/>
        <w:jc w:val="both"/>
        <w:rPr>
          <w:rFonts w:ascii="Arial" w:hAnsi="Arial" w:cs="Arial"/>
        </w:rPr>
      </w:pPr>
    </w:p>
    <w:p w14:paraId="015BD89D"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COA Circular No. 2012-003 dated October 29, 2012 provides the Guidelines for the Prevention and Disallowance of Irregular, Unnecessary, Excessive, Extravagant and Unconscionable Expenditures, and cited situational cases declared as such. </w:t>
      </w:r>
    </w:p>
    <w:p w14:paraId="3B91B4D6" w14:textId="77777777" w:rsidR="007D7EEA" w:rsidRPr="0096065B" w:rsidRDefault="007D7EEA">
      <w:pPr>
        <w:pStyle w:val="NormalWeb"/>
        <w:spacing w:before="0" w:beforeAutospacing="0" w:after="0" w:afterAutospacing="0"/>
        <w:ind w:left="1276"/>
        <w:jc w:val="both"/>
        <w:rPr>
          <w:rFonts w:ascii="Arial" w:hAnsi="Arial" w:cs="Arial"/>
          <w:sz w:val="22"/>
          <w:szCs w:val="22"/>
        </w:rPr>
      </w:pPr>
    </w:p>
    <w:p w14:paraId="5FD33941"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Section 4.0 of the same COA Circular provides that, the term “unnecessary expenditures” pertain to expenditures which could not pass the test of prudence or the diligence of a good father of a family, thereby denoting non-responsiveness to the exigencies of the service.  Unnecessary expenditures are those not supportive of the implementation of the objectives and mission of the Agency relative to the nature of its operation.  This would also include </w:t>
      </w:r>
      <w:r w:rsidRPr="0096065B">
        <w:rPr>
          <w:rFonts w:ascii="Arial" w:hAnsi="Arial" w:cs="Arial"/>
          <w:sz w:val="22"/>
          <w:szCs w:val="22"/>
        </w:rPr>
        <w:lastRenderedPageBreak/>
        <w:t>incurrence of expenditure not dictated by the demands of the good government, and those the utility of which cannot be ascertained at a specific time.  An expenditure that is not essential or that expenditure which can be dispensed with without loss or damage to properties is considered unnecessary.  The mission and thrust of Agency incurring the expenditure must be considered in determining whether or not the expenditure is necessary.</w:t>
      </w:r>
    </w:p>
    <w:p w14:paraId="45484ACE" w14:textId="77777777" w:rsidR="007D7EEA" w:rsidRPr="0096065B" w:rsidRDefault="007D7EEA">
      <w:pPr>
        <w:pStyle w:val="NormalWeb"/>
        <w:spacing w:before="0" w:beforeAutospacing="0" w:after="0" w:afterAutospacing="0"/>
        <w:ind w:left="792"/>
        <w:jc w:val="both"/>
        <w:rPr>
          <w:rFonts w:ascii="Arial" w:hAnsi="Arial" w:cs="Arial"/>
          <w:sz w:val="22"/>
          <w:szCs w:val="22"/>
        </w:rPr>
      </w:pPr>
    </w:p>
    <w:p w14:paraId="016A92A9"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Review of the liquidation reports of the subject cash advances including the journal entries for the expenses incurred during travel revealed that a total of P2,883 was included and paid for tips and gratuities to drivers, hotel and restaurants as presented in the breakdown of expenses thereto.  These expenses were charged under Cost of Real Estate – Travel/ Transportation and Miscellaneous expenses accounts.</w:t>
      </w:r>
    </w:p>
    <w:p w14:paraId="70891E5B" w14:textId="77777777" w:rsidR="007D7EEA" w:rsidRPr="0096065B" w:rsidRDefault="007D7EEA">
      <w:pPr>
        <w:pStyle w:val="NormalWeb"/>
        <w:spacing w:before="0" w:beforeAutospacing="0" w:after="0" w:afterAutospacing="0"/>
        <w:ind w:left="792"/>
        <w:jc w:val="both"/>
        <w:rPr>
          <w:rFonts w:ascii="Arial" w:hAnsi="Arial" w:cs="Arial"/>
          <w:sz w:val="22"/>
          <w:szCs w:val="22"/>
        </w:rPr>
      </w:pPr>
    </w:p>
    <w:p w14:paraId="575E7568"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Audit Team would like to emphasize that tips and gratuities are voluntary and freely given for the services rendered apart from the amount due.  These amounts should have come from the personal pockets of the officials or employees concerned and not from the funds of the government.  As this incurrence of expense is contrary to the foregoing Circular, claims for unnecessary tips and gratuities during official travel shall not be allowed.</w:t>
      </w:r>
    </w:p>
    <w:p w14:paraId="5DCAEED2" w14:textId="77777777" w:rsidR="007D7EEA" w:rsidRPr="0096065B" w:rsidRDefault="007D7EEA">
      <w:pPr>
        <w:spacing w:after="0" w:line="240" w:lineRule="auto"/>
        <w:ind w:firstLine="720"/>
        <w:jc w:val="both"/>
        <w:rPr>
          <w:rFonts w:ascii="Arial" w:hAnsi="Arial" w:cs="Arial"/>
          <w:b/>
        </w:rPr>
      </w:pPr>
    </w:p>
    <w:p w14:paraId="4D38D889"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recommended that Management:</w:t>
      </w:r>
    </w:p>
    <w:p w14:paraId="18D7EF57" w14:textId="77777777" w:rsidR="007D7EEA" w:rsidRPr="0096065B" w:rsidRDefault="007D7EEA">
      <w:pPr>
        <w:spacing w:after="0" w:line="240" w:lineRule="auto"/>
        <w:ind w:firstLine="720"/>
        <w:jc w:val="both"/>
        <w:rPr>
          <w:rFonts w:ascii="Arial" w:hAnsi="Arial" w:cs="Arial"/>
          <w:b/>
        </w:rPr>
      </w:pPr>
    </w:p>
    <w:p w14:paraId="2F05A1D7" w14:textId="77777777" w:rsidR="007D7EEA" w:rsidRPr="0096065B" w:rsidRDefault="00DD2A4D" w:rsidP="002143A3">
      <w:pPr>
        <w:pStyle w:val="ListParagraph"/>
        <w:numPr>
          <w:ilvl w:val="0"/>
          <w:numId w:val="60"/>
        </w:numPr>
        <w:ind w:left="1656"/>
        <w:contextualSpacing/>
        <w:jc w:val="both"/>
        <w:rPr>
          <w:rFonts w:ascii="Arial" w:hAnsi="Arial" w:cs="Arial"/>
          <w:b/>
          <w:sz w:val="22"/>
          <w:szCs w:val="22"/>
        </w:rPr>
      </w:pPr>
      <w:r w:rsidRPr="0096065B">
        <w:rPr>
          <w:rFonts w:ascii="Arial" w:hAnsi="Arial" w:cs="Arial"/>
          <w:b/>
          <w:sz w:val="22"/>
          <w:szCs w:val="22"/>
        </w:rPr>
        <w:t xml:space="preserve">Require the concerned employees/officers to refund the amount of P2,883 which are considered unnecessary expenditures under COA Circular No. 2012-003 dated October 29, 2012; and </w:t>
      </w:r>
    </w:p>
    <w:p w14:paraId="061E88A8" w14:textId="77777777" w:rsidR="007D7EEA" w:rsidRPr="0096065B" w:rsidRDefault="007D7EEA">
      <w:pPr>
        <w:pStyle w:val="ListParagraph"/>
        <w:ind w:left="1080"/>
        <w:jc w:val="both"/>
        <w:rPr>
          <w:rFonts w:ascii="Arial" w:hAnsi="Arial" w:cs="Arial"/>
          <w:b/>
          <w:sz w:val="22"/>
          <w:szCs w:val="22"/>
        </w:rPr>
      </w:pPr>
    </w:p>
    <w:p w14:paraId="5C6D3673" w14:textId="77777777" w:rsidR="007D7EEA" w:rsidRPr="0096065B" w:rsidRDefault="00DD2A4D" w:rsidP="002143A3">
      <w:pPr>
        <w:pStyle w:val="ListParagraph"/>
        <w:numPr>
          <w:ilvl w:val="0"/>
          <w:numId w:val="60"/>
        </w:numPr>
        <w:ind w:left="1656"/>
        <w:contextualSpacing/>
        <w:jc w:val="both"/>
        <w:rPr>
          <w:rFonts w:ascii="Arial" w:hAnsi="Arial" w:cs="Arial"/>
          <w:b/>
          <w:sz w:val="22"/>
          <w:szCs w:val="22"/>
        </w:rPr>
      </w:pPr>
      <w:r w:rsidRPr="0096065B">
        <w:rPr>
          <w:rFonts w:ascii="Arial" w:hAnsi="Arial" w:cs="Arial"/>
          <w:b/>
          <w:sz w:val="22"/>
          <w:szCs w:val="22"/>
        </w:rPr>
        <w:t>Instruct the AD to ensure that only valid and authorized allowable expenses are included in the Liquidation Report of Cash Advances granted for travelling expenses to avoid the incurrence of audit suspension and/or disallowances.</w:t>
      </w:r>
    </w:p>
    <w:p w14:paraId="64CEB410" w14:textId="77777777" w:rsidR="007D7EEA" w:rsidRPr="0096065B" w:rsidRDefault="007D7EEA">
      <w:pPr>
        <w:pStyle w:val="NormalWeb"/>
        <w:spacing w:before="0" w:beforeAutospacing="0" w:after="0" w:afterAutospacing="0"/>
        <w:ind w:left="360"/>
        <w:jc w:val="both"/>
        <w:rPr>
          <w:rFonts w:ascii="Arial" w:hAnsi="Arial" w:cs="Arial"/>
          <w:b/>
          <w:sz w:val="22"/>
          <w:szCs w:val="22"/>
        </w:rPr>
      </w:pPr>
    </w:p>
    <w:p w14:paraId="68DEC54B"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Management committed to ensure that only allowable reimbursements are considered in the grant and liquidation of succeeding cash advances. Furthermore, the AFPRSBS will stop the inclusion of tips and gratuities in the reimbursement and/or claim for official travels in the future.</w:t>
      </w:r>
    </w:p>
    <w:p w14:paraId="4543B546" w14:textId="77777777" w:rsidR="007D7EEA" w:rsidRPr="0096065B" w:rsidRDefault="007D7EEA">
      <w:pPr>
        <w:pStyle w:val="NormalWeb"/>
        <w:spacing w:before="0" w:beforeAutospacing="0" w:after="0" w:afterAutospacing="0"/>
        <w:ind w:left="1260"/>
        <w:jc w:val="both"/>
        <w:rPr>
          <w:rFonts w:ascii="Arial" w:hAnsi="Arial" w:cs="Arial"/>
          <w:sz w:val="22"/>
          <w:szCs w:val="22"/>
        </w:rPr>
      </w:pPr>
    </w:p>
    <w:p w14:paraId="518E0EE7" w14:textId="77777777" w:rsidR="007D7EEA" w:rsidRPr="0096065B" w:rsidRDefault="00DD2A4D" w:rsidP="0022195C">
      <w:pPr>
        <w:pStyle w:val="NormalWeb"/>
        <w:numPr>
          <w:ilvl w:val="0"/>
          <w:numId w:val="98"/>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As a rejoinder, the Audit Team will closely monitor and evaluate Management’s compliance on the audit recommendations.</w:t>
      </w:r>
    </w:p>
    <w:p w14:paraId="51DE90E7" w14:textId="77777777" w:rsidR="007D7EEA" w:rsidRPr="0096065B" w:rsidRDefault="007D7EEA">
      <w:pPr>
        <w:pStyle w:val="NormalWeb"/>
        <w:spacing w:before="0" w:beforeAutospacing="0" w:after="0" w:afterAutospacing="0"/>
        <w:jc w:val="both"/>
        <w:rPr>
          <w:rFonts w:ascii="Arial" w:hAnsi="Arial" w:cs="Arial"/>
          <w:sz w:val="22"/>
          <w:szCs w:val="22"/>
        </w:rPr>
      </w:pPr>
    </w:p>
    <w:p w14:paraId="6269D7B7" w14:textId="77777777" w:rsidR="007D7EEA" w:rsidRPr="0096065B" w:rsidRDefault="007D7EEA">
      <w:pPr>
        <w:pStyle w:val="NormalWeb"/>
        <w:spacing w:before="0" w:beforeAutospacing="0" w:after="0" w:afterAutospacing="0"/>
        <w:ind w:left="360"/>
        <w:jc w:val="both"/>
        <w:rPr>
          <w:rFonts w:ascii="Arial" w:hAnsi="Arial" w:cs="Arial"/>
          <w:b/>
          <w:sz w:val="22"/>
          <w:szCs w:val="22"/>
        </w:rPr>
      </w:pPr>
    </w:p>
    <w:p w14:paraId="1185739B"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sz w:val="22"/>
          <w:szCs w:val="22"/>
        </w:rPr>
        <w:t>Procurements for the construction of electrical room and connections, and services of a licensed electrical engineer amounting to P7.853 million and P40,000, respectively, were included in the 2021 AFPRSBS’ Supplemental Corporate Operating Budget (COB) but not included in the AFPRSBS’ Annual Procurement Plan (APP) for CY 2022, contrary to Section 7.2 of the 2016 Revised IRR of RA No. 9184.</w:t>
      </w:r>
    </w:p>
    <w:p w14:paraId="47B0B8E8" w14:textId="38C23B17" w:rsidR="007D7EEA" w:rsidRDefault="007D7EEA">
      <w:pPr>
        <w:pStyle w:val="NoSpacing"/>
        <w:jc w:val="both"/>
        <w:rPr>
          <w:rFonts w:ascii="Arial" w:hAnsi="Arial" w:cs="Arial"/>
          <w:b/>
        </w:rPr>
      </w:pPr>
    </w:p>
    <w:p w14:paraId="0E61C11E" w14:textId="573A549E" w:rsidR="000966CD" w:rsidRDefault="000966CD">
      <w:pPr>
        <w:pStyle w:val="NoSpacing"/>
        <w:jc w:val="both"/>
        <w:rPr>
          <w:rFonts w:ascii="Arial" w:hAnsi="Arial" w:cs="Arial"/>
          <w:b/>
        </w:rPr>
      </w:pPr>
    </w:p>
    <w:p w14:paraId="73CD1E7E" w14:textId="77777777" w:rsidR="000966CD" w:rsidRPr="0096065B" w:rsidRDefault="000966CD">
      <w:pPr>
        <w:pStyle w:val="NoSpacing"/>
        <w:jc w:val="both"/>
        <w:rPr>
          <w:rFonts w:ascii="Arial" w:hAnsi="Arial" w:cs="Arial"/>
          <w:b/>
        </w:rPr>
      </w:pPr>
    </w:p>
    <w:p w14:paraId="61B26D94"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lastRenderedPageBreak/>
        <w:t>Section 7.2 of the 2016 Revised IRR of RA No. 9184 provides:</w:t>
      </w:r>
    </w:p>
    <w:p w14:paraId="1522A3AE" w14:textId="77777777" w:rsidR="007D7EEA" w:rsidRPr="0096065B" w:rsidRDefault="007D7EEA">
      <w:pPr>
        <w:pStyle w:val="NoSpacing"/>
        <w:ind w:firstLine="720"/>
        <w:jc w:val="both"/>
        <w:rPr>
          <w:rFonts w:ascii="Arial" w:hAnsi="Arial" w:cs="Arial"/>
          <w:i/>
        </w:rPr>
      </w:pPr>
    </w:p>
    <w:p w14:paraId="6CEE06AD" w14:textId="1F17B399" w:rsidR="007D7EEA" w:rsidRDefault="00DD2A4D">
      <w:pPr>
        <w:pStyle w:val="NoSpacing"/>
        <w:tabs>
          <w:tab w:val="left" w:pos="8550"/>
        </w:tabs>
        <w:ind w:left="1728" w:right="432"/>
        <w:jc w:val="both"/>
        <w:rPr>
          <w:rFonts w:ascii="Arial" w:hAnsi="Arial" w:cs="Arial"/>
        </w:rPr>
      </w:pPr>
      <w:r w:rsidRPr="0096065B">
        <w:rPr>
          <w:rFonts w:ascii="Arial" w:hAnsi="Arial" w:cs="Arial"/>
          <w:i/>
        </w:rPr>
        <w:t xml:space="preserve">No procurement shall be undertaken unless it is in accordance with the approved APP, including approved changes thereto. The APP must be consistent with the duly approved yearly budget of the Procuring Entity and shall bear the approval of the </w:t>
      </w:r>
      <w:proofErr w:type="spellStart"/>
      <w:r w:rsidRPr="0096065B">
        <w:rPr>
          <w:rFonts w:ascii="Arial" w:hAnsi="Arial" w:cs="Arial"/>
          <w:i/>
        </w:rPr>
        <w:t>HoPE</w:t>
      </w:r>
      <w:proofErr w:type="spellEnd"/>
      <w:r w:rsidRPr="0096065B">
        <w:rPr>
          <w:rFonts w:ascii="Arial" w:hAnsi="Arial" w:cs="Arial"/>
          <w:i/>
        </w:rPr>
        <w:t xml:space="preserve"> or</w:t>
      </w:r>
      <w:r w:rsidRPr="0096065B">
        <w:rPr>
          <w:rFonts w:ascii="Arial" w:hAnsi="Arial" w:cs="Arial"/>
        </w:rPr>
        <w:t xml:space="preserve"> second-ranking official designated by the </w:t>
      </w:r>
      <w:proofErr w:type="spellStart"/>
      <w:r w:rsidRPr="0096065B">
        <w:rPr>
          <w:rFonts w:ascii="Arial" w:hAnsi="Arial" w:cs="Arial"/>
        </w:rPr>
        <w:t>HoPE</w:t>
      </w:r>
      <w:proofErr w:type="spellEnd"/>
      <w:r w:rsidRPr="0096065B">
        <w:rPr>
          <w:rFonts w:ascii="Arial" w:hAnsi="Arial" w:cs="Arial"/>
        </w:rPr>
        <w:t xml:space="preserve"> to act on his behalf.</w:t>
      </w:r>
    </w:p>
    <w:p w14:paraId="6B51B6BE" w14:textId="77777777" w:rsidR="000966CD" w:rsidRPr="0096065B" w:rsidRDefault="000966CD">
      <w:pPr>
        <w:pStyle w:val="NoSpacing"/>
        <w:tabs>
          <w:tab w:val="left" w:pos="8550"/>
        </w:tabs>
        <w:ind w:left="1728" w:right="432"/>
        <w:jc w:val="both"/>
        <w:rPr>
          <w:rFonts w:ascii="Arial" w:hAnsi="Arial" w:cs="Arial"/>
          <w:i/>
        </w:rPr>
      </w:pPr>
    </w:p>
    <w:p w14:paraId="784D4F16"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The APP is the document that consolidates the various Project Procurement Management Plans submitted by the various Procurement Management Office and end-user units within the Procuring Entity.  It reflects the entirety of the procurement activities that will be undertaken by the Procuring Entity within the CY which should be consistent with the duly approved COB.</w:t>
      </w:r>
    </w:p>
    <w:p w14:paraId="48E0081D" w14:textId="77777777" w:rsidR="007D7EEA" w:rsidRPr="0096065B" w:rsidRDefault="007D7EEA">
      <w:pPr>
        <w:pStyle w:val="NoSpacing"/>
        <w:jc w:val="both"/>
        <w:rPr>
          <w:rFonts w:ascii="Arial" w:hAnsi="Arial" w:cs="Arial"/>
        </w:rPr>
      </w:pPr>
    </w:p>
    <w:p w14:paraId="55A41A86" w14:textId="38DC7FC6"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For CY 2022, the AFPRSBS has undertaken procurement for the construction of electrical room and connection in view of the road widening project of the National Government particularly the widening of the </w:t>
      </w:r>
      <w:proofErr w:type="spellStart"/>
      <w:r w:rsidRPr="0096065B">
        <w:rPr>
          <w:rFonts w:ascii="Arial" w:hAnsi="Arial" w:cs="Arial"/>
          <w:sz w:val="22"/>
          <w:szCs w:val="22"/>
        </w:rPr>
        <w:t>Boni</w:t>
      </w:r>
      <w:proofErr w:type="spellEnd"/>
      <w:r w:rsidRPr="0096065B">
        <w:rPr>
          <w:rFonts w:ascii="Arial" w:hAnsi="Arial" w:cs="Arial"/>
          <w:sz w:val="22"/>
          <w:szCs w:val="22"/>
        </w:rPr>
        <w:t xml:space="preserve"> Serrano Avenue which affected the electrical room of AFPRSBS. In relation thereto, the AFPRSBS also contracted the services of a licensed electrical engineer to ensure that the </w:t>
      </w:r>
      <w:r w:rsidR="000C5F71">
        <w:rPr>
          <w:rFonts w:ascii="Arial" w:hAnsi="Arial" w:cs="Arial"/>
          <w:sz w:val="22"/>
          <w:szCs w:val="22"/>
        </w:rPr>
        <w:t>AFPRSBS</w:t>
      </w:r>
      <w:r w:rsidRPr="0096065B">
        <w:rPr>
          <w:rFonts w:ascii="Arial" w:hAnsi="Arial" w:cs="Arial"/>
          <w:sz w:val="22"/>
          <w:szCs w:val="22"/>
        </w:rPr>
        <w:t xml:space="preserve">’s load requirements will be met by the electrical specifications of the replacement structures. </w:t>
      </w:r>
    </w:p>
    <w:p w14:paraId="139A664B" w14:textId="77777777" w:rsidR="007D7EEA" w:rsidRPr="0096065B" w:rsidRDefault="007D7EEA">
      <w:pPr>
        <w:pStyle w:val="NoSpacing"/>
        <w:jc w:val="both"/>
        <w:rPr>
          <w:rFonts w:ascii="Arial" w:hAnsi="Arial" w:cs="Arial"/>
        </w:rPr>
      </w:pPr>
    </w:p>
    <w:p w14:paraId="2552F608"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In the auditorial review of the awarded contracts, the Audit Team noted that the procurement for the construction of electrical room and connections was undertaken through competitive bidding with a contract price of P7.853 million, while procurement for the services of a licensed engineer was done through direct contracting pursuant to Section 5.0 of the 2016 Revised IRR of RA No. 9184 in the amount of P40,000. However, said transactions were not included in the approved APP for CY 2022 nor a Supplemental APP was prepared to incorporate the said projects.</w:t>
      </w:r>
    </w:p>
    <w:p w14:paraId="7AB55FE1" w14:textId="77777777" w:rsidR="007D7EEA" w:rsidRPr="0096065B" w:rsidRDefault="007D7EEA">
      <w:pPr>
        <w:pStyle w:val="NoSpacing"/>
        <w:jc w:val="both"/>
        <w:rPr>
          <w:rFonts w:ascii="Arial" w:hAnsi="Arial" w:cs="Arial"/>
        </w:rPr>
      </w:pPr>
    </w:p>
    <w:p w14:paraId="1B2C25D0"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It is noteworthy that while both procurements were within the AFPRSBS’ approved COB for CY 2022 and with the concurrence of the BOL, the 2016 Revised IRR of RA No. 9184 specifically provides that no procurement shall be undertaken unless it is in accordance with the approved APP, including approved changes thereto. Hence, it is mandatory that all procurement conducted by a procuring entity must be in accordance with the approved APP and any approved changes thereto.</w:t>
      </w:r>
    </w:p>
    <w:p w14:paraId="07B365C5" w14:textId="77777777" w:rsidR="007D7EEA" w:rsidRPr="0096065B" w:rsidRDefault="007D7EEA">
      <w:pPr>
        <w:pStyle w:val="NoSpacing"/>
        <w:jc w:val="both"/>
        <w:rPr>
          <w:rFonts w:ascii="Arial" w:hAnsi="Arial" w:cs="Arial"/>
        </w:rPr>
      </w:pPr>
    </w:p>
    <w:p w14:paraId="0853FBCE" w14:textId="77777777" w:rsidR="007D7EEA" w:rsidRPr="0096065B" w:rsidRDefault="00DD2A4D" w:rsidP="0022195C">
      <w:pPr>
        <w:pStyle w:val="NormalWeb"/>
        <w:numPr>
          <w:ilvl w:val="0"/>
          <w:numId w:val="99"/>
        </w:numPr>
        <w:spacing w:before="0" w:beforeAutospacing="0" w:after="0" w:afterAutospacing="0"/>
        <w:ind w:left="1267" w:hanging="691"/>
        <w:jc w:val="both"/>
        <w:rPr>
          <w:rFonts w:ascii="Arial" w:hAnsi="Arial" w:cs="Arial"/>
          <w:b/>
          <w:sz w:val="22"/>
          <w:szCs w:val="22"/>
        </w:rPr>
      </w:pPr>
      <w:r w:rsidRPr="0096065B">
        <w:rPr>
          <w:rFonts w:ascii="Arial" w:hAnsi="Arial" w:cs="Arial"/>
          <w:b/>
          <w:sz w:val="22"/>
          <w:szCs w:val="22"/>
        </w:rPr>
        <w:t>We recommended and Management agreed to ensure that all succeeding projects to be implemented by the AFPRSBS are included in the approved APP to comply with Section 7.2 of the 2016 Revised IRR of RA No. 9184.</w:t>
      </w:r>
    </w:p>
    <w:p w14:paraId="18EFBB05" w14:textId="77777777" w:rsidR="007D7EEA" w:rsidRPr="0096065B" w:rsidRDefault="007D7EEA">
      <w:pPr>
        <w:pStyle w:val="ListParagraph"/>
        <w:ind w:left="1080"/>
        <w:jc w:val="both"/>
        <w:rPr>
          <w:rFonts w:ascii="Arial" w:hAnsi="Arial" w:cs="Arial"/>
          <w:b/>
          <w:sz w:val="22"/>
          <w:szCs w:val="22"/>
        </w:rPr>
      </w:pPr>
    </w:p>
    <w:p w14:paraId="3FE67699" w14:textId="77777777" w:rsidR="007D7EEA" w:rsidRPr="0096065B" w:rsidRDefault="007D7EEA">
      <w:pPr>
        <w:pStyle w:val="ListParagraph"/>
        <w:ind w:left="1080"/>
        <w:jc w:val="both"/>
        <w:rPr>
          <w:rFonts w:ascii="Arial" w:hAnsi="Arial" w:cs="Arial"/>
          <w:b/>
          <w:sz w:val="22"/>
          <w:szCs w:val="22"/>
        </w:rPr>
      </w:pPr>
    </w:p>
    <w:p w14:paraId="0760A5E0"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bCs/>
          <w:sz w:val="22"/>
          <w:szCs w:val="22"/>
        </w:rPr>
        <w:t>Compliance</w:t>
      </w:r>
      <w:r w:rsidRPr="0096065B">
        <w:rPr>
          <w:rFonts w:ascii="Arial" w:hAnsi="Arial" w:cs="Arial"/>
          <w:b/>
          <w:sz w:val="22"/>
          <w:szCs w:val="22"/>
        </w:rPr>
        <w:t xml:space="preserve"> with Tax Laws</w:t>
      </w:r>
    </w:p>
    <w:p w14:paraId="21C83122" w14:textId="77777777" w:rsidR="007D7EEA" w:rsidRPr="0096065B" w:rsidRDefault="007D7EEA">
      <w:pPr>
        <w:pStyle w:val="ListParagraph"/>
        <w:ind w:left="0"/>
        <w:jc w:val="both"/>
        <w:rPr>
          <w:rFonts w:ascii="Arial" w:hAnsi="Arial" w:cs="Arial"/>
          <w:b/>
          <w:i/>
          <w:sz w:val="22"/>
          <w:szCs w:val="22"/>
        </w:rPr>
      </w:pPr>
    </w:p>
    <w:p w14:paraId="1811A604" w14:textId="7E1EA65E" w:rsidR="007D7EEA" w:rsidRPr="0096065B" w:rsidRDefault="00DD2A4D">
      <w:pPr>
        <w:pStyle w:val="NormalWeb"/>
        <w:spacing w:before="0" w:beforeAutospacing="0" w:after="0" w:afterAutospacing="0"/>
        <w:ind w:left="576"/>
        <w:jc w:val="both"/>
        <w:rPr>
          <w:rFonts w:ascii="Arial" w:hAnsi="Arial" w:cs="Arial"/>
          <w:sz w:val="22"/>
          <w:szCs w:val="22"/>
        </w:rPr>
      </w:pPr>
      <w:r w:rsidRPr="0096065B">
        <w:rPr>
          <w:rFonts w:ascii="Arial" w:hAnsi="Arial" w:cs="Arial"/>
          <w:sz w:val="22"/>
          <w:szCs w:val="22"/>
        </w:rPr>
        <w:t xml:space="preserve">In compliance with the requirements set forth under Revenue Regulation No. 15-2010, the information on taxes, duties and license fees paid or accrued during the taxable year 2022 are disclosed under Note 28 to </w:t>
      </w:r>
      <w:r w:rsidR="004F0733" w:rsidRPr="0096065B">
        <w:rPr>
          <w:rFonts w:ascii="Arial" w:hAnsi="Arial" w:cs="Arial"/>
          <w:sz w:val="22"/>
          <w:szCs w:val="22"/>
        </w:rPr>
        <w:t>the FS</w:t>
      </w:r>
      <w:r w:rsidRPr="0096065B">
        <w:rPr>
          <w:rFonts w:ascii="Arial" w:hAnsi="Arial" w:cs="Arial"/>
          <w:sz w:val="22"/>
          <w:szCs w:val="22"/>
        </w:rPr>
        <w:t xml:space="preserve">. The taxes from income, withholding and other sources amounting to P139.735 million were paid in </w:t>
      </w:r>
      <w:r w:rsidRPr="0096065B">
        <w:rPr>
          <w:rFonts w:ascii="Arial" w:hAnsi="Arial" w:cs="Arial"/>
          <w:sz w:val="22"/>
          <w:szCs w:val="22"/>
        </w:rPr>
        <w:lastRenderedPageBreak/>
        <w:t>accordance with the deadlines for payment/remittance of taxes prescribed by the National Internal Revenue Code.</w:t>
      </w:r>
    </w:p>
    <w:p w14:paraId="25E7B826" w14:textId="77777777" w:rsidR="0022195C" w:rsidRPr="0096065B" w:rsidRDefault="0022195C">
      <w:pPr>
        <w:pStyle w:val="NormalWeb"/>
        <w:spacing w:before="0" w:beforeAutospacing="0" w:after="0" w:afterAutospacing="0"/>
        <w:ind w:left="540"/>
        <w:jc w:val="both"/>
        <w:rPr>
          <w:rFonts w:ascii="Arial" w:hAnsi="Arial" w:cs="Arial"/>
          <w:b/>
          <w:sz w:val="22"/>
          <w:szCs w:val="22"/>
        </w:rPr>
      </w:pPr>
    </w:p>
    <w:p w14:paraId="340EDC16" w14:textId="77777777" w:rsidR="007D7EEA" w:rsidRPr="0096065B" w:rsidRDefault="007D7EEA">
      <w:pPr>
        <w:pStyle w:val="NormalWeb"/>
        <w:spacing w:before="0" w:beforeAutospacing="0" w:after="0" w:afterAutospacing="0"/>
        <w:ind w:left="540"/>
        <w:jc w:val="both"/>
        <w:rPr>
          <w:rFonts w:ascii="Arial" w:hAnsi="Arial" w:cs="Arial"/>
          <w:b/>
          <w:sz w:val="22"/>
          <w:szCs w:val="22"/>
        </w:rPr>
      </w:pPr>
    </w:p>
    <w:p w14:paraId="391DFB81"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bCs/>
          <w:sz w:val="22"/>
          <w:szCs w:val="22"/>
        </w:rPr>
        <w:t>Social</w:t>
      </w:r>
      <w:r w:rsidRPr="0096065B">
        <w:rPr>
          <w:rFonts w:ascii="Arial" w:hAnsi="Arial" w:cs="Arial"/>
          <w:b/>
          <w:sz w:val="22"/>
          <w:szCs w:val="22"/>
        </w:rPr>
        <w:t xml:space="preserve"> Security System (SSS) Contributions and Remittances</w:t>
      </w:r>
    </w:p>
    <w:p w14:paraId="4E465097" w14:textId="77777777" w:rsidR="007D7EEA" w:rsidRPr="0096065B" w:rsidRDefault="007D7EEA">
      <w:pPr>
        <w:pStyle w:val="ListParagraph"/>
        <w:ind w:left="0"/>
        <w:jc w:val="both"/>
        <w:rPr>
          <w:rFonts w:ascii="Arial" w:hAnsi="Arial" w:cs="Arial"/>
          <w:b/>
          <w:i/>
          <w:sz w:val="22"/>
          <w:szCs w:val="22"/>
        </w:rPr>
      </w:pPr>
    </w:p>
    <w:p w14:paraId="7A8E8AB1" w14:textId="77777777" w:rsidR="007D7EEA" w:rsidRPr="0096065B" w:rsidRDefault="00DD2A4D">
      <w:pPr>
        <w:pStyle w:val="NormalWeb"/>
        <w:spacing w:before="0" w:beforeAutospacing="0" w:after="0" w:afterAutospacing="0"/>
        <w:ind w:left="576"/>
        <w:jc w:val="both"/>
        <w:rPr>
          <w:rFonts w:ascii="Arial" w:hAnsi="Arial" w:cs="Arial"/>
          <w:sz w:val="22"/>
          <w:szCs w:val="22"/>
        </w:rPr>
      </w:pPr>
      <w:r w:rsidRPr="0096065B">
        <w:rPr>
          <w:rFonts w:ascii="Arial" w:hAnsi="Arial" w:cs="Arial"/>
          <w:sz w:val="22"/>
          <w:szCs w:val="22"/>
        </w:rPr>
        <w:t>In 2022, AFPRSBS complied with IRR of RA No. 1119, otherwise known as the Social Security Act of 2018, on the collection and remittance of contributions to SSS as follows:</w:t>
      </w:r>
    </w:p>
    <w:p w14:paraId="496BA056" w14:textId="77777777" w:rsidR="007D7EEA" w:rsidRPr="0096065B" w:rsidRDefault="007D7EEA">
      <w:pPr>
        <w:pStyle w:val="NormalWeb"/>
        <w:spacing w:before="0" w:beforeAutospacing="0" w:after="0" w:afterAutospacing="0"/>
        <w:ind w:left="1276"/>
        <w:jc w:val="both"/>
        <w:rPr>
          <w:rFonts w:ascii="Arial" w:hAnsi="Arial" w:cs="Arial"/>
          <w:sz w:val="22"/>
          <w:szCs w:val="22"/>
        </w:rPr>
      </w:pPr>
    </w:p>
    <w:p w14:paraId="40F2DCC8" w14:textId="77777777" w:rsidR="007D7EEA" w:rsidRPr="0096065B" w:rsidRDefault="00DD2A4D">
      <w:pPr>
        <w:pStyle w:val="NormalWeb"/>
        <w:numPr>
          <w:ilvl w:val="3"/>
          <w:numId w:val="63"/>
        </w:numPr>
        <w:spacing w:before="0" w:beforeAutospacing="0" w:after="0" w:afterAutospacing="0"/>
        <w:ind w:left="936" w:hanging="360"/>
        <w:jc w:val="both"/>
        <w:rPr>
          <w:rFonts w:ascii="Arial" w:hAnsi="Arial" w:cs="Arial"/>
          <w:sz w:val="22"/>
          <w:szCs w:val="22"/>
        </w:rPr>
      </w:pPr>
      <w:r w:rsidRPr="0096065B">
        <w:rPr>
          <w:rFonts w:ascii="Arial" w:hAnsi="Arial" w:cs="Arial"/>
          <w:sz w:val="22"/>
          <w:szCs w:val="22"/>
        </w:rPr>
        <w:t>Mandatory monthly contribution of covered employees and employers in accordance with Sections 1 to 3 of Rule 31 and Sections 1 to 4 of Rule 32, respectively; and</w:t>
      </w:r>
    </w:p>
    <w:p w14:paraId="400CC0D2" w14:textId="77777777" w:rsidR="007D7EEA" w:rsidRPr="0096065B" w:rsidRDefault="007D7EEA">
      <w:pPr>
        <w:pStyle w:val="NormalWeb"/>
        <w:spacing w:before="0" w:beforeAutospacing="0" w:after="0" w:afterAutospacing="0"/>
        <w:ind w:left="1890"/>
        <w:jc w:val="both"/>
        <w:rPr>
          <w:rFonts w:ascii="Arial" w:hAnsi="Arial" w:cs="Arial"/>
          <w:sz w:val="22"/>
          <w:szCs w:val="22"/>
        </w:rPr>
      </w:pPr>
    </w:p>
    <w:p w14:paraId="444DFBCD" w14:textId="77777777" w:rsidR="007D7EEA" w:rsidRPr="0096065B" w:rsidRDefault="00DD2A4D">
      <w:pPr>
        <w:pStyle w:val="NormalWeb"/>
        <w:numPr>
          <w:ilvl w:val="3"/>
          <w:numId w:val="63"/>
        </w:numPr>
        <w:spacing w:before="0" w:beforeAutospacing="0" w:after="0" w:afterAutospacing="0"/>
        <w:ind w:left="936" w:hanging="360"/>
        <w:jc w:val="both"/>
        <w:rPr>
          <w:rFonts w:ascii="Arial" w:hAnsi="Arial" w:cs="Arial"/>
          <w:sz w:val="22"/>
          <w:szCs w:val="22"/>
        </w:rPr>
      </w:pPr>
      <w:r w:rsidRPr="0096065B">
        <w:rPr>
          <w:rFonts w:ascii="Arial" w:hAnsi="Arial" w:cs="Arial"/>
          <w:sz w:val="22"/>
          <w:szCs w:val="22"/>
        </w:rPr>
        <w:t xml:space="preserve">Remittance of employees’ and employers’ contributions within the due date pursuant to Sections 1 to 9 of Rule 36. </w:t>
      </w:r>
    </w:p>
    <w:p w14:paraId="7EC1B432" w14:textId="77777777" w:rsidR="007D7EEA" w:rsidRPr="0096065B" w:rsidRDefault="007D7EEA">
      <w:pPr>
        <w:pStyle w:val="ListParagraph"/>
        <w:rPr>
          <w:rFonts w:ascii="Arial" w:hAnsi="Arial" w:cs="Arial"/>
          <w:sz w:val="22"/>
          <w:szCs w:val="22"/>
        </w:rPr>
      </w:pPr>
    </w:p>
    <w:p w14:paraId="682AE25D" w14:textId="77777777" w:rsidR="007D7EEA" w:rsidRPr="0096065B" w:rsidRDefault="007D7EEA">
      <w:pPr>
        <w:pStyle w:val="ListParagraph"/>
        <w:rPr>
          <w:rFonts w:ascii="Arial" w:hAnsi="Arial" w:cs="Arial"/>
          <w:sz w:val="22"/>
          <w:szCs w:val="22"/>
        </w:rPr>
      </w:pPr>
    </w:p>
    <w:p w14:paraId="503B01E5"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sz w:val="22"/>
          <w:szCs w:val="22"/>
        </w:rPr>
      </w:pPr>
      <w:r w:rsidRPr="0096065B">
        <w:rPr>
          <w:rFonts w:ascii="Arial" w:hAnsi="Arial" w:cs="Arial"/>
          <w:b/>
          <w:bCs/>
          <w:sz w:val="22"/>
          <w:szCs w:val="22"/>
        </w:rPr>
        <w:t>Philippine Health Insurance Corporation (PhilHealth)</w:t>
      </w:r>
      <w:r w:rsidRPr="0096065B">
        <w:rPr>
          <w:rFonts w:ascii="Arial" w:hAnsi="Arial" w:cs="Arial"/>
          <w:b/>
          <w:sz w:val="22"/>
          <w:szCs w:val="22"/>
        </w:rPr>
        <w:t xml:space="preserve"> and Pag-IBIG Premiums</w:t>
      </w:r>
    </w:p>
    <w:p w14:paraId="02C48E8E" w14:textId="77777777" w:rsidR="007D7EEA" w:rsidRPr="0096065B" w:rsidRDefault="007D7EEA">
      <w:pPr>
        <w:pStyle w:val="ListParagraph"/>
        <w:ind w:left="0"/>
        <w:jc w:val="both"/>
        <w:rPr>
          <w:rFonts w:ascii="Arial" w:hAnsi="Arial" w:cs="Arial"/>
          <w:b/>
          <w:i/>
          <w:sz w:val="22"/>
          <w:szCs w:val="22"/>
        </w:rPr>
      </w:pPr>
    </w:p>
    <w:p w14:paraId="499D8154"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b/>
          <w:sz w:val="22"/>
          <w:szCs w:val="22"/>
        </w:rPr>
      </w:pPr>
      <w:r w:rsidRPr="0096065B">
        <w:rPr>
          <w:rFonts w:ascii="Arial" w:hAnsi="Arial" w:cs="Arial"/>
          <w:sz w:val="22"/>
          <w:szCs w:val="22"/>
        </w:rPr>
        <w:t xml:space="preserve">In 2022, AFPRSBS complied with Title III, Rule III, Section 18 of the IRR of RA No. 7875, otherwise known as The National Health Insurance Act of 2013, as amended, in the payment of monthly premium contributions to the PhilHealth.  Employer’s and employees’ shares for 2022 totaling P676,248 were promptly remitted to PhilHealth. </w:t>
      </w:r>
    </w:p>
    <w:p w14:paraId="3A773FA5" w14:textId="77777777" w:rsidR="007D7EEA" w:rsidRPr="0096065B" w:rsidRDefault="007D7EEA">
      <w:pPr>
        <w:pStyle w:val="NormalWeb"/>
        <w:spacing w:before="0" w:beforeAutospacing="0" w:after="0" w:afterAutospacing="0"/>
        <w:ind w:left="540"/>
        <w:jc w:val="both"/>
        <w:rPr>
          <w:rFonts w:ascii="Arial" w:hAnsi="Arial" w:cs="Arial"/>
          <w:sz w:val="22"/>
          <w:szCs w:val="22"/>
        </w:rPr>
      </w:pPr>
    </w:p>
    <w:p w14:paraId="0BD17C67"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sz w:val="22"/>
          <w:szCs w:val="22"/>
        </w:rPr>
      </w:pPr>
      <w:r w:rsidRPr="0096065B">
        <w:rPr>
          <w:rFonts w:ascii="Arial" w:hAnsi="Arial" w:cs="Arial"/>
          <w:sz w:val="22"/>
          <w:szCs w:val="22"/>
        </w:rPr>
        <w:t xml:space="preserve">It also complied with Rule VII, Section 3 of the IRR of RA No. 9679 (Home Development Mutual Fund Law of 2009) otherwise known as Pag-IBIG Fund in the collection and remittance of contributions to the Pag-IBIG Fund. Employer’s and employees’ shares for 2022 totaling P276,500 were promptly remitted. </w:t>
      </w:r>
    </w:p>
    <w:p w14:paraId="7E9E3EA0" w14:textId="77777777" w:rsidR="007D7EEA" w:rsidRPr="0096065B" w:rsidRDefault="007D7EEA">
      <w:pPr>
        <w:pStyle w:val="NormalWeb"/>
        <w:spacing w:before="0" w:beforeAutospacing="0" w:after="0" w:afterAutospacing="0"/>
        <w:ind w:left="540"/>
        <w:jc w:val="both"/>
        <w:rPr>
          <w:rFonts w:ascii="Arial" w:hAnsi="Arial" w:cs="Arial"/>
          <w:b/>
          <w:sz w:val="22"/>
          <w:szCs w:val="22"/>
        </w:rPr>
      </w:pPr>
    </w:p>
    <w:p w14:paraId="17D57DB5" w14:textId="77777777" w:rsidR="007D7EEA" w:rsidRPr="0096065B" w:rsidRDefault="007D7EEA">
      <w:pPr>
        <w:pStyle w:val="NormalWeb"/>
        <w:spacing w:before="0" w:beforeAutospacing="0" w:after="0" w:afterAutospacing="0"/>
        <w:ind w:left="540"/>
        <w:jc w:val="both"/>
        <w:rPr>
          <w:rFonts w:ascii="Arial" w:hAnsi="Arial" w:cs="Arial"/>
          <w:b/>
          <w:sz w:val="22"/>
          <w:szCs w:val="22"/>
        </w:rPr>
      </w:pPr>
    </w:p>
    <w:p w14:paraId="74444CB6" w14:textId="77777777" w:rsidR="007D7EEA" w:rsidRPr="0096065B" w:rsidRDefault="00DD2A4D" w:rsidP="00BB0337">
      <w:pPr>
        <w:pStyle w:val="NormalWeb"/>
        <w:numPr>
          <w:ilvl w:val="0"/>
          <w:numId w:val="3"/>
        </w:numPr>
        <w:spacing w:before="0" w:beforeAutospacing="0" w:after="0" w:afterAutospacing="0"/>
        <w:ind w:left="576" w:hanging="576"/>
        <w:jc w:val="both"/>
        <w:rPr>
          <w:rFonts w:ascii="Arial" w:hAnsi="Arial" w:cs="Arial"/>
          <w:b/>
          <w:bCs/>
          <w:sz w:val="22"/>
          <w:szCs w:val="22"/>
        </w:rPr>
      </w:pPr>
      <w:r w:rsidRPr="0096065B">
        <w:rPr>
          <w:rFonts w:ascii="Arial" w:hAnsi="Arial" w:cs="Arial"/>
          <w:b/>
          <w:bCs/>
          <w:sz w:val="22"/>
          <w:szCs w:val="22"/>
        </w:rPr>
        <w:t>Status of Audit Suspensions, Disallowances and Charges</w:t>
      </w:r>
    </w:p>
    <w:p w14:paraId="7B3FD8A7" w14:textId="77777777" w:rsidR="007D7EEA" w:rsidRPr="0096065B" w:rsidRDefault="007D7EEA">
      <w:pPr>
        <w:pStyle w:val="NormalWeb"/>
        <w:spacing w:before="0" w:beforeAutospacing="0" w:after="0" w:afterAutospacing="0"/>
        <w:ind w:left="360"/>
        <w:jc w:val="both"/>
        <w:rPr>
          <w:rFonts w:ascii="Arial" w:hAnsi="Arial" w:cs="Arial"/>
          <w:b/>
          <w:bCs/>
          <w:sz w:val="22"/>
          <w:szCs w:val="22"/>
        </w:rPr>
      </w:pPr>
    </w:p>
    <w:p w14:paraId="5B67664B" w14:textId="0B2D218D" w:rsidR="007D7EEA" w:rsidRPr="0096065B" w:rsidRDefault="00DD2A4D" w:rsidP="00BB0337">
      <w:pPr>
        <w:pStyle w:val="NormalWeb"/>
        <w:numPr>
          <w:ilvl w:val="1"/>
          <w:numId w:val="3"/>
        </w:numPr>
        <w:spacing w:before="0" w:beforeAutospacing="0" w:after="0" w:afterAutospacing="0"/>
        <w:ind w:left="1267" w:right="90" w:hanging="691"/>
        <w:jc w:val="both"/>
        <w:rPr>
          <w:rFonts w:ascii="Arial" w:hAnsi="Arial" w:cs="Arial"/>
          <w:b/>
          <w:bCs/>
          <w:sz w:val="22"/>
          <w:szCs w:val="22"/>
        </w:rPr>
      </w:pPr>
      <w:r w:rsidRPr="0096065B">
        <w:rPr>
          <w:rFonts w:ascii="Arial" w:hAnsi="Arial" w:cs="Arial"/>
          <w:sz w:val="22"/>
          <w:szCs w:val="22"/>
        </w:rPr>
        <w:t>As at year-end, the audit suspensions and charges have no balances, while the audit disallowances amounted to P251.</w:t>
      </w:r>
      <w:r w:rsidR="0047216A" w:rsidRPr="0096065B">
        <w:rPr>
          <w:rFonts w:ascii="Arial" w:hAnsi="Arial" w:cs="Arial"/>
          <w:sz w:val="22"/>
          <w:szCs w:val="22"/>
        </w:rPr>
        <w:t xml:space="preserve">468 </w:t>
      </w:r>
      <w:r w:rsidRPr="0096065B">
        <w:rPr>
          <w:rFonts w:ascii="Arial" w:hAnsi="Arial" w:cs="Arial"/>
          <w:sz w:val="22"/>
          <w:szCs w:val="22"/>
        </w:rPr>
        <w:t xml:space="preserve">million. Details are presented in Table </w:t>
      </w:r>
      <w:r w:rsidR="00A57D4E" w:rsidRPr="0096065B">
        <w:rPr>
          <w:rFonts w:ascii="Arial" w:hAnsi="Arial" w:cs="Arial"/>
          <w:sz w:val="22"/>
          <w:szCs w:val="22"/>
        </w:rPr>
        <w:t>20</w:t>
      </w:r>
      <w:r w:rsidRPr="0096065B">
        <w:rPr>
          <w:rFonts w:ascii="Arial" w:hAnsi="Arial" w:cs="Arial"/>
          <w:sz w:val="22"/>
          <w:szCs w:val="22"/>
        </w:rPr>
        <w:t>.1.</w:t>
      </w:r>
    </w:p>
    <w:p w14:paraId="28CC2D2E" w14:textId="77777777" w:rsidR="007D7EEA" w:rsidRPr="0096065B" w:rsidRDefault="007D7EEA">
      <w:pPr>
        <w:pStyle w:val="ListParagraph"/>
        <w:ind w:left="1620"/>
        <w:jc w:val="both"/>
        <w:rPr>
          <w:rFonts w:ascii="Arial" w:hAnsi="Arial" w:cs="Arial"/>
          <w:bCs/>
          <w:sz w:val="22"/>
          <w:szCs w:val="22"/>
        </w:rPr>
      </w:pPr>
    </w:p>
    <w:p w14:paraId="3BEE00B3" w14:textId="7F2BA2AF" w:rsidR="007D7EEA" w:rsidRPr="0096065B" w:rsidRDefault="00DD2A4D" w:rsidP="008F70B8">
      <w:pPr>
        <w:pStyle w:val="ListParagraph"/>
        <w:ind w:left="1276"/>
        <w:jc w:val="center"/>
        <w:rPr>
          <w:rFonts w:ascii="Arial" w:hAnsi="Arial" w:cs="Arial"/>
          <w:b/>
          <w:bCs/>
          <w:sz w:val="22"/>
          <w:szCs w:val="22"/>
        </w:rPr>
      </w:pPr>
      <w:r w:rsidRPr="0096065B">
        <w:rPr>
          <w:rFonts w:ascii="Arial" w:hAnsi="Arial" w:cs="Arial"/>
          <w:b/>
          <w:bCs/>
          <w:sz w:val="22"/>
          <w:szCs w:val="22"/>
        </w:rPr>
        <w:t xml:space="preserve">Table </w:t>
      </w:r>
      <w:r w:rsidR="00A57D4E" w:rsidRPr="0096065B">
        <w:rPr>
          <w:rFonts w:ascii="Arial" w:hAnsi="Arial" w:cs="Arial"/>
          <w:b/>
          <w:bCs/>
          <w:sz w:val="22"/>
          <w:szCs w:val="22"/>
        </w:rPr>
        <w:t>20</w:t>
      </w:r>
      <w:r w:rsidRPr="0096065B">
        <w:rPr>
          <w:rFonts w:ascii="Arial" w:hAnsi="Arial" w:cs="Arial"/>
          <w:b/>
          <w:bCs/>
          <w:sz w:val="22"/>
          <w:szCs w:val="22"/>
        </w:rPr>
        <w:t>.1 – Status of Audit Suspensions, Disallowance and Charges</w:t>
      </w:r>
    </w:p>
    <w:p w14:paraId="349D9557" w14:textId="77777777" w:rsidR="007D7EEA" w:rsidRPr="0096065B" w:rsidRDefault="00DD2A4D">
      <w:pPr>
        <w:pStyle w:val="ListParagraph"/>
        <w:jc w:val="center"/>
        <w:rPr>
          <w:rFonts w:ascii="Arial" w:hAnsi="Arial" w:cs="Arial"/>
          <w:b/>
          <w:bCs/>
          <w:sz w:val="22"/>
          <w:szCs w:val="22"/>
        </w:rPr>
      </w:pPr>
      <w:r w:rsidRPr="0096065B">
        <w:rPr>
          <w:rFonts w:ascii="Arial" w:hAnsi="Arial" w:cs="Arial"/>
          <w:b/>
          <w:bCs/>
          <w:sz w:val="22"/>
          <w:szCs w:val="22"/>
        </w:rPr>
        <w:t>As at December 31, 2022</w:t>
      </w:r>
    </w:p>
    <w:p w14:paraId="1C76FAEE" w14:textId="77777777" w:rsidR="007D7EEA" w:rsidRPr="0096065B" w:rsidRDefault="007D7EEA">
      <w:pPr>
        <w:pStyle w:val="ListParagraph"/>
        <w:ind w:left="1620"/>
        <w:jc w:val="center"/>
        <w:rPr>
          <w:rFonts w:ascii="Arial" w:hAnsi="Arial" w:cs="Arial"/>
          <w:b/>
          <w:bCs/>
          <w:sz w:val="22"/>
          <w:szCs w:val="22"/>
        </w:rPr>
      </w:pPr>
    </w:p>
    <w:tbl>
      <w:tblPr>
        <w:tblStyle w:val="TableGrid"/>
        <w:tblW w:w="7740" w:type="dxa"/>
        <w:tblInd w:w="993"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710"/>
        <w:gridCol w:w="810"/>
        <w:gridCol w:w="1080"/>
        <w:gridCol w:w="1260"/>
        <w:gridCol w:w="1440"/>
      </w:tblGrid>
      <w:tr w:rsidR="007D7EEA" w14:paraId="2B8F996D" w14:textId="77777777" w:rsidTr="008F70B8">
        <w:trPr>
          <w:trHeight w:val="58"/>
          <w:tblHeader/>
        </w:trPr>
        <w:tc>
          <w:tcPr>
            <w:tcW w:w="1440" w:type="dxa"/>
            <w:vMerge w:val="restart"/>
            <w:tcBorders>
              <w:top w:val="single" w:sz="4" w:space="0" w:color="auto"/>
            </w:tcBorders>
            <w:vAlign w:val="center"/>
          </w:tcPr>
          <w:p w14:paraId="1B854B83" w14:textId="77777777" w:rsidR="007D7EEA" w:rsidRDefault="00DD2A4D">
            <w:pPr>
              <w:pStyle w:val="ListParagraph"/>
              <w:tabs>
                <w:tab w:val="left" w:pos="0"/>
              </w:tabs>
              <w:autoSpaceDE w:val="0"/>
              <w:autoSpaceDN w:val="0"/>
              <w:adjustRightInd w:val="0"/>
              <w:ind w:left="0"/>
              <w:jc w:val="center"/>
              <w:rPr>
                <w:rFonts w:ascii="Arial" w:hAnsi="Arial" w:cs="Arial"/>
                <w:b/>
                <w:sz w:val="18"/>
                <w:szCs w:val="18"/>
              </w:rPr>
            </w:pPr>
            <w:r>
              <w:rPr>
                <w:rFonts w:ascii="Arial" w:hAnsi="Arial" w:cs="Arial"/>
                <w:b/>
                <w:sz w:val="18"/>
                <w:szCs w:val="18"/>
              </w:rPr>
              <w:t>Audit action</w:t>
            </w:r>
          </w:p>
        </w:tc>
        <w:tc>
          <w:tcPr>
            <w:tcW w:w="1710" w:type="dxa"/>
            <w:vMerge w:val="restart"/>
            <w:tcBorders>
              <w:top w:val="single" w:sz="4" w:space="0" w:color="auto"/>
            </w:tcBorders>
            <w:vAlign w:val="center"/>
          </w:tcPr>
          <w:p w14:paraId="63AEAC44" w14:textId="77777777" w:rsidR="007D7EEA" w:rsidRDefault="00DD2A4D">
            <w:pPr>
              <w:pStyle w:val="ListParagraph"/>
              <w:tabs>
                <w:tab w:val="left" w:pos="540"/>
              </w:tabs>
              <w:autoSpaceDE w:val="0"/>
              <w:autoSpaceDN w:val="0"/>
              <w:adjustRightInd w:val="0"/>
              <w:ind w:left="-174" w:right="-251"/>
              <w:jc w:val="center"/>
              <w:rPr>
                <w:rFonts w:ascii="Arial" w:hAnsi="Arial" w:cs="Arial"/>
                <w:b/>
                <w:sz w:val="18"/>
                <w:szCs w:val="18"/>
              </w:rPr>
            </w:pPr>
            <w:r>
              <w:rPr>
                <w:rFonts w:ascii="Arial" w:hAnsi="Arial" w:cs="Arial"/>
                <w:b/>
                <w:sz w:val="18"/>
                <w:szCs w:val="18"/>
              </w:rPr>
              <w:t>Beginning balance 01/01/2022</w:t>
            </w:r>
          </w:p>
        </w:tc>
        <w:tc>
          <w:tcPr>
            <w:tcW w:w="3150" w:type="dxa"/>
            <w:gridSpan w:val="3"/>
            <w:tcBorders>
              <w:top w:val="single" w:sz="4" w:space="0" w:color="auto"/>
              <w:bottom w:val="nil"/>
            </w:tcBorders>
            <w:vAlign w:val="center"/>
          </w:tcPr>
          <w:p w14:paraId="3F139813" w14:textId="77777777" w:rsidR="007D7EEA" w:rsidRDefault="00DD2A4D">
            <w:pPr>
              <w:pStyle w:val="ListParagraph"/>
              <w:tabs>
                <w:tab w:val="left" w:pos="540"/>
              </w:tabs>
              <w:autoSpaceDE w:val="0"/>
              <w:autoSpaceDN w:val="0"/>
              <w:adjustRightInd w:val="0"/>
              <w:ind w:left="-202" w:right="-157"/>
              <w:jc w:val="center"/>
              <w:rPr>
                <w:rFonts w:ascii="Arial" w:hAnsi="Arial" w:cs="Arial"/>
                <w:b/>
                <w:sz w:val="18"/>
                <w:szCs w:val="18"/>
              </w:rPr>
            </w:pPr>
            <w:r>
              <w:rPr>
                <w:rFonts w:ascii="Arial" w:hAnsi="Arial" w:cs="Arial"/>
                <w:b/>
                <w:sz w:val="18"/>
                <w:szCs w:val="18"/>
              </w:rPr>
              <w:t>Amounts</w:t>
            </w:r>
          </w:p>
        </w:tc>
        <w:tc>
          <w:tcPr>
            <w:tcW w:w="1440" w:type="dxa"/>
            <w:vMerge w:val="restart"/>
            <w:tcBorders>
              <w:top w:val="single" w:sz="4" w:space="0" w:color="auto"/>
            </w:tcBorders>
            <w:vAlign w:val="center"/>
          </w:tcPr>
          <w:p w14:paraId="6DBDF5E7" w14:textId="77777777" w:rsidR="007D7EEA" w:rsidRDefault="00DD2A4D">
            <w:pPr>
              <w:pStyle w:val="ListParagraph"/>
              <w:tabs>
                <w:tab w:val="left" w:pos="540"/>
              </w:tabs>
              <w:autoSpaceDE w:val="0"/>
              <w:autoSpaceDN w:val="0"/>
              <w:adjustRightInd w:val="0"/>
              <w:ind w:left="-202" w:right="-157"/>
              <w:jc w:val="center"/>
              <w:rPr>
                <w:rFonts w:ascii="Arial" w:hAnsi="Arial" w:cs="Arial"/>
                <w:b/>
                <w:sz w:val="18"/>
                <w:szCs w:val="18"/>
              </w:rPr>
            </w:pPr>
            <w:r>
              <w:rPr>
                <w:rFonts w:ascii="Arial" w:hAnsi="Arial" w:cs="Arial"/>
                <w:b/>
                <w:sz w:val="18"/>
                <w:szCs w:val="18"/>
              </w:rPr>
              <w:t>Ending balance 12/31/2022</w:t>
            </w:r>
          </w:p>
        </w:tc>
      </w:tr>
      <w:tr w:rsidR="007D7EEA" w14:paraId="77C035F2" w14:textId="77777777" w:rsidTr="008F70B8">
        <w:trPr>
          <w:trHeight w:val="263"/>
          <w:tblHeader/>
        </w:trPr>
        <w:tc>
          <w:tcPr>
            <w:tcW w:w="1440" w:type="dxa"/>
            <w:vMerge/>
            <w:tcBorders>
              <w:bottom w:val="single" w:sz="4" w:space="0" w:color="auto"/>
            </w:tcBorders>
            <w:vAlign w:val="center"/>
          </w:tcPr>
          <w:p w14:paraId="3EFDC3D6" w14:textId="77777777" w:rsidR="007D7EEA" w:rsidRDefault="007D7EEA">
            <w:pPr>
              <w:pStyle w:val="ListParagraph"/>
              <w:tabs>
                <w:tab w:val="left" w:pos="0"/>
                <w:tab w:val="left" w:pos="540"/>
              </w:tabs>
              <w:autoSpaceDE w:val="0"/>
              <w:autoSpaceDN w:val="0"/>
              <w:adjustRightInd w:val="0"/>
              <w:ind w:left="0"/>
              <w:jc w:val="center"/>
              <w:rPr>
                <w:rFonts w:ascii="Arial" w:hAnsi="Arial" w:cs="Arial"/>
                <w:b/>
                <w:sz w:val="18"/>
                <w:szCs w:val="18"/>
              </w:rPr>
            </w:pPr>
          </w:p>
        </w:tc>
        <w:tc>
          <w:tcPr>
            <w:tcW w:w="1710" w:type="dxa"/>
            <w:vMerge/>
            <w:tcBorders>
              <w:bottom w:val="single" w:sz="4" w:space="0" w:color="auto"/>
            </w:tcBorders>
            <w:vAlign w:val="center"/>
          </w:tcPr>
          <w:p w14:paraId="284ECF65" w14:textId="77777777" w:rsidR="007D7EEA" w:rsidRDefault="007D7EEA">
            <w:pPr>
              <w:pStyle w:val="ListParagraph"/>
              <w:tabs>
                <w:tab w:val="left" w:pos="0"/>
                <w:tab w:val="left" w:pos="540"/>
              </w:tabs>
              <w:autoSpaceDE w:val="0"/>
              <w:autoSpaceDN w:val="0"/>
              <w:adjustRightInd w:val="0"/>
              <w:ind w:left="0"/>
              <w:jc w:val="center"/>
              <w:rPr>
                <w:rFonts w:ascii="Arial" w:hAnsi="Arial" w:cs="Arial"/>
                <w:b/>
                <w:sz w:val="18"/>
                <w:szCs w:val="18"/>
              </w:rPr>
            </w:pPr>
          </w:p>
        </w:tc>
        <w:tc>
          <w:tcPr>
            <w:tcW w:w="810" w:type="dxa"/>
            <w:tcBorders>
              <w:top w:val="nil"/>
              <w:bottom w:val="single" w:sz="4" w:space="0" w:color="auto"/>
            </w:tcBorders>
            <w:vAlign w:val="center"/>
          </w:tcPr>
          <w:p w14:paraId="727729AF" w14:textId="77777777" w:rsidR="007D7EEA" w:rsidRDefault="00DD2A4D">
            <w:pPr>
              <w:pStyle w:val="ListParagraph"/>
              <w:tabs>
                <w:tab w:val="left" w:pos="0"/>
              </w:tabs>
              <w:autoSpaceDE w:val="0"/>
              <w:autoSpaceDN w:val="0"/>
              <w:adjustRightInd w:val="0"/>
              <w:ind w:left="0"/>
              <w:jc w:val="center"/>
              <w:rPr>
                <w:rFonts w:ascii="Arial" w:hAnsi="Arial" w:cs="Arial"/>
                <w:b/>
                <w:sz w:val="18"/>
                <w:szCs w:val="18"/>
              </w:rPr>
            </w:pPr>
            <w:r>
              <w:rPr>
                <w:rFonts w:ascii="Arial" w:hAnsi="Arial" w:cs="Arial"/>
                <w:b/>
                <w:sz w:val="18"/>
                <w:szCs w:val="18"/>
              </w:rPr>
              <w:t>Issued</w:t>
            </w:r>
          </w:p>
        </w:tc>
        <w:tc>
          <w:tcPr>
            <w:tcW w:w="1080" w:type="dxa"/>
            <w:tcBorders>
              <w:top w:val="nil"/>
              <w:bottom w:val="single" w:sz="4" w:space="0" w:color="auto"/>
            </w:tcBorders>
            <w:vAlign w:val="center"/>
          </w:tcPr>
          <w:p w14:paraId="6087102A" w14:textId="77777777" w:rsidR="007D7EEA" w:rsidRDefault="00DD2A4D">
            <w:pPr>
              <w:pStyle w:val="ListParagraph"/>
              <w:tabs>
                <w:tab w:val="left" w:pos="540"/>
              </w:tabs>
              <w:autoSpaceDE w:val="0"/>
              <w:autoSpaceDN w:val="0"/>
              <w:adjustRightInd w:val="0"/>
              <w:ind w:left="-136" w:right="-85"/>
              <w:jc w:val="center"/>
              <w:rPr>
                <w:rFonts w:ascii="Arial" w:hAnsi="Arial" w:cs="Arial"/>
                <w:b/>
                <w:sz w:val="18"/>
                <w:szCs w:val="18"/>
              </w:rPr>
            </w:pPr>
            <w:r>
              <w:rPr>
                <w:rFonts w:ascii="Arial" w:hAnsi="Arial" w:cs="Arial"/>
                <w:b/>
                <w:sz w:val="18"/>
                <w:szCs w:val="18"/>
              </w:rPr>
              <w:t>Settled</w:t>
            </w:r>
          </w:p>
        </w:tc>
        <w:tc>
          <w:tcPr>
            <w:tcW w:w="1260" w:type="dxa"/>
            <w:tcBorders>
              <w:top w:val="nil"/>
              <w:bottom w:val="single" w:sz="4" w:space="0" w:color="auto"/>
            </w:tcBorders>
          </w:tcPr>
          <w:p w14:paraId="3884032F" w14:textId="77777777" w:rsidR="007D7EEA" w:rsidRDefault="00DD2A4D">
            <w:pPr>
              <w:pStyle w:val="ListParagraph"/>
              <w:tabs>
                <w:tab w:val="left" w:pos="0"/>
                <w:tab w:val="left" w:pos="540"/>
              </w:tabs>
              <w:autoSpaceDE w:val="0"/>
              <w:autoSpaceDN w:val="0"/>
              <w:adjustRightInd w:val="0"/>
              <w:ind w:left="0"/>
              <w:jc w:val="center"/>
              <w:rPr>
                <w:rFonts w:ascii="Arial" w:hAnsi="Arial" w:cs="Arial"/>
                <w:b/>
                <w:sz w:val="18"/>
                <w:szCs w:val="18"/>
              </w:rPr>
            </w:pPr>
            <w:r>
              <w:rPr>
                <w:rFonts w:ascii="Arial" w:hAnsi="Arial" w:cs="Arial"/>
                <w:b/>
                <w:sz w:val="18"/>
                <w:szCs w:val="18"/>
              </w:rPr>
              <w:t>Adjustment</w:t>
            </w:r>
          </w:p>
        </w:tc>
        <w:tc>
          <w:tcPr>
            <w:tcW w:w="1440" w:type="dxa"/>
            <w:vMerge/>
            <w:tcBorders>
              <w:bottom w:val="single" w:sz="4" w:space="0" w:color="auto"/>
            </w:tcBorders>
            <w:vAlign w:val="center"/>
          </w:tcPr>
          <w:p w14:paraId="3B7AF971" w14:textId="77777777" w:rsidR="007D7EEA" w:rsidRDefault="007D7EEA">
            <w:pPr>
              <w:pStyle w:val="ListParagraph"/>
              <w:tabs>
                <w:tab w:val="left" w:pos="0"/>
                <w:tab w:val="left" w:pos="540"/>
              </w:tabs>
              <w:autoSpaceDE w:val="0"/>
              <w:autoSpaceDN w:val="0"/>
              <w:adjustRightInd w:val="0"/>
              <w:ind w:left="0"/>
              <w:jc w:val="center"/>
              <w:rPr>
                <w:rFonts w:ascii="Arial" w:hAnsi="Arial" w:cs="Arial"/>
                <w:b/>
                <w:sz w:val="18"/>
                <w:szCs w:val="18"/>
              </w:rPr>
            </w:pPr>
          </w:p>
        </w:tc>
      </w:tr>
      <w:tr w:rsidR="007D7EEA" w14:paraId="61510342" w14:textId="77777777" w:rsidTr="008F70B8">
        <w:trPr>
          <w:trHeight w:val="221"/>
        </w:trPr>
        <w:tc>
          <w:tcPr>
            <w:tcW w:w="1440" w:type="dxa"/>
            <w:tcBorders>
              <w:top w:val="single" w:sz="4" w:space="0" w:color="auto"/>
            </w:tcBorders>
          </w:tcPr>
          <w:p w14:paraId="23E27336" w14:textId="77777777" w:rsidR="007D7EEA" w:rsidRDefault="00DD2A4D">
            <w:pPr>
              <w:pStyle w:val="ListParagraph"/>
              <w:tabs>
                <w:tab w:val="left" w:pos="0"/>
                <w:tab w:val="left" w:pos="540"/>
              </w:tabs>
              <w:autoSpaceDE w:val="0"/>
              <w:autoSpaceDN w:val="0"/>
              <w:adjustRightInd w:val="0"/>
              <w:ind w:left="0"/>
              <w:jc w:val="both"/>
              <w:rPr>
                <w:rFonts w:ascii="Arial" w:hAnsi="Arial" w:cs="Arial"/>
                <w:sz w:val="18"/>
                <w:szCs w:val="18"/>
              </w:rPr>
            </w:pPr>
            <w:r>
              <w:rPr>
                <w:rFonts w:ascii="Arial" w:hAnsi="Arial" w:cs="Arial"/>
                <w:sz w:val="18"/>
                <w:szCs w:val="18"/>
              </w:rPr>
              <w:t>Disallowances</w:t>
            </w:r>
          </w:p>
        </w:tc>
        <w:tc>
          <w:tcPr>
            <w:tcW w:w="1710" w:type="dxa"/>
            <w:tcBorders>
              <w:top w:val="single" w:sz="4" w:space="0" w:color="auto"/>
            </w:tcBorders>
          </w:tcPr>
          <w:p w14:paraId="416AA07B" w14:textId="77777777" w:rsidR="007D7EEA" w:rsidRDefault="00DD2A4D">
            <w:pPr>
              <w:pStyle w:val="ListParagraph"/>
              <w:tabs>
                <w:tab w:val="left" w:pos="0"/>
                <w:tab w:val="left" w:pos="540"/>
              </w:tabs>
              <w:autoSpaceDE w:val="0"/>
              <w:autoSpaceDN w:val="0"/>
              <w:adjustRightInd w:val="0"/>
              <w:ind w:left="0"/>
              <w:jc w:val="right"/>
              <w:rPr>
                <w:rFonts w:ascii="Arial" w:hAnsi="Arial" w:cs="Arial"/>
                <w:sz w:val="18"/>
                <w:szCs w:val="18"/>
              </w:rPr>
            </w:pPr>
            <w:r>
              <w:rPr>
                <w:rFonts w:ascii="Arial" w:hAnsi="Arial" w:cs="Arial"/>
                <w:sz w:val="18"/>
                <w:szCs w:val="18"/>
              </w:rPr>
              <w:t>P 247,866,051</w:t>
            </w:r>
          </w:p>
        </w:tc>
        <w:tc>
          <w:tcPr>
            <w:tcW w:w="810" w:type="dxa"/>
            <w:tcBorders>
              <w:top w:val="single" w:sz="4" w:space="0" w:color="auto"/>
            </w:tcBorders>
          </w:tcPr>
          <w:p w14:paraId="329B5B90" w14:textId="77777777" w:rsidR="007D7EEA" w:rsidRDefault="00DD2A4D">
            <w:pPr>
              <w:pStyle w:val="ListParagraph"/>
              <w:tabs>
                <w:tab w:val="left" w:pos="0"/>
                <w:tab w:val="left" w:pos="540"/>
              </w:tabs>
              <w:autoSpaceDE w:val="0"/>
              <w:autoSpaceDN w:val="0"/>
              <w:adjustRightInd w:val="0"/>
              <w:ind w:left="0"/>
              <w:jc w:val="right"/>
              <w:rPr>
                <w:rFonts w:ascii="Arial" w:hAnsi="Arial" w:cs="Arial"/>
                <w:sz w:val="18"/>
                <w:szCs w:val="18"/>
              </w:rPr>
            </w:pPr>
            <w:r>
              <w:rPr>
                <w:rFonts w:ascii="Arial" w:hAnsi="Arial" w:cs="Arial"/>
                <w:sz w:val="18"/>
                <w:szCs w:val="18"/>
              </w:rPr>
              <w:t>0</w:t>
            </w:r>
          </w:p>
        </w:tc>
        <w:tc>
          <w:tcPr>
            <w:tcW w:w="1080" w:type="dxa"/>
            <w:tcBorders>
              <w:top w:val="single" w:sz="4" w:space="0" w:color="auto"/>
            </w:tcBorders>
          </w:tcPr>
          <w:p w14:paraId="0D1464BA" w14:textId="77777777" w:rsidR="007D7EEA" w:rsidRDefault="00DD2A4D">
            <w:pPr>
              <w:pStyle w:val="ListParagraph"/>
              <w:tabs>
                <w:tab w:val="left" w:pos="0"/>
                <w:tab w:val="left" w:pos="540"/>
              </w:tabs>
              <w:autoSpaceDE w:val="0"/>
              <w:autoSpaceDN w:val="0"/>
              <w:adjustRightInd w:val="0"/>
              <w:ind w:left="0"/>
              <w:jc w:val="right"/>
              <w:rPr>
                <w:rFonts w:ascii="Arial" w:hAnsi="Arial" w:cs="Arial"/>
                <w:sz w:val="18"/>
                <w:szCs w:val="18"/>
              </w:rPr>
            </w:pPr>
            <w:r>
              <w:rPr>
                <w:rFonts w:ascii="Arial" w:hAnsi="Arial" w:cs="Arial"/>
                <w:sz w:val="18"/>
                <w:szCs w:val="18"/>
              </w:rPr>
              <w:t>(P20,000)</w:t>
            </w:r>
          </w:p>
        </w:tc>
        <w:tc>
          <w:tcPr>
            <w:tcW w:w="1260" w:type="dxa"/>
            <w:tcBorders>
              <w:top w:val="single" w:sz="4" w:space="0" w:color="auto"/>
            </w:tcBorders>
          </w:tcPr>
          <w:p w14:paraId="6268FD00" w14:textId="77777777" w:rsidR="007D7EEA" w:rsidRDefault="00DD2A4D">
            <w:pPr>
              <w:pStyle w:val="ListParagraph"/>
              <w:tabs>
                <w:tab w:val="left" w:pos="0"/>
                <w:tab w:val="left" w:pos="540"/>
              </w:tabs>
              <w:autoSpaceDE w:val="0"/>
              <w:autoSpaceDN w:val="0"/>
              <w:adjustRightInd w:val="0"/>
              <w:ind w:left="0"/>
              <w:jc w:val="center"/>
              <w:rPr>
                <w:rFonts w:ascii="Arial" w:hAnsi="Arial" w:cs="Arial"/>
                <w:bCs/>
                <w:sz w:val="18"/>
                <w:szCs w:val="18"/>
              </w:rPr>
            </w:pPr>
            <w:r>
              <w:rPr>
                <w:rFonts w:ascii="Arial" w:hAnsi="Arial" w:cs="Arial"/>
                <w:bCs/>
                <w:sz w:val="18"/>
                <w:szCs w:val="18"/>
              </w:rPr>
              <w:t>P 3,621,656</w:t>
            </w:r>
          </w:p>
        </w:tc>
        <w:tc>
          <w:tcPr>
            <w:tcW w:w="1440" w:type="dxa"/>
            <w:tcBorders>
              <w:top w:val="single" w:sz="4" w:space="0" w:color="auto"/>
            </w:tcBorders>
          </w:tcPr>
          <w:p w14:paraId="70BEC323" w14:textId="77777777" w:rsidR="007D7EEA" w:rsidRDefault="00DD2A4D">
            <w:pPr>
              <w:pStyle w:val="ListParagraph"/>
              <w:tabs>
                <w:tab w:val="left" w:pos="0"/>
                <w:tab w:val="left" w:pos="540"/>
              </w:tabs>
              <w:autoSpaceDE w:val="0"/>
              <w:autoSpaceDN w:val="0"/>
              <w:adjustRightInd w:val="0"/>
              <w:ind w:left="0"/>
              <w:rPr>
                <w:rFonts w:ascii="Arial" w:hAnsi="Arial" w:cs="Arial"/>
                <w:b/>
                <w:sz w:val="18"/>
                <w:szCs w:val="18"/>
              </w:rPr>
            </w:pPr>
            <w:r>
              <w:rPr>
                <w:rFonts w:ascii="Arial" w:hAnsi="Arial" w:cs="Arial"/>
                <w:b/>
                <w:sz w:val="18"/>
                <w:szCs w:val="18"/>
              </w:rPr>
              <w:t>P 251,467,707</w:t>
            </w:r>
          </w:p>
        </w:tc>
      </w:tr>
      <w:tr w:rsidR="007D7EEA" w14:paraId="750692E1" w14:textId="77777777" w:rsidTr="008F70B8">
        <w:trPr>
          <w:trHeight w:val="229"/>
        </w:trPr>
        <w:tc>
          <w:tcPr>
            <w:tcW w:w="1440" w:type="dxa"/>
            <w:tcBorders>
              <w:top w:val="single" w:sz="4" w:space="0" w:color="auto"/>
              <w:bottom w:val="double" w:sz="4" w:space="0" w:color="auto"/>
            </w:tcBorders>
          </w:tcPr>
          <w:p w14:paraId="7BF6EA64" w14:textId="77777777" w:rsidR="007D7EEA" w:rsidRDefault="007D7EEA">
            <w:pPr>
              <w:pStyle w:val="ListParagraph"/>
              <w:tabs>
                <w:tab w:val="left" w:pos="0"/>
                <w:tab w:val="left" w:pos="540"/>
              </w:tabs>
              <w:autoSpaceDE w:val="0"/>
              <w:autoSpaceDN w:val="0"/>
              <w:adjustRightInd w:val="0"/>
              <w:ind w:left="0"/>
              <w:jc w:val="both"/>
              <w:rPr>
                <w:rFonts w:ascii="Arial" w:hAnsi="Arial" w:cs="Arial"/>
                <w:b/>
                <w:sz w:val="18"/>
                <w:szCs w:val="18"/>
              </w:rPr>
            </w:pPr>
          </w:p>
        </w:tc>
        <w:tc>
          <w:tcPr>
            <w:tcW w:w="1710" w:type="dxa"/>
            <w:tcBorders>
              <w:top w:val="single" w:sz="4" w:space="0" w:color="auto"/>
              <w:bottom w:val="double" w:sz="4" w:space="0" w:color="auto"/>
            </w:tcBorders>
          </w:tcPr>
          <w:p w14:paraId="4A8B025A" w14:textId="77777777" w:rsidR="007D7EEA" w:rsidRDefault="00DD2A4D">
            <w:pPr>
              <w:pStyle w:val="ListParagraph"/>
              <w:tabs>
                <w:tab w:val="left" w:pos="0"/>
                <w:tab w:val="left" w:pos="540"/>
              </w:tabs>
              <w:autoSpaceDE w:val="0"/>
              <w:autoSpaceDN w:val="0"/>
              <w:adjustRightInd w:val="0"/>
              <w:ind w:left="0"/>
              <w:jc w:val="right"/>
              <w:rPr>
                <w:rFonts w:ascii="Arial" w:hAnsi="Arial" w:cs="Arial"/>
                <w:b/>
                <w:sz w:val="18"/>
                <w:szCs w:val="18"/>
              </w:rPr>
            </w:pPr>
            <w:r>
              <w:rPr>
                <w:rFonts w:ascii="Arial" w:hAnsi="Arial" w:cs="Arial"/>
                <w:b/>
                <w:sz w:val="18"/>
                <w:szCs w:val="18"/>
              </w:rPr>
              <w:t xml:space="preserve">  P 247,866,051</w:t>
            </w:r>
          </w:p>
        </w:tc>
        <w:tc>
          <w:tcPr>
            <w:tcW w:w="810" w:type="dxa"/>
            <w:tcBorders>
              <w:top w:val="single" w:sz="4" w:space="0" w:color="auto"/>
              <w:bottom w:val="double" w:sz="4" w:space="0" w:color="auto"/>
            </w:tcBorders>
            <w:vAlign w:val="bottom"/>
          </w:tcPr>
          <w:p w14:paraId="51E612A2" w14:textId="77777777" w:rsidR="007D7EEA" w:rsidRDefault="00DD2A4D">
            <w:pPr>
              <w:pStyle w:val="ListParagraph"/>
              <w:tabs>
                <w:tab w:val="left" w:pos="0"/>
                <w:tab w:val="left" w:pos="540"/>
              </w:tabs>
              <w:autoSpaceDE w:val="0"/>
              <w:autoSpaceDN w:val="0"/>
              <w:adjustRightInd w:val="0"/>
              <w:ind w:left="0"/>
              <w:jc w:val="right"/>
              <w:rPr>
                <w:rFonts w:ascii="Arial" w:hAnsi="Arial" w:cs="Arial"/>
                <w:b/>
                <w:sz w:val="18"/>
                <w:szCs w:val="18"/>
              </w:rPr>
            </w:pPr>
            <w:r>
              <w:rPr>
                <w:rFonts w:ascii="Arial" w:hAnsi="Arial" w:cs="Arial"/>
                <w:b/>
                <w:sz w:val="18"/>
                <w:szCs w:val="18"/>
              </w:rPr>
              <w:t>0</w:t>
            </w:r>
          </w:p>
        </w:tc>
        <w:tc>
          <w:tcPr>
            <w:tcW w:w="1080" w:type="dxa"/>
            <w:tcBorders>
              <w:top w:val="single" w:sz="4" w:space="0" w:color="auto"/>
              <w:bottom w:val="double" w:sz="4" w:space="0" w:color="auto"/>
            </w:tcBorders>
          </w:tcPr>
          <w:p w14:paraId="0265A5D3" w14:textId="77777777" w:rsidR="007D7EEA" w:rsidRDefault="00DD2A4D">
            <w:pPr>
              <w:pStyle w:val="ListParagraph"/>
              <w:tabs>
                <w:tab w:val="left" w:pos="0"/>
                <w:tab w:val="left" w:pos="540"/>
              </w:tabs>
              <w:autoSpaceDE w:val="0"/>
              <w:autoSpaceDN w:val="0"/>
              <w:adjustRightInd w:val="0"/>
              <w:ind w:left="0"/>
              <w:jc w:val="right"/>
              <w:rPr>
                <w:rFonts w:ascii="Arial" w:hAnsi="Arial" w:cs="Arial"/>
                <w:b/>
                <w:sz w:val="18"/>
                <w:szCs w:val="18"/>
              </w:rPr>
            </w:pPr>
            <w:r>
              <w:rPr>
                <w:rFonts w:ascii="Arial" w:hAnsi="Arial" w:cs="Arial"/>
                <w:b/>
                <w:sz w:val="18"/>
                <w:szCs w:val="18"/>
              </w:rPr>
              <w:t>(P20,000)</w:t>
            </w:r>
          </w:p>
        </w:tc>
        <w:tc>
          <w:tcPr>
            <w:tcW w:w="1260" w:type="dxa"/>
            <w:tcBorders>
              <w:top w:val="single" w:sz="4" w:space="0" w:color="auto"/>
              <w:bottom w:val="double" w:sz="4" w:space="0" w:color="auto"/>
            </w:tcBorders>
          </w:tcPr>
          <w:p w14:paraId="10974262" w14:textId="77777777" w:rsidR="007D7EEA" w:rsidRDefault="00DD2A4D">
            <w:pPr>
              <w:pStyle w:val="ListParagraph"/>
              <w:tabs>
                <w:tab w:val="left" w:pos="0"/>
                <w:tab w:val="left" w:pos="540"/>
              </w:tabs>
              <w:autoSpaceDE w:val="0"/>
              <w:autoSpaceDN w:val="0"/>
              <w:adjustRightInd w:val="0"/>
              <w:ind w:left="0"/>
              <w:jc w:val="center"/>
              <w:rPr>
                <w:rFonts w:ascii="Arial" w:hAnsi="Arial" w:cs="Arial"/>
                <w:b/>
                <w:sz w:val="18"/>
                <w:szCs w:val="18"/>
              </w:rPr>
            </w:pPr>
            <w:r>
              <w:rPr>
                <w:rFonts w:ascii="Arial" w:hAnsi="Arial" w:cs="Arial"/>
                <w:b/>
                <w:sz w:val="18"/>
                <w:szCs w:val="18"/>
              </w:rPr>
              <w:t>P 3,621,656</w:t>
            </w:r>
          </w:p>
        </w:tc>
        <w:tc>
          <w:tcPr>
            <w:tcW w:w="1440" w:type="dxa"/>
            <w:tcBorders>
              <w:top w:val="single" w:sz="4" w:space="0" w:color="auto"/>
              <w:bottom w:val="double" w:sz="4" w:space="0" w:color="auto"/>
            </w:tcBorders>
          </w:tcPr>
          <w:p w14:paraId="15DA5BF5" w14:textId="77777777" w:rsidR="007D7EEA" w:rsidRDefault="00DD2A4D">
            <w:pPr>
              <w:pStyle w:val="ListParagraph"/>
              <w:tabs>
                <w:tab w:val="left" w:pos="0"/>
                <w:tab w:val="left" w:pos="540"/>
              </w:tabs>
              <w:autoSpaceDE w:val="0"/>
              <w:autoSpaceDN w:val="0"/>
              <w:adjustRightInd w:val="0"/>
              <w:ind w:left="0"/>
              <w:rPr>
                <w:rFonts w:ascii="Arial" w:hAnsi="Arial" w:cs="Arial"/>
                <w:b/>
                <w:sz w:val="18"/>
                <w:szCs w:val="18"/>
              </w:rPr>
            </w:pPr>
            <w:r>
              <w:rPr>
                <w:rFonts w:ascii="Arial" w:hAnsi="Arial" w:cs="Arial"/>
                <w:b/>
                <w:sz w:val="18"/>
                <w:szCs w:val="18"/>
              </w:rPr>
              <w:t>P 251,467,707</w:t>
            </w:r>
          </w:p>
        </w:tc>
      </w:tr>
    </w:tbl>
    <w:p w14:paraId="183DA984" w14:textId="77777777" w:rsidR="007D7EEA" w:rsidRPr="0096065B" w:rsidRDefault="007D7EEA">
      <w:pPr>
        <w:pStyle w:val="ListParagraph"/>
        <w:tabs>
          <w:tab w:val="left" w:pos="0"/>
          <w:tab w:val="left" w:pos="540"/>
        </w:tabs>
        <w:autoSpaceDE w:val="0"/>
        <w:autoSpaceDN w:val="0"/>
        <w:adjustRightInd w:val="0"/>
        <w:ind w:left="0"/>
        <w:jc w:val="both"/>
        <w:rPr>
          <w:rFonts w:ascii="Arial" w:hAnsi="Arial" w:cs="Arial"/>
          <w:sz w:val="22"/>
          <w:szCs w:val="22"/>
        </w:rPr>
      </w:pPr>
    </w:p>
    <w:p w14:paraId="109CF676" w14:textId="67F8E725"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96065B">
        <w:rPr>
          <w:rFonts w:ascii="Arial" w:hAnsi="Arial" w:cs="Arial"/>
          <w:bCs/>
          <w:sz w:val="22"/>
          <w:szCs w:val="22"/>
        </w:rPr>
        <w:t>Notice of Disallowance (ND)</w:t>
      </w:r>
      <w:r w:rsidRPr="0096065B">
        <w:rPr>
          <w:rFonts w:ascii="Arial" w:hAnsi="Arial" w:cs="Arial"/>
          <w:sz w:val="22"/>
          <w:szCs w:val="22"/>
        </w:rPr>
        <w:t xml:space="preserve"> No. </w:t>
      </w:r>
      <w:r w:rsidRPr="0096065B">
        <w:rPr>
          <w:rFonts w:ascii="Arial" w:hAnsi="Arial" w:cs="Arial"/>
          <w:bCs/>
          <w:sz w:val="22"/>
          <w:szCs w:val="22"/>
        </w:rPr>
        <w:t xml:space="preserve">2010-07-084(1996) on the overpriced land acquisition by the </w:t>
      </w:r>
      <w:r w:rsidR="000C5F71">
        <w:rPr>
          <w:rFonts w:ascii="Arial" w:hAnsi="Arial" w:cs="Arial"/>
          <w:bCs/>
          <w:sz w:val="22"/>
          <w:szCs w:val="22"/>
        </w:rPr>
        <w:t>AFPRSBS</w:t>
      </w:r>
      <w:r w:rsidRPr="0096065B">
        <w:rPr>
          <w:rFonts w:ascii="Arial" w:hAnsi="Arial" w:cs="Arial"/>
          <w:bCs/>
          <w:sz w:val="22"/>
          <w:szCs w:val="22"/>
        </w:rPr>
        <w:t xml:space="preserve"> in the amount of P250,318,200 was affirmed by the Commission Proper (CP) under COA Decision Nos. 2012-188 dated November 5, 2012.  Moreover, the Motion for Reconsideration filed by the </w:t>
      </w:r>
      <w:r w:rsidR="000C5F71">
        <w:rPr>
          <w:rFonts w:ascii="Arial" w:hAnsi="Arial" w:cs="Arial"/>
          <w:bCs/>
          <w:sz w:val="22"/>
          <w:szCs w:val="22"/>
        </w:rPr>
        <w:lastRenderedPageBreak/>
        <w:t>AFPRSBS</w:t>
      </w:r>
      <w:r w:rsidRPr="0096065B">
        <w:rPr>
          <w:rFonts w:ascii="Arial" w:hAnsi="Arial" w:cs="Arial"/>
          <w:bCs/>
          <w:sz w:val="22"/>
          <w:szCs w:val="22"/>
        </w:rPr>
        <w:t xml:space="preserve"> on the COA Decisions was denied under CP En Banc Resolution dated February 27, 2015.  Accordingly, Notice of Finality of Decision (NFD) and COA Order of Execution were issued.</w:t>
      </w:r>
    </w:p>
    <w:p w14:paraId="70A7C79C" w14:textId="77777777" w:rsidR="007D7EEA" w:rsidRPr="0096065B" w:rsidRDefault="007D7EEA">
      <w:pPr>
        <w:spacing w:after="0" w:line="240" w:lineRule="auto"/>
        <w:jc w:val="both"/>
        <w:rPr>
          <w:rFonts w:ascii="Arial" w:hAnsi="Arial" w:cs="Arial"/>
          <w:bCs/>
        </w:rPr>
      </w:pPr>
    </w:p>
    <w:p w14:paraId="6FA19518"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96065B">
        <w:rPr>
          <w:rFonts w:ascii="Arial" w:hAnsi="Arial" w:cs="Arial"/>
          <w:bCs/>
          <w:sz w:val="22"/>
          <w:szCs w:val="22"/>
        </w:rPr>
        <w:t>Subsequently, the Supreme Court promulgated its Decision under G.R. No. 217948 dated January 12, 2016, on the Petition for Certiorari for the ND on the overpriced land acquisition affirming COA Decision No. 2012-188 dated November 5, 2012.</w:t>
      </w:r>
    </w:p>
    <w:p w14:paraId="24E1A970" w14:textId="77777777" w:rsidR="007D7EEA" w:rsidRPr="0096065B" w:rsidRDefault="007D7EEA">
      <w:pPr>
        <w:pStyle w:val="NormalWeb"/>
        <w:spacing w:before="0" w:beforeAutospacing="0" w:after="0" w:afterAutospacing="0"/>
        <w:jc w:val="both"/>
        <w:rPr>
          <w:rFonts w:ascii="Arial" w:hAnsi="Arial" w:cs="Arial"/>
          <w:bCs/>
          <w:sz w:val="22"/>
          <w:szCs w:val="22"/>
        </w:rPr>
      </w:pPr>
    </w:p>
    <w:p w14:paraId="002E00F0"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96065B">
        <w:rPr>
          <w:rFonts w:ascii="Arial" w:hAnsi="Arial" w:cs="Arial"/>
          <w:bCs/>
          <w:sz w:val="22"/>
          <w:szCs w:val="22"/>
        </w:rPr>
        <w:t>On January 17, 2017, one of the liable persons filed a petition for relief praying for the exclusion and exemption from the execution of the subject ND.  Such petition is pursuant to Section 1, Rule XV of the 2009 Revised Rules of Procedures of COA read together with Rule 38 of the Rules of Court, on the ground of mistake in one’s inclusion in ND No. 2010-07-084(1996).</w:t>
      </w:r>
    </w:p>
    <w:p w14:paraId="7FE6A318" w14:textId="77777777" w:rsidR="007D7EEA" w:rsidRPr="0096065B" w:rsidRDefault="007D7EEA">
      <w:pPr>
        <w:pStyle w:val="ListParagraph"/>
        <w:rPr>
          <w:rFonts w:ascii="Arial" w:hAnsi="Arial" w:cs="Arial"/>
          <w:bCs/>
          <w:sz w:val="22"/>
          <w:szCs w:val="22"/>
        </w:rPr>
      </w:pPr>
    </w:p>
    <w:p w14:paraId="4E0BBA7E" w14:textId="77777777"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bCs/>
          <w:sz w:val="22"/>
          <w:szCs w:val="22"/>
        </w:rPr>
      </w:pPr>
      <w:r w:rsidRPr="0096065B">
        <w:rPr>
          <w:rFonts w:ascii="Arial" w:hAnsi="Arial" w:cs="Arial"/>
          <w:bCs/>
          <w:sz w:val="22"/>
          <w:szCs w:val="22"/>
        </w:rPr>
        <w:t>In CY 2022, CP granted the aforesaid petition under COA Decision No. 2022-044 dated January 24, 2022.  Further, it has become final and executory under NFD No. 2022-178 dated June 22, 2022.  Accordingly, the partial settlement of the subject ND was being implemented through salary deduction by the concerned liable person until such exclusion.  As a result, thereof, the total partial settlement in the amount of P3,621,656 was added back to the outstanding balance of the ND as of June 30, 2022.  The ND No. 2010-07-084(1996) is reported back to is gross amount of P250,318,200 as at reporting date.</w:t>
      </w:r>
    </w:p>
    <w:p w14:paraId="32FE55DB" w14:textId="77777777" w:rsidR="007D7EEA" w:rsidRPr="0096065B" w:rsidRDefault="007D7EEA">
      <w:pPr>
        <w:pStyle w:val="NormalWeb"/>
        <w:spacing w:before="0" w:beforeAutospacing="0" w:after="0" w:afterAutospacing="0"/>
        <w:ind w:left="1276"/>
        <w:jc w:val="both"/>
        <w:rPr>
          <w:rFonts w:ascii="Arial" w:hAnsi="Arial" w:cs="Arial"/>
          <w:bCs/>
          <w:sz w:val="22"/>
          <w:szCs w:val="22"/>
        </w:rPr>
      </w:pPr>
    </w:p>
    <w:p w14:paraId="6230837B" w14:textId="1AD89E41" w:rsidR="007D7EEA" w:rsidRPr="0096065B" w:rsidRDefault="00DD2A4D" w:rsidP="00BB0337">
      <w:pPr>
        <w:pStyle w:val="NormalWeb"/>
        <w:numPr>
          <w:ilvl w:val="1"/>
          <w:numId w:val="3"/>
        </w:numPr>
        <w:spacing w:before="0" w:beforeAutospacing="0" w:after="0" w:afterAutospacing="0"/>
        <w:ind w:left="1267" w:hanging="691"/>
        <w:jc w:val="both"/>
        <w:rPr>
          <w:rFonts w:ascii="Arial" w:hAnsi="Arial" w:cs="Arial"/>
          <w:b/>
          <w:sz w:val="22"/>
          <w:szCs w:val="22"/>
        </w:rPr>
      </w:pPr>
      <w:r w:rsidRPr="0096065B">
        <w:rPr>
          <w:rFonts w:ascii="Arial" w:hAnsi="Arial" w:cs="Arial"/>
          <w:bCs/>
          <w:sz w:val="22"/>
          <w:szCs w:val="22"/>
        </w:rPr>
        <w:t>The details of the other disallowances that were issued in C</w:t>
      </w:r>
      <w:r w:rsidR="00EE4B78">
        <w:rPr>
          <w:rFonts w:ascii="Arial" w:hAnsi="Arial" w:cs="Arial"/>
          <w:bCs/>
          <w:sz w:val="22"/>
          <w:szCs w:val="22"/>
        </w:rPr>
        <w:t>Y 2016 in the total amount of P</w:t>
      </w:r>
      <w:r w:rsidRPr="0096065B">
        <w:rPr>
          <w:rFonts w:ascii="Arial" w:hAnsi="Arial" w:cs="Arial"/>
          <w:bCs/>
          <w:sz w:val="22"/>
          <w:szCs w:val="22"/>
        </w:rPr>
        <w:t>1,149,507 includes: (a) disallowances awaiting decision of the CP on gasoline withdrawn from AFP Commissary and Exchange Services using private vehicles, granting of rice subsidy in excess of the allowable P1,500 per sack, and granting of monthly cell card subsidy to a postpaid plan holder and claims for communication allowance while on official travel amounting to P534,132, P236,656 and P27,720, respectively; (b) granting of cash gift amounting to P325,999; and (c) granting of loyalty award to one AFPRSBS employees amounting to P25,000.</w:t>
      </w:r>
    </w:p>
    <w:p w14:paraId="7A30E61D" w14:textId="77777777" w:rsidR="007D7EEA" w:rsidRPr="0096065B" w:rsidRDefault="007D7EEA">
      <w:pPr>
        <w:pStyle w:val="NormalWeb"/>
        <w:spacing w:before="0" w:beforeAutospacing="0" w:after="0" w:afterAutospacing="0"/>
        <w:ind w:left="540"/>
        <w:jc w:val="both"/>
        <w:rPr>
          <w:rFonts w:ascii="Arial" w:hAnsi="Arial" w:cs="Arial"/>
          <w:b/>
          <w:sz w:val="22"/>
          <w:szCs w:val="22"/>
        </w:rPr>
      </w:pPr>
    </w:p>
    <w:sectPr w:rsidR="007D7EEA" w:rsidRPr="0096065B" w:rsidSect="00E22613">
      <w:footerReference w:type="default" r:id="rId9"/>
      <w:pgSz w:w="12240" w:h="15840"/>
      <w:pgMar w:top="1440" w:right="1440" w:bottom="1440" w:left="1440" w:header="720" w:footer="720" w:gutter="720"/>
      <w:pgNumType w:start="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1587" w14:textId="77777777" w:rsidR="00D92569" w:rsidRDefault="00D92569">
      <w:pPr>
        <w:spacing w:line="240" w:lineRule="auto"/>
      </w:pPr>
      <w:r>
        <w:separator/>
      </w:r>
    </w:p>
  </w:endnote>
  <w:endnote w:type="continuationSeparator" w:id="0">
    <w:p w14:paraId="2AC550C2" w14:textId="77777777" w:rsidR="00D92569" w:rsidRDefault="00D925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42338"/>
    </w:sdtPr>
    <w:sdtEndPr>
      <w:rPr>
        <w:rFonts w:ascii="Arial" w:hAnsi="Arial" w:cs="Arial"/>
        <w:sz w:val="20"/>
        <w:szCs w:val="20"/>
      </w:rPr>
    </w:sdtEndPr>
    <w:sdtContent>
      <w:p w14:paraId="7D22444D" w14:textId="08C610EC" w:rsidR="00821B0A" w:rsidRDefault="00821B0A">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D302A">
          <w:rPr>
            <w:rFonts w:ascii="Arial" w:hAnsi="Arial" w:cs="Arial"/>
            <w:noProof/>
            <w:sz w:val="20"/>
            <w:szCs w:val="20"/>
          </w:rPr>
          <w:t>107</w:t>
        </w:r>
        <w:r>
          <w:rPr>
            <w:rFonts w:ascii="Arial" w:hAnsi="Arial" w:cs="Arial"/>
            <w:sz w:val="20"/>
            <w:szCs w:val="20"/>
          </w:rPr>
          <w:fldChar w:fldCharType="end"/>
        </w:r>
      </w:p>
    </w:sdtContent>
  </w:sdt>
  <w:p w14:paraId="26A333B0" w14:textId="77777777" w:rsidR="00821B0A" w:rsidRDefault="00821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9979" w14:textId="77777777" w:rsidR="00D92569" w:rsidRDefault="00D92569">
      <w:pPr>
        <w:spacing w:after="0"/>
      </w:pPr>
      <w:r>
        <w:separator/>
      </w:r>
    </w:p>
  </w:footnote>
  <w:footnote w:type="continuationSeparator" w:id="0">
    <w:p w14:paraId="7BA2B924" w14:textId="77777777" w:rsidR="00D92569" w:rsidRDefault="00D925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850"/>
    <w:multiLevelType w:val="hybridMultilevel"/>
    <w:tmpl w:val="A462DDA2"/>
    <w:lvl w:ilvl="0" w:tplc="3F74B880">
      <w:start w:val="1"/>
      <w:numFmt w:val="lowerLetter"/>
      <w:lvlText w:val="%1."/>
      <w:lvlJc w:val="left"/>
      <w:pPr>
        <w:ind w:left="1996" w:hanging="360"/>
      </w:pPr>
      <w:rPr>
        <w:b/>
      </w:rPr>
    </w:lvl>
    <w:lvl w:ilvl="1" w:tplc="34090019" w:tentative="1">
      <w:start w:val="1"/>
      <w:numFmt w:val="lowerLetter"/>
      <w:lvlText w:val="%2."/>
      <w:lvlJc w:val="left"/>
      <w:pPr>
        <w:ind w:left="2716" w:hanging="360"/>
      </w:pPr>
    </w:lvl>
    <w:lvl w:ilvl="2" w:tplc="3409001B" w:tentative="1">
      <w:start w:val="1"/>
      <w:numFmt w:val="lowerRoman"/>
      <w:lvlText w:val="%3."/>
      <w:lvlJc w:val="right"/>
      <w:pPr>
        <w:ind w:left="3436" w:hanging="180"/>
      </w:pPr>
    </w:lvl>
    <w:lvl w:ilvl="3" w:tplc="3409000F" w:tentative="1">
      <w:start w:val="1"/>
      <w:numFmt w:val="decimal"/>
      <w:lvlText w:val="%4."/>
      <w:lvlJc w:val="left"/>
      <w:pPr>
        <w:ind w:left="4156" w:hanging="360"/>
      </w:pPr>
    </w:lvl>
    <w:lvl w:ilvl="4" w:tplc="34090019" w:tentative="1">
      <w:start w:val="1"/>
      <w:numFmt w:val="lowerLetter"/>
      <w:lvlText w:val="%5."/>
      <w:lvlJc w:val="left"/>
      <w:pPr>
        <w:ind w:left="4876" w:hanging="360"/>
      </w:pPr>
    </w:lvl>
    <w:lvl w:ilvl="5" w:tplc="3409001B" w:tentative="1">
      <w:start w:val="1"/>
      <w:numFmt w:val="lowerRoman"/>
      <w:lvlText w:val="%6."/>
      <w:lvlJc w:val="right"/>
      <w:pPr>
        <w:ind w:left="5596" w:hanging="180"/>
      </w:pPr>
    </w:lvl>
    <w:lvl w:ilvl="6" w:tplc="3409000F" w:tentative="1">
      <w:start w:val="1"/>
      <w:numFmt w:val="decimal"/>
      <w:lvlText w:val="%7."/>
      <w:lvlJc w:val="left"/>
      <w:pPr>
        <w:ind w:left="6316" w:hanging="360"/>
      </w:pPr>
    </w:lvl>
    <w:lvl w:ilvl="7" w:tplc="34090019" w:tentative="1">
      <w:start w:val="1"/>
      <w:numFmt w:val="lowerLetter"/>
      <w:lvlText w:val="%8."/>
      <w:lvlJc w:val="left"/>
      <w:pPr>
        <w:ind w:left="7036" w:hanging="360"/>
      </w:pPr>
    </w:lvl>
    <w:lvl w:ilvl="8" w:tplc="3409001B" w:tentative="1">
      <w:start w:val="1"/>
      <w:numFmt w:val="lowerRoman"/>
      <w:lvlText w:val="%9."/>
      <w:lvlJc w:val="right"/>
      <w:pPr>
        <w:ind w:left="7756" w:hanging="180"/>
      </w:pPr>
    </w:lvl>
  </w:abstractNum>
  <w:abstractNum w:abstractNumId="1" w15:restartNumberingAfterBreak="0">
    <w:nsid w:val="02B74ED5"/>
    <w:multiLevelType w:val="multilevel"/>
    <w:tmpl w:val="02B74ED5"/>
    <w:lvl w:ilvl="0">
      <w:start w:val="1"/>
      <w:numFmt w:val="decimal"/>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F0331D"/>
    <w:multiLevelType w:val="hybridMultilevel"/>
    <w:tmpl w:val="36D627C6"/>
    <w:lvl w:ilvl="0" w:tplc="4122263E">
      <w:start w:val="1"/>
      <w:numFmt w:val="lowerLetter"/>
      <w:lvlText w:val="(%1)"/>
      <w:lvlJc w:val="left"/>
      <w:pPr>
        <w:ind w:left="1170" w:hanging="360"/>
      </w:pPr>
      <w:rPr>
        <w:rFonts w:hint="default"/>
        <w:i/>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3" w15:restartNumberingAfterBreak="0">
    <w:nsid w:val="07A61714"/>
    <w:multiLevelType w:val="hybridMultilevel"/>
    <w:tmpl w:val="22A69FB8"/>
    <w:lvl w:ilvl="0" w:tplc="6880791E">
      <w:start w:val="8"/>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7FEB"/>
    <w:multiLevelType w:val="hybridMultilevel"/>
    <w:tmpl w:val="6FE2989C"/>
    <w:lvl w:ilvl="0" w:tplc="26444E4C">
      <w:start w:val="18"/>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54"/>
    <w:multiLevelType w:val="multilevel"/>
    <w:tmpl w:val="08C80854"/>
    <w:lvl w:ilvl="0">
      <w:start w:val="1"/>
      <w:numFmt w:val="lowerLetter"/>
      <w:lvlText w:val="%1."/>
      <w:lvlJc w:val="righ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09CF087E"/>
    <w:multiLevelType w:val="multilevel"/>
    <w:tmpl w:val="09CF087E"/>
    <w:lvl w:ilvl="0">
      <w:start w:val="1"/>
      <w:numFmt w:val="upperRoman"/>
      <w:pStyle w:val="Heading1"/>
      <w:lvlText w:val="Article %1."/>
      <w:lvlJc w:val="left"/>
      <w:pPr>
        <w:ind w:left="0" w:firstLine="0"/>
      </w:pPr>
      <w:rPr>
        <w:color w:val="auto"/>
        <w:sz w:val="22"/>
        <w:szCs w:val="22"/>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0A9235FB"/>
    <w:multiLevelType w:val="hybridMultilevel"/>
    <w:tmpl w:val="4EA0BE06"/>
    <w:lvl w:ilvl="0" w:tplc="45BE1E9E">
      <w:start w:val="14"/>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60D71"/>
    <w:multiLevelType w:val="hybridMultilevel"/>
    <w:tmpl w:val="BE565E44"/>
    <w:lvl w:ilvl="0" w:tplc="6CF424B8">
      <w:start w:val="8"/>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7329A"/>
    <w:multiLevelType w:val="hybridMultilevel"/>
    <w:tmpl w:val="D2242C76"/>
    <w:lvl w:ilvl="0" w:tplc="64E29FDC">
      <w:start w:val="7"/>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81AE6"/>
    <w:multiLevelType w:val="multilevel"/>
    <w:tmpl w:val="13C81AE6"/>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lowerLetter"/>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15A75796"/>
    <w:multiLevelType w:val="multilevel"/>
    <w:tmpl w:val="15A75796"/>
    <w:lvl w:ilvl="0">
      <w:start w:val="1"/>
      <w:numFmt w:val="lowerLetter"/>
      <w:lvlText w:val="%1."/>
      <w:lvlJc w:val="left"/>
      <w:pPr>
        <w:ind w:left="1260" w:hanging="360"/>
      </w:pPr>
      <w:rPr>
        <w:rFonts w:hint="default"/>
        <w:b/>
        <w:i w:val="0"/>
        <w:color w:val="auto"/>
        <w:sz w:val="22"/>
        <w:szCs w:val="22"/>
      </w:rPr>
    </w:lvl>
    <w:lvl w:ilvl="1">
      <w:start w:val="1"/>
      <w:numFmt w:val="decimal"/>
      <w:isLgl/>
      <w:lvlText w:val="%1.%2"/>
      <w:lvlJc w:val="left"/>
      <w:pPr>
        <w:ind w:left="900" w:hanging="360"/>
      </w:pPr>
      <w:rPr>
        <w:rFonts w:ascii="Arial" w:hAnsi="Arial" w:cs="Arial" w:hint="default"/>
        <w:b w:val="0"/>
        <w:i w:val="0"/>
        <w:color w:val="auto"/>
        <w:sz w:val="22"/>
        <w:szCs w:val="22"/>
      </w:rPr>
    </w:lvl>
    <w:lvl w:ilvl="2">
      <w:start w:val="1"/>
      <w:numFmt w:val="lowerLetter"/>
      <w:lvlText w:val="%3."/>
      <w:lvlJc w:val="left"/>
      <w:pPr>
        <w:ind w:left="207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182E5014"/>
    <w:multiLevelType w:val="multilevel"/>
    <w:tmpl w:val="182E5014"/>
    <w:lvl w:ilvl="0">
      <w:start w:val="13"/>
      <w:numFmt w:val="decimal"/>
      <w:lvlText w:val="5.%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AD2DDA"/>
    <w:multiLevelType w:val="multilevel"/>
    <w:tmpl w:val="19AD2DD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FE5AF3"/>
    <w:multiLevelType w:val="multilevel"/>
    <w:tmpl w:val="19FE5AF3"/>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1846D9"/>
    <w:multiLevelType w:val="multilevel"/>
    <w:tmpl w:val="1A1846D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1D4D47C7"/>
    <w:multiLevelType w:val="multilevel"/>
    <w:tmpl w:val="1D4D47C7"/>
    <w:lvl w:ilvl="0">
      <w:start w:val="1"/>
      <w:numFmt w:val="lowerLetter"/>
      <w:lvlText w:val="%1."/>
      <w:lvlJc w:val="left"/>
      <w:pPr>
        <w:ind w:left="1080" w:hanging="360"/>
      </w:pPr>
      <w:rPr>
        <w:rFonts w:ascii="Arial" w:hAnsi="Arial" w:cs="Arial" w:hint="default"/>
        <w:b/>
        <w:bCs/>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D586551"/>
    <w:multiLevelType w:val="multilevel"/>
    <w:tmpl w:val="1D586551"/>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8" w15:restartNumberingAfterBreak="0">
    <w:nsid w:val="21102278"/>
    <w:multiLevelType w:val="multilevel"/>
    <w:tmpl w:val="21102278"/>
    <w:lvl w:ilvl="0">
      <w:start w:val="1"/>
      <w:numFmt w:val="lowerRoman"/>
      <w:lvlText w:val="(%1)"/>
      <w:lvlJc w:val="left"/>
      <w:pPr>
        <w:ind w:left="2520" w:hanging="72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9" w15:restartNumberingAfterBreak="0">
    <w:nsid w:val="21655B40"/>
    <w:multiLevelType w:val="multilevel"/>
    <w:tmpl w:val="21655B40"/>
    <w:lvl w:ilvl="0">
      <w:start w:val="1"/>
      <w:numFmt w:val="lowerRoman"/>
      <w:lvlText w:val="(%1)"/>
      <w:lvlJc w:val="left"/>
      <w:pPr>
        <w:ind w:left="2610" w:hanging="720"/>
      </w:pPr>
      <w:rPr>
        <w:rFonts w:hint="default"/>
      </w:rPr>
    </w:lvl>
    <w:lvl w:ilvl="1">
      <w:start w:val="1"/>
      <w:numFmt w:val="lowerLetter"/>
      <w:lvlText w:val="%2."/>
      <w:lvlJc w:val="left"/>
      <w:pPr>
        <w:ind w:left="2970" w:hanging="360"/>
      </w:pPr>
    </w:lvl>
    <w:lvl w:ilvl="2">
      <w:start w:val="1"/>
      <w:numFmt w:val="lowerRoman"/>
      <w:lvlText w:val="%3."/>
      <w:lvlJc w:val="right"/>
      <w:pPr>
        <w:ind w:left="3690" w:hanging="180"/>
      </w:pPr>
    </w:lvl>
    <w:lvl w:ilvl="3">
      <w:start w:val="1"/>
      <w:numFmt w:val="decimal"/>
      <w:lvlText w:val="%4."/>
      <w:lvlJc w:val="left"/>
      <w:pPr>
        <w:ind w:left="4410" w:hanging="360"/>
      </w:pPr>
    </w:lvl>
    <w:lvl w:ilvl="4">
      <w:start w:val="1"/>
      <w:numFmt w:val="lowerLetter"/>
      <w:lvlText w:val="%5."/>
      <w:lvlJc w:val="left"/>
      <w:pPr>
        <w:ind w:left="5130" w:hanging="360"/>
      </w:pPr>
    </w:lvl>
    <w:lvl w:ilvl="5">
      <w:start w:val="1"/>
      <w:numFmt w:val="lowerRoman"/>
      <w:lvlText w:val="%6."/>
      <w:lvlJc w:val="right"/>
      <w:pPr>
        <w:ind w:left="5850" w:hanging="180"/>
      </w:pPr>
    </w:lvl>
    <w:lvl w:ilvl="6">
      <w:start w:val="1"/>
      <w:numFmt w:val="decimal"/>
      <w:lvlText w:val="%7."/>
      <w:lvlJc w:val="left"/>
      <w:pPr>
        <w:ind w:left="6570" w:hanging="360"/>
      </w:pPr>
    </w:lvl>
    <w:lvl w:ilvl="7">
      <w:start w:val="1"/>
      <w:numFmt w:val="lowerLetter"/>
      <w:lvlText w:val="%8."/>
      <w:lvlJc w:val="left"/>
      <w:pPr>
        <w:ind w:left="7290" w:hanging="360"/>
      </w:pPr>
    </w:lvl>
    <w:lvl w:ilvl="8">
      <w:start w:val="1"/>
      <w:numFmt w:val="lowerRoman"/>
      <w:lvlText w:val="%9."/>
      <w:lvlJc w:val="right"/>
      <w:pPr>
        <w:ind w:left="8010" w:hanging="180"/>
      </w:pPr>
    </w:lvl>
  </w:abstractNum>
  <w:abstractNum w:abstractNumId="20" w15:restartNumberingAfterBreak="0">
    <w:nsid w:val="220A03DF"/>
    <w:multiLevelType w:val="multilevel"/>
    <w:tmpl w:val="220A03DF"/>
    <w:lvl w:ilvl="0">
      <w:start w:val="1"/>
      <w:numFmt w:val="lowerLetter"/>
      <w:lvlText w:val="%1."/>
      <w:lvlJc w:val="left"/>
      <w:pPr>
        <w:ind w:left="1800" w:hanging="360"/>
      </w:pPr>
      <w:rPr>
        <w:rFonts w:hint="default"/>
        <w:b w:val="0"/>
        <w:bCs/>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22804D37"/>
    <w:multiLevelType w:val="multilevel"/>
    <w:tmpl w:val="C524A81A"/>
    <w:lvl w:ilvl="0">
      <w:start w:val="1"/>
      <w:numFmt w:val="decimal"/>
      <w:lvlText w:val="%1."/>
      <w:lvlJc w:val="left"/>
      <w:pPr>
        <w:ind w:left="360" w:hanging="360"/>
      </w:pPr>
      <w:rPr>
        <w:rFonts w:hint="default"/>
        <w:b/>
        <w:i w:val="0"/>
        <w:sz w:val="22"/>
        <w:szCs w:val="22"/>
      </w:rPr>
    </w:lvl>
    <w:lvl w:ilvl="1">
      <w:start w:val="1"/>
      <w:numFmt w:val="decimal"/>
      <w:lvlText w:val="%1.%2"/>
      <w:lvlJc w:val="left"/>
      <w:pPr>
        <w:ind w:left="1142" w:hanging="432"/>
      </w:pPr>
      <w:rPr>
        <w:rFonts w:ascii="Arial" w:hAnsi="Arial" w:cs="Arial" w:hint="default"/>
        <w:b w:val="0"/>
        <w:i w:val="0"/>
        <w:iCs/>
        <w:sz w:val="22"/>
        <w:szCs w:val="22"/>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D0454E"/>
    <w:multiLevelType w:val="multilevel"/>
    <w:tmpl w:val="4EDCB4A4"/>
    <w:lvl w:ilvl="0">
      <w:start w:val="1"/>
      <w:numFmt w:val="decimal"/>
      <w:lvlText w:val="%1."/>
      <w:lvlJc w:val="left"/>
      <w:pPr>
        <w:ind w:left="360" w:hanging="360"/>
      </w:pPr>
      <w:rPr>
        <w:rFonts w:hint="default"/>
        <w:b/>
        <w:i w:val="0"/>
        <w:sz w:val="22"/>
        <w:szCs w:val="22"/>
      </w:rPr>
    </w:lvl>
    <w:lvl w:ilvl="1">
      <w:start w:val="1"/>
      <w:numFmt w:val="decimal"/>
      <w:lvlText w:val="%1.%2"/>
      <w:lvlJc w:val="left"/>
      <w:pPr>
        <w:ind w:left="1142" w:hanging="432"/>
      </w:pPr>
      <w:rPr>
        <w:rFonts w:ascii="Arial" w:hAnsi="Arial" w:cs="Arial" w:hint="default"/>
        <w:b w:val="0"/>
        <w:i w:val="0"/>
        <w:iCs/>
        <w:sz w:val="22"/>
        <w:szCs w:val="22"/>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071189"/>
    <w:multiLevelType w:val="multilevel"/>
    <w:tmpl w:val="26071189"/>
    <w:lvl w:ilvl="0">
      <w:start w:val="8"/>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216837"/>
    <w:multiLevelType w:val="hybridMultilevel"/>
    <w:tmpl w:val="8F9E0374"/>
    <w:lvl w:ilvl="0" w:tplc="52DADB86">
      <w:start w:val="6"/>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31650F"/>
    <w:multiLevelType w:val="hybridMultilevel"/>
    <w:tmpl w:val="5B7862FC"/>
    <w:lvl w:ilvl="0" w:tplc="0E8E9824">
      <w:start w:val="7"/>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C01ED1"/>
    <w:multiLevelType w:val="hybridMultilevel"/>
    <w:tmpl w:val="CABC08B0"/>
    <w:lvl w:ilvl="0" w:tplc="24589164">
      <w:start w:val="10"/>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125AA"/>
    <w:multiLevelType w:val="hybridMultilevel"/>
    <w:tmpl w:val="4FA60966"/>
    <w:lvl w:ilvl="0" w:tplc="7F02DFDA">
      <w:start w:val="13"/>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C8742B"/>
    <w:multiLevelType w:val="multilevel"/>
    <w:tmpl w:val="2EC8742B"/>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992D19"/>
    <w:multiLevelType w:val="multilevel"/>
    <w:tmpl w:val="2F992D19"/>
    <w:lvl w:ilvl="0">
      <w:start w:val="1"/>
      <w:numFmt w:val="upperLetter"/>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920EC4"/>
    <w:multiLevelType w:val="hybridMultilevel"/>
    <w:tmpl w:val="5122D6F4"/>
    <w:lvl w:ilvl="0" w:tplc="429017DA">
      <w:start w:val="1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944B43"/>
    <w:multiLevelType w:val="hybridMultilevel"/>
    <w:tmpl w:val="31804A64"/>
    <w:lvl w:ilvl="0" w:tplc="730AC006">
      <w:start w:val="1"/>
      <w:numFmt w:val="decimal"/>
      <w:lvlText w:val="3.%1"/>
      <w:lvlJc w:val="left"/>
      <w:pPr>
        <w:ind w:left="1276" w:hanging="360"/>
      </w:pPr>
      <w:rPr>
        <w:rFonts w:hint="default"/>
        <w:b w:val="0"/>
        <w:i w:val="0"/>
        <w:sz w:val="22"/>
        <w:szCs w:val="22"/>
        <w:u w:val="none"/>
      </w:rPr>
    </w:lvl>
    <w:lvl w:ilvl="1" w:tplc="34090019">
      <w:start w:val="1"/>
      <w:numFmt w:val="lowerLetter"/>
      <w:lvlText w:val="%2."/>
      <w:lvlJc w:val="left"/>
      <w:pPr>
        <w:ind w:left="1996" w:hanging="360"/>
      </w:pPr>
    </w:lvl>
    <w:lvl w:ilvl="2" w:tplc="3409001B" w:tentative="1">
      <w:start w:val="1"/>
      <w:numFmt w:val="lowerRoman"/>
      <w:lvlText w:val="%3."/>
      <w:lvlJc w:val="right"/>
      <w:pPr>
        <w:ind w:left="2716" w:hanging="180"/>
      </w:pPr>
    </w:lvl>
    <w:lvl w:ilvl="3" w:tplc="3409000F" w:tentative="1">
      <w:start w:val="1"/>
      <w:numFmt w:val="decimal"/>
      <w:lvlText w:val="%4."/>
      <w:lvlJc w:val="left"/>
      <w:pPr>
        <w:ind w:left="3436" w:hanging="360"/>
      </w:pPr>
    </w:lvl>
    <w:lvl w:ilvl="4" w:tplc="34090019" w:tentative="1">
      <w:start w:val="1"/>
      <w:numFmt w:val="lowerLetter"/>
      <w:lvlText w:val="%5."/>
      <w:lvlJc w:val="left"/>
      <w:pPr>
        <w:ind w:left="4156" w:hanging="360"/>
      </w:pPr>
    </w:lvl>
    <w:lvl w:ilvl="5" w:tplc="3409001B" w:tentative="1">
      <w:start w:val="1"/>
      <w:numFmt w:val="lowerRoman"/>
      <w:lvlText w:val="%6."/>
      <w:lvlJc w:val="right"/>
      <w:pPr>
        <w:ind w:left="4876" w:hanging="180"/>
      </w:pPr>
    </w:lvl>
    <w:lvl w:ilvl="6" w:tplc="3409000F" w:tentative="1">
      <w:start w:val="1"/>
      <w:numFmt w:val="decimal"/>
      <w:lvlText w:val="%7."/>
      <w:lvlJc w:val="left"/>
      <w:pPr>
        <w:ind w:left="5596" w:hanging="360"/>
      </w:pPr>
    </w:lvl>
    <w:lvl w:ilvl="7" w:tplc="34090019" w:tentative="1">
      <w:start w:val="1"/>
      <w:numFmt w:val="lowerLetter"/>
      <w:lvlText w:val="%8."/>
      <w:lvlJc w:val="left"/>
      <w:pPr>
        <w:ind w:left="6316" w:hanging="360"/>
      </w:pPr>
    </w:lvl>
    <w:lvl w:ilvl="8" w:tplc="3409001B" w:tentative="1">
      <w:start w:val="1"/>
      <w:numFmt w:val="lowerRoman"/>
      <w:lvlText w:val="%9."/>
      <w:lvlJc w:val="right"/>
      <w:pPr>
        <w:ind w:left="7036" w:hanging="180"/>
      </w:pPr>
    </w:lvl>
  </w:abstractNum>
  <w:abstractNum w:abstractNumId="32" w15:restartNumberingAfterBreak="0">
    <w:nsid w:val="30C955CE"/>
    <w:multiLevelType w:val="multilevel"/>
    <w:tmpl w:val="30C955CE"/>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33" w15:restartNumberingAfterBreak="0">
    <w:nsid w:val="3111216E"/>
    <w:multiLevelType w:val="multilevel"/>
    <w:tmpl w:val="3111216E"/>
    <w:lvl w:ilvl="0">
      <w:start w:val="1"/>
      <w:numFmt w:val="lowerLetter"/>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14E4042"/>
    <w:multiLevelType w:val="hybridMultilevel"/>
    <w:tmpl w:val="550E7D44"/>
    <w:lvl w:ilvl="0" w:tplc="00725BF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5" w15:restartNumberingAfterBreak="0">
    <w:nsid w:val="334E7F58"/>
    <w:multiLevelType w:val="multilevel"/>
    <w:tmpl w:val="334E7F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55715A0"/>
    <w:multiLevelType w:val="multilevel"/>
    <w:tmpl w:val="355715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35606CB0"/>
    <w:multiLevelType w:val="multilevel"/>
    <w:tmpl w:val="35606CB0"/>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6F937D3"/>
    <w:multiLevelType w:val="multilevel"/>
    <w:tmpl w:val="36F937D3"/>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37DA5C20"/>
    <w:multiLevelType w:val="multilevel"/>
    <w:tmpl w:val="37DA5C20"/>
    <w:lvl w:ilvl="0">
      <w:start w:val="3"/>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8403C91"/>
    <w:multiLevelType w:val="multilevel"/>
    <w:tmpl w:val="38403C91"/>
    <w:lvl w:ilvl="0">
      <w:start w:val="9"/>
      <w:numFmt w:val="decimal"/>
      <w:lvlText w:val="7.%1"/>
      <w:lvlJc w:val="left"/>
      <w:pPr>
        <w:ind w:left="180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AA224FD"/>
    <w:multiLevelType w:val="hybridMultilevel"/>
    <w:tmpl w:val="81D447FA"/>
    <w:lvl w:ilvl="0" w:tplc="4686126E">
      <w:start w:val="6"/>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BE319A"/>
    <w:multiLevelType w:val="multilevel"/>
    <w:tmpl w:val="3BBE319A"/>
    <w:lvl w:ilvl="0">
      <w:start w:val="1"/>
      <w:numFmt w:val="decimal"/>
      <w:lvlText w:val="%1."/>
      <w:lvlJc w:val="left"/>
      <w:pPr>
        <w:ind w:left="360" w:hanging="360"/>
      </w:pPr>
      <w:rPr>
        <w:rFonts w:hint="default"/>
        <w:b/>
        <w:i w:val="0"/>
      </w:rPr>
    </w:lvl>
    <w:lvl w:ilvl="1">
      <w:start w:val="1"/>
      <w:numFmt w:val="decimal"/>
      <w:lvlText w:val="%1.%2"/>
      <w:lvlJc w:val="left"/>
      <w:pPr>
        <w:ind w:left="4260"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CC40F9"/>
    <w:multiLevelType w:val="multilevel"/>
    <w:tmpl w:val="3BCC40F9"/>
    <w:lvl w:ilvl="0">
      <w:start w:val="16"/>
      <w:numFmt w:val="decimal"/>
      <w:lvlText w:val="1.%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E8E11B3"/>
    <w:multiLevelType w:val="hybridMultilevel"/>
    <w:tmpl w:val="850A30F8"/>
    <w:lvl w:ilvl="0" w:tplc="A9E8A3EE">
      <w:start w:val="6"/>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231293"/>
    <w:multiLevelType w:val="multilevel"/>
    <w:tmpl w:val="41231293"/>
    <w:lvl w:ilvl="0">
      <w:start w:val="9"/>
      <w:numFmt w:val="decimal"/>
      <w:lvlText w:val="10.%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AB073C"/>
    <w:multiLevelType w:val="hybridMultilevel"/>
    <w:tmpl w:val="545E05B0"/>
    <w:lvl w:ilvl="0" w:tplc="2F32FC1C">
      <w:start w:val="9"/>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E76568"/>
    <w:multiLevelType w:val="multilevel"/>
    <w:tmpl w:val="D0C4A208"/>
    <w:lvl w:ilvl="0">
      <w:start w:val="6"/>
      <w:numFmt w:val="decimal"/>
      <w:lvlText w:val="14.%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6E1CF3"/>
    <w:multiLevelType w:val="multilevel"/>
    <w:tmpl w:val="7D34A2A6"/>
    <w:lvl w:ilvl="0">
      <w:start w:val="33"/>
      <w:numFmt w:val="decimal"/>
      <w:lvlText w:val="9.%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5940DF"/>
    <w:multiLevelType w:val="multilevel"/>
    <w:tmpl w:val="485940D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49D77FA8"/>
    <w:multiLevelType w:val="multilevel"/>
    <w:tmpl w:val="49D77FA8"/>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51" w15:restartNumberingAfterBreak="0">
    <w:nsid w:val="4B3B5F8F"/>
    <w:multiLevelType w:val="multilevel"/>
    <w:tmpl w:val="52C6F53E"/>
    <w:lvl w:ilvl="0">
      <w:start w:val="18"/>
      <w:numFmt w:val="decimal"/>
      <w:lvlText w:val="8.%1"/>
      <w:lvlJc w:val="left"/>
      <w:pPr>
        <w:ind w:left="180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BB75F71"/>
    <w:multiLevelType w:val="multilevel"/>
    <w:tmpl w:val="4BB75F71"/>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7F69CE"/>
    <w:multiLevelType w:val="multilevel"/>
    <w:tmpl w:val="4C7F69CE"/>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DB56000"/>
    <w:multiLevelType w:val="multilevel"/>
    <w:tmpl w:val="FA76280C"/>
    <w:lvl w:ilvl="0">
      <w:start w:val="8"/>
      <w:numFmt w:val="decimal"/>
      <w:lvlText w:val="11.%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FA122B0"/>
    <w:multiLevelType w:val="hybridMultilevel"/>
    <w:tmpl w:val="CA8E29E8"/>
    <w:lvl w:ilvl="0" w:tplc="D922B0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8334DD"/>
    <w:multiLevelType w:val="hybridMultilevel"/>
    <w:tmpl w:val="6D5851A8"/>
    <w:lvl w:ilvl="0" w:tplc="14EC0038">
      <w:start w:val="14"/>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DF7435"/>
    <w:multiLevelType w:val="hybridMultilevel"/>
    <w:tmpl w:val="CFB6FA4E"/>
    <w:lvl w:ilvl="0" w:tplc="99B4F8A0">
      <w:start w:val="33"/>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354F65"/>
    <w:multiLevelType w:val="multilevel"/>
    <w:tmpl w:val="20526FE8"/>
    <w:lvl w:ilvl="0">
      <w:start w:val="6"/>
      <w:numFmt w:val="decimal"/>
      <w:lvlText w:val="12.%1"/>
      <w:lvlJc w:val="left"/>
      <w:pPr>
        <w:ind w:left="21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33979AA"/>
    <w:multiLevelType w:val="hybridMultilevel"/>
    <w:tmpl w:val="655ACBE4"/>
    <w:lvl w:ilvl="0" w:tplc="D9FE83FA">
      <w:start w:val="16"/>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325A4E"/>
    <w:multiLevelType w:val="hybridMultilevel"/>
    <w:tmpl w:val="89D07316"/>
    <w:lvl w:ilvl="0" w:tplc="30B857A2">
      <w:start w:val="1"/>
      <w:numFmt w:val="decimal"/>
      <w:lvlText w:val="1.%1"/>
      <w:lvlJc w:val="left"/>
      <w:pPr>
        <w:ind w:left="1620" w:hanging="360"/>
      </w:pPr>
      <w:rPr>
        <w:rFonts w:hint="default"/>
        <w:b w:val="0"/>
        <w:i w:val="0"/>
        <w:u w:val="none"/>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61" w15:restartNumberingAfterBreak="0">
    <w:nsid w:val="55183247"/>
    <w:multiLevelType w:val="multilevel"/>
    <w:tmpl w:val="55183247"/>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5781F74"/>
    <w:multiLevelType w:val="hybridMultilevel"/>
    <w:tmpl w:val="D83C36DC"/>
    <w:lvl w:ilvl="0" w:tplc="A11890F0">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63" w15:restartNumberingAfterBreak="0">
    <w:nsid w:val="582B44E7"/>
    <w:multiLevelType w:val="hybridMultilevel"/>
    <w:tmpl w:val="473074D6"/>
    <w:lvl w:ilvl="0" w:tplc="A686D804">
      <w:start w:val="33"/>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7B345E"/>
    <w:multiLevelType w:val="multilevel"/>
    <w:tmpl w:val="587B345E"/>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8A02A6B"/>
    <w:multiLevelType w:val="multilevel"/>
    <w:tmpl w:val="58A02A6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2"/>
      <w:numFmt w:val="lowerLetter"/>
      <w:lvlText w:val="(%4)"/>
      <w:lvlJc w:val="left"/>
      <w:pPr>
        <w:ind w:left="2520" w:hanging="360"/>
      </w:pPr>
      <w:rPr>
        <w:rFonts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A913616"/>
    <w:multiLevelType w:val="multilevel"/>
    <w:tmpl w:val="5A913616"/>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5AC802E8"/>
    <w:multiLevelType w:val="multilevel"/>
    <w:tmpl w:val="5AC802E8"/>
    <w:lvl w:ilvl="0">
      <w:start w:val="17"/>
      <w:numFmt w:val="decimal"/>
      <w:lvlText w:val="6.%1"/>
      <w:lvlJc w:val="left"/>
      <w:pPr>
        <w:ind w:left="19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8F4D3C"/>
    <w:multiLevelType w:val="multilevel"/>
    <w:tmpl w:val="3014BAD6"/>
    <w:lvl w:ilvl="0">
      <w:start w:val="8"/>
      <w:numFmt w:val="decimal"/>
      <w:lvlText w:val="10.%1"/>
      <w:lvlJc w:val="left"/>
      <w:pPr>
        <w:ind w:left="144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C311C81"/>
    <w:multiLevelType w:val="multilevel"/>
    <w:tmpl w:val="4EDCB4A4"/>
    <w:lvl w:ilvl="0">
      <w:start w:val="1"/>
      <w:numFmt w:val="decimal"/>
      <w:lvlText w:val="%1."/>
      <w:lvlJc w:val="left"/>
      <w:pPr>
        <w:ind w:left="360" w:hanging="360"/>
      </w:pPr>
      <w:rPr>
        <w:rFonts w:hint="default"/>
        <w:b/>
        <w:i w:val="0"/>
        <w:sz w:val="22"/>
        <w:szCs w:val="22"/>
      </w:rPr>
    </w:lvl>
    <w:lvl w:ilvl="1">
      <w:start w:val="1"/>
      <w:numFmt w:val="decimal"/>
      <w:lvlText w:val="%1.%2"/>
      <w:lvlJc w:val="left"/>
      <w:pPr>
        <w:ind w:left="1142" w:hanging="432"/>
      </w:pPr>
      <w:rPr>
        <w:rFonts w:ascii="Arial" w:hAnsi="Arial" w:cs="Arial" w:hint="default"/>
        <w:b w:val="0"/>
        <w:i w:val="0"/>
        <w:iCs/>
        <w:sz w:val="22"/>
        <w:szCs w:val="22"/>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51499C"/>
    <w:multiLevelType w:val="hybridMultilevel"/>
    <w:tmpl w:val="3DDED5D4"/>
    <w:lvl w:ilvl="0" w:tplc="812E4DA2">
      <w:start w:val="10"/>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763C65"/>
    <w:multiLevelType w:val="multilevel"/>
    <w:tmpl w:val="5D763C6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15:restartNumberingAfterBreak="0">
    <w:nsid w:val="5D930A38"/>
    <w:multiLevelType w:val="multilevel"/>
    <w:tmpl w:val="5D930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DE15580"/>
    <w:multiLevelType w:val="hybridMultilevel"/>
    <w:tmpl w:val="A31C0900"/>
    <w:lvl w:ilvl="0" w:tplc="30EC3BA6">
      <w:start w:val="22"/>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A120D9"/>
    <w:multiLevelType w:val="hybridMultilevel"/>
    <w:tmpl w:val="A99C3C52"/>
    <w:lvl w:ilvl="0" w:tplc="7D302D06">
      <w:start w:val="9"/>
      <w:numFmt w:val="decimal"/>
      <w:lvlText w:val="7.%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02A75F5"/>
    <w:multiLevelType w:val="multilevel"/>
    <w:tmpl w:val="602A75F5"/>
    <w:lvl w:ilvl="0">
      <w:start w:val="16"/>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B427C3"/>
    <w:multiLevelType w:val="multilevel"/>
    <w:tmpl w:val="60B427C3"/>
    <w:lvl w:ilvl="0">
      <w:start w:val="1"/>
      <w:numFmt w:val="lowerLetter"/>
      <w:lvlText w:val="%1."/>
      <w:lvlJc w:val="left"/>
      <w:pPr>
        <w:ind w:left="180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1D500E1"/>
    <w:multiLevelType w:val="multilevel"/>
    <w:tmpl w:val="61D500E1"/>
    <w:lvl w:ilvl="0">
      <w:start w:val="1"/>
      <w:numFmt w:val="lowerLetter"/>
      <w:lvlText w:val="%1."/>
      <w:lvlJc w:val="left"/>
      <w:pPr>
        <w:ind w:left="1080" w:hanging="360"/>
      </w:pPr>
      <w:rPr>
        <w:rFonts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663B3DA3"/>
    <w:multiLevelType w:val="multilevel"/>
    <w:tmpl w:val="663B3DA3"/>
    <w:lvl w:ilvl="0">
      <w:start w:val="1"/>
      <w:numFmt w:val="lowerRoman"/>
      <w:lvlText w:val="%1."/>
      <w:lvlJc w:val="right"/>
      <w:pPr>
        <w:ind w:left="2716" w:hanging="360"/>
      </w:pPr>
    </w:lvl>
    <w:lvl w:ilvl="1">
      <w:start w:val="1"/>
      <w:numFmt w:val="lowerLetter"/>
      <w:lvlText w:val="%2."/>
      <w:lvlJc w:val="left"/>
      <w:pPr>
        <w:ind w:left="3436" w:hanging="360"/>
      </w:pPr>
    </w:lvl>
    <w:lvl w:ilvl="2">
      <w:start w:val="1"/>
      <w:numFmt w:val="lowerRoman"/>
      <w:lvlText w:val="%3."/>
      <w:lvlJc w:val="right"/>
      <w:pPr>
        <w:ind w:left="4156" w:hanging="180"/>
      </w:pPr>
    </w:lvl>
    <w:lvl w:ilvl="3">
      <w:start w:val="1"/>
      <w:numFmt w:val="decimal"/>
      <w:lvlText w:val="%4."/>
      <w:lvlJc w:val="left"/>
      <w:pPr>
        <w:ind w:left="4876" w:hanging="360"/>
      </w:pPr>
    </w:lvl>
    <w:lvl w:ilvl="4">
      <w:start w:val="1"/>
      <w:numFmt w:val="lowerLetter"/>
      <w:lvlText w:val="%5."/>
      <w:lvlJc w:val="left"/>
      <w:pPr>
        <w:ind w:left="5596" w:hanging="360"/>
      </w:pPr>
    </w:lvl>
    <w:lvl w:ilvl="5">
      <w:start w:val="1"/>
      <w:numFmt w:val="lowerRoman"/>
      <w:lvlText w:val="%6."/>
      <w:lvlJc w:val="right"/>
      <w:pPr>
        <w:ind w:left="6316" w:hanging="180"/>
      </w:pPr>
    </w:lvl>
    <w:lvl w:ilvl="6">
      <w:start w:val="1"/>
      <w:numFmt w:val="decimal"/>
      <w:lvlText w:val="%7."/>
      <w:lvlJc w:val="left"/>
      <w:pPr>
        <w:ind w:left="7036" w:hanging="360"/>
      </w:pPr>
    </w:lvl>
    <w:lvl w:ilvl="7">
      <w:start w:val="1"/>
      <w:numFmt w:val="lowerLetter"/>
      <w:lvlText w:val="%8."/>
      <w:lvlJc w:val="left"/>
      <w:pPr>
        <w:ind w:left="7756" w:hanging="360"/>
      </w:pPr>
    </w:lvl>
    <w:lvl w:ilvl="8">
      <w:start w:val="1"/>
      <w:numFmt w:val="lowerRoman"/>
      <w:lvlText w:val="%9."/>
      <w:lvlJc w:val="right"/>
      <w:pPr>
        <w:ind w:left="8476" w:hanging="180"/>
      </w:pPr>
    </w:lvl>
  </w:abstractNum>
  <w:abstractNum w:abstractNumId="79" w15:restartNumberingAfterBreak="0">
    <w:nsid w:val="666871A0"/>
    <w:multiLevelType w:val="multilevel"/>
    <w:tmpl w:val="666871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B179BA"/>
    <w:multiLevelType w:val="multilevel"/>
    <w:tmpl w:val="69B179B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A190A35"/>
    <w:multiLevelType w:val="multilevel"/>
    <w:tmpl w:val="6A190A35"/>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F3F1608"/>
    <w:multiLevelType w:val="hybridMultilevel"/>
    <w:tmpl w:val="B40236DA"/>
    <w:lvl w:ilvl="0" w:tplc="63BA5588">
      <w:start w:val="6"/>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FA7764"/>
    <w:multiLevelType w:val="multilevel"/>
    <w:tmpl w:val="70FA7764"/>
    <w:lvl w:ilvl="0">
      <w:start w:val="1"/>
      <w:numFmt w:val="lowerLetter"/>
      <w:lvlText w:val="%1."/>
      <w:lvlJc w:val="left"/>
      <w:pPr>
        <w:ind w:left="1620" w:hanging="360"/>
      </w:pPr>
      <w:rPr>
        <w:rFonts w:eastAsia="Calibri" w:hint="default"/>
        <w:color w:val="000000" w:themeColor="text1"/>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84" w15:restartNumberingAfterBreak="0">
    <w:nsid w:val="715A532F"/>
    <w:multiLevelType w:val="hybridMultilevel"/>
    <w:tmpl w:val="DB40A0E0"/>
    <w:lvl w:ilvl="0" w:tplc="CA907D56">
      <w:start w:val="9"/>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DC4229"/>
    <w:multiLevelType w:val="multilevel"/>
    <w:tmpl w:val="71DC422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74634E5B"/>
    <w:multiLevelType w:val="hybridMultilevel"/>
    <w:tmpl w:val="941809D2"/>
    <w:lvl w:ilvl="0" w:tplc="1834E75A">
      <w:start w:val="6"/>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C553D8"/>
    <w:multiLevelType w:val="hybridMultilevel"/>
    <w:tmpl w:val="E11A5B9C"/>
    <w:lvl w:ilvl="0" w:tplc="F0CA2196">
      <w:start w:val="3"/>
      <w:numFmt w:val="decimal"/>
      <w:lvlText w:val="%1."/>
      <w:lvlJc w:val="left"/>
      <w:pPr>
        <w:ind w:left="720" w:hanging="360"/>
      </w:pPr>
      <w:rPr>
        <w:rFonts w:hint="default"/>
        <w:color w:val="auto"/>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8" w15:restartNumberingAfterBreak="0">
    <w:nsid w:val="75D95573"/>
    <w:multiLevelType w:val="multilevel"/>
    <w:tmpl w:val="75D95573"/>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6822F26"/>
    <w:multiLevelType w:val="multilevel"/>
    <w:tmpl w:val="76822F26"/>
    <w:lvl w:ilvl="0">
      <w:start w:val="6"/>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7401EA9"/>
    <w:multiLevelType w:val="hybridMultilevel"/>
    <w:tmpl w:val="0534DA66"/>
    <w:lvl w:ilvl="0" w:tplc="8A8C82CA">
      <w:start w:val="8"/>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7BB1160"/>
    <w:multiLevelType w:val="hybridMultilevel"/>
    <w:tmpl w:val="801662AE"/>
    <w:lvl w:ilvl="0" w:tplc="BECAEC6E">
      <w:start w:val="16"/>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13073C"/>
    <w:multiLevelType w:val="hybridMultilevel"/>
    <w:tmpl w:val="5B986B9C"/>
    <w:lvl w:ilvl="0" w:tplc="3F4A8E48">
      <w:start w:val="8"/>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D2C592D"/>
    <w:multiLevelType w:val="multilevel"/>
    <w:tmpl w:val="7D2C592D"/>
    <w:lvl w:ilvl="0">
      <w:start w:val="1"/>
      <w:numFmt w:val="lowerLetter"/>
      <w:lvlText w:val="%1."/>
      <w:lvlJc w:val="left"/>
      <w:pPr>
        <w:ind w:left="1620" w:hanging="360"/>
      </w:pPr>
      <w:rPr>
        <w:rFonts w:eastAsia="Calibri" w:hint="default"/>
        <w:color w:val="000000" w:themeColor="text1"/>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4" w15:restartNumberingAfterBreak="0">
    <w:nsid w:val="7F0D7BE3"/>
    <w:multiLevelType w:val="multilevel"/>
    <w:tmpl w:val="7F0D7BE3"/>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F0F372E"/>
    <w:multiLevelType w:val="hybridMultilevel"/>
    <w:tmpl w:val="4600F144"/>
    <w:lvl w:ilvl="0" w:tplc="599887AA">
      <w:start w:val="18"/>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4874119">
    <w:abstractNumId w:val="6"/>
  </w:num>
  <w:num w:numId="2" w16cid:durableId="839002051">
    <w:abstractNumId w:val="29"/>
  </w:num>
  <w:num w:numId="3" w16cid:durableId="314799118">
    <w:abstractNumId w:val="22"/>
  </w:num>
  <w:num w:numId="4" w16cid:durableId="817915829">
    <w:abstractNumId w:val="36"/>
  </w:num>
  <w:num w:numId="5" w16cid:durableId="1686206397">
    <w:abstractNumId w:val="66"/>
  </w:num>
  <w:num w:numId="6" w16cid:durableId="2004359655">
    <w:abstractNumId w:val="85"/>
  </w:num>
  <w:num w:numId="7" w16cid:durableId="114372600">
    <w:abstractNumId w:val="43"/>
  </w:num>
  <w:num w:numId="8" w16cid:durableId="1287277189">
    <w:abstractNumId w:val="13"/>
  </w:num>
  <w:num w:numId="9" w16cid:durableId="125777524">
    <w:abstractNumId w:val="17"/>
  </w:num>
  <w:num w:numId="10" w16cid:durableId="1874993697">
    <w:abstractNumId w:val="10"/>
  </w:num>
  <w:num w:numId="11" w16cid:durableId="1083185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1457886">
    <w:abstractNumId w:val="78"/>
  </w:num>
  <w:num w:numId="13" w16cid:durableId="1866359460">
    <w:abstractNumId w:val="1"/>
  </w:num>
  <w:num w:numId="14" w16cid:durableId="487675869">
    <w:abstractNumId w:val="23"/>
  </w:num>
  <w:num w:numId="15" w16cid:durableId="1764569417">
    <w:abstractNumId w:val="65"/>
  </w:num>
  <w:num w:numId="16" w16cid:durableId="1918519844">
    <w:abstractNumId w:val="28"/>
  </w:num>
  <w:num w:numId="17" w16cid:durableId="444429681">
    <w:abstractNumId w:val="75"/>
  </w:num>
  <w:num w:numId="18" w16cid:durableId="1830438004">
    <w:abstractNumId w:val="15"/>
  </w:num>
  <w:num w:numId="19" w16cid:durableId="1615285834">
    <w:abstractNumId w:val="89"/>
  </w:num>
  <w:num w:numId="20" w16cid:durableId="598147099">
    <w:abstractNumId w:val="11"/>
  </w:num>
  <w:num w:numId="21" w16cid:durableId="43414723">
    <w:abstractNumId w:val="12"/>
  </w:num>
  <w:num w:numId="22" w16cid:durableId="1752000482">
    <w:abstractNumId w:val="49"/>
  </w:num>
  <w:num w:numId="23" w16cid:durableId="1487698581">
    <w:abstractNumId w:val="67"/>
  </w:num>
  <w:num w:numId="24" w16cid:durableId="982320055">
    <w:abstractNumId w:val="93"/>
  </w:num>
  <w:num w:numId="25" w16cid:durableId="763454725">
    <w:abstractNumId w:val="83"/>
  </w:num>
  <w:num w:numId="26" w16cid:durableId="810829267">
    <w:abstractNumId w:val="64"/>
  </w:num>
  <w:num w:numId="27" w16cid:durableId="1300723966">
    <w:abstractNumId w:val="20"/>
  </w:num>
  <w:num w:numId="28" w16cid:durableId="1816409666">
    <w:abstractNumId w:val="76"/>
  </w:num>
  <w:num w:numId="29" w16cid:durableId="199020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3785404">
    <w:abstractNumId w:val="72"/>
  </w:num>
  <w:num w:numId="31" w16cid:durableId="1578440598">
    <w:abstractNumId w:val="40"/>
  </w:num>
  <w:num w:numId="32" w16cid:durableId="603853020">
    <w:abstractNumId w:val="35"/>
  </w:num>
  <w:num w:numId="33" w16cid:durableId="1394424746">
    <w:abstractNumId w:val="14"/>
  </w:num>
  <w:num w:numId="34" w16cid:durableId="1615480559">
    <w:abstractNumId w:val="51"/>
  </w:num>
  <w:num w:numId="35" w16cid:durableId="1823157855">
    <w:abstractNumId w:val="37"/>
  </w:num>
  <w:num w:numId="36" w16cid:durableId="791901059">
    <w:abstractNumId w:val="33"/>
  </w:num>
  <w:num w:numId="37" w16cid:durableId="1365711498">
    <w:abstractNumId w:val="71"/>
  </w:num>
  <w:num w:numId="38" w16cid:durableId="1174682951">
    <w:abstractNumId w:val="50"/>
  </w:num>
  <w:num w:numId="39" w16cid:durableId="1655912901">
    <w:abstractNumId w:val="32"/>
  </w:num>
  <w:num w:numId="40" w16cid:durableId="46953329">
    <w:abstractNumId w:val="80"/>
  </w:num>
  <w:num w:numId="41" w16cid:durableId="45758353">
    <w:abstractNumId w:val="61"/>
  </w:num>
  <w:num w:numId="42" w16cid:durableId="2055813157">
    <w:abstractNumId w:val="39"/>
  </w:num>
  <w:num w:numId="43" w16cid:durableId="266696856">
    <w:abstractNumId w:val="38"/>
  </w:num>
  <w:num w:numId="44" w16cid:durableId="180706858">
    <w:abstractNumId w:val="81"/>
  </w:num>
  <w:num w:numId="45" w16cid:durableId="718557552">
    <w:abstractNumId w:val="48"/>
  </w:num>
  <w:num w:numId="46" w16cid:durableId="1397437461">
    <w:abstractNumId w:val="53"/>
  </w:num>
  <w:num w:numId="47" w16cid:durableId="1150562507">
    <w:abstractNumId w:val="52"/>
  </w:num>
  <w:num w:numId="48" w16cid:durableId="375155981">
    <w:abstractNumId w:val="68"/>
  </w:num>
  <w:num w:numId="49" w16cid:durableId="324016276">
    <w:abstractNumId w:val="16"/>
  </w:num>
  <w:num w:numId="50" w16cid:durableId="34350718">
    <w:abstractNumId w:val="45"/>
  </w:num>
  <w:num w:numId="51" w16cid:durableId="1700935001">
    <w:abstractNumId w:val="54"/>
  </w:num>
  <w:num w:numId="52" w16cid:durableId="1229457877">
    <w:abstractNumId w:val="94"/>
  </w:num>
  <w:num w:numId="53" w16cid:durableId="881016484">
    <w:abstractNumId w:val="79"/>
  </w:num>
  <w:num w:numId="54" w16cid:durableId="1855722834">
    <w:abstractNumId w:val="5"/>
  </w:num>
  <w:num w:numId="55" w16cid:durableId="1014191416">
    <w:abstractNumId w:val="58"/>
  </w:num>
  <w:num w:numId="56" w16cid:durableId="1736393663">
    <w:abstractNumId w:val="18"/>
  </w:num>
  <w:num w:numId="57" w16cid:durableId="496766942">
    <w:abstractNumId w:val="19"/>
  </w:num>
  <w:num w:numId="58" w16cid:durableId="512913711">
    <w:abstractNumId w:val="88"/>
  </w:num>
  <w:num w:numId="59" w16cid:durableId="1573007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9906">
    <w:abstractNumId w:val="77"/>
  </w:num>
  <w:num w:numId="61" w16cid:durableId="1934701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413775014">
    <w:abstractNumId w:val="47"/>
  </w:num>
  <w:num w:numId="63" w16cid:durableId="1649433490">
    <w:abstractNumId w:val="42"/>
  </w:num>
  <w:num w:numId="64" w16cid:durableId="1530332987">
    <w:abstractNumId w:val="2"/>
  </w:num>
  <w:num w:numId="65" w16cid:durableId="1904438671">
    <w:abstractNumId w:val="87"/>
  </w:num>
  <w:num w:numId="66" w16cid:durableId="636030639">
    <w:abstractNumId w:val="31"/>
  </w:num>
  <w:num w:numId="67" w16cid:durableId="868106097">
    <w:abstractNumId w:val="0"/>
  </w:num>
  <w:num w:numId="68" w16cid:durableId="2108382822">
    <w:abstractNumId w:val="34"/>
  </w:num>
  <w:num w:numId="69" w16cid:durableId="973826857">
    <w:abstractNumId w:val="62"/>
  </w:num>
  <w:num w:numId="70" w16cid:durableId="1917782538">
    <w:abstractNumId w:val="60"/>
  </w:num>
  <w:num w:numId="71" w16cid:durableId="767845889">
    <w:abstractNumId w:val="21"/>
  </w:num>
  <w:num w:numId="72" w16cid:durableId="389693870">
    <w:abstractNumId w:val="55"/>
  </w:num>
  <w:num w:numId="73" w16cid:durableId="1988706729">
    <w:abstractNumId w:val="92"/>
  </w:num>
  <w:num w:numId="74" w16cid:durableId="460998793">
    <w:abstractNumId w:val="73"/>
  </w:num>
  <w:num w:numId="75" w16cid:durableId="1563322536">
    <w:abstractNumId w:val="84"/>
  </w:num>
  <w:num w:numId="76" w16cid:durableId="143085169">
    <w:abstractNumId w:val="26"/>
  </w:num>
  <w:num w:numId="77" w16cid:durableId="2028480908">
    <w:abstractNumId w:val="70"/>
  </w:num>
  <w:num w:numId="78" w16cid:durableId="1657606503">
    <w:abstractNumId w:val="59"/>
  </w:num>
  <w:num w:numId="79" w16cid:durableId="299386823">
    <w:abstractNumId w:val="91"/>
  </w:num>
  <w:num w:numId="80" w16cid:durableId="1464811525">
    <w:abstractNumId w:val="30"/>
  </w:num>
  <w:num w:numId="81" w16cid:durableId="358356728">
    <w:abstractNumId w:val="27"/>
  </w:num>
  <w:num w:numId="82" w16cid:durableId="1988780356">
    <w:abstractNumId w:val="9"/>
  </w:num>
  <w:num w:numId="83" w16cid:durableId="285085454">
    <w:abstractNumId w:val="25"/>
  </w:num>
  <w:num w:numId="84" w16cid:durableId="1229684102">
    <w:abstractNumId w:val="74"/>
  </w:num>
  <w:num w:numId="85" w16cid:durableId="2146660836">
    <w:abstractNumId w:val="46"/>
  </w:num>
  <w:num w:numId="86" w16cid:durableId="1375930952">
    <w:abstractNumId w:val="82"/>
  </w:num>
  <w:num w:numId="87" w16cid:durableId="414474630">
    <w:abstractNumId w:val="86"/>
  </w:num>
  <w:num w:numId="88" w16cid:durableId="1509827192">
    <w:abstractNumId w:val="7"/>
  </w:num>
  <w:num w:numId="89" w16cid:durableId="24061951">
    <w:abstractNumId w:val="56"/>
  </w:num>
  <w:num w:numId="90" w16cid:durableId="672033714">
    <w:abstractNumId w:val="95"/>
  </w:num>
  <w:num w:numId="91" w16cid:durableId="1205364209">
    <w:abstractNumId w:val="4"/>
  </w:num>
  <w:num w:numId="92" w16cid:durableId="1904292772">
    <w:abstractNumId w:val="57"/>
  </w:num>
  <w:num w:numId="93" w16cid:durableId="837159547">
    <w:abstractNumId w:val="63"/>
  </w:num>
  <w:num w:numId="94" w16cid:durableId="144973708">
    <w:abstractNumId w:val="3"/>
  </w:num>
  <w:num w:numId="95" w16cid:durableId="1725564820">
    <w:abstractNumId w:val="90"/>
  </w:num>
  <w:num w:numId="96" w16cid:durableId="334185437">
    <w:abstractNumId w:val="8"/>
  </w:num>
  <w:num w:numId="97" w16cid:durableId="1921787770">
    <w:abstractNumId w:val="44"/>
  </w:num>
  <w:num w:numId="98" w16cid:durableId="840896646">
    <w:abstractNumId w:val="41"/>
  </w:num>
  <w:num w:numId="99" w16cid:durableId="354162279">
    <w:abstractNumId w:val="24"/>
  </w:num>
  <w:num w:numId="100" w16cid:durableId="1745293551">
    <w:abstractNumId w:val="6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JbzyDxAUMXqKFnkn/OUUq/tlr7+wEoR83Ive+1cS1OgFUGCzo0jsW53Cdb3Za47BoUVva1xp4v8VK0k+dvuaA==" w:salt="Jrrl8Z5jIDxRKC7sT+I8/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A8"/>
    <w:rsid w:val="00000BAA"/>
    <w:rsid w:val="00003939"/>
    <w:rsid w:val="00003E75"/>
    <w:rsid w:val="00004785"/>
    <w:rsid w:val="00004AAA"/>
    <w:rsid w:val="0000702D"/>
    <w:rsid w:val="0001013C"/>
    <w:rsid w:val="000102DC"/>
    <w:rsid w:val="000105DB"/>
    <w:rsid w:val="0001307F"/>
    <w:rsid w:val="00013176"/>
    <w:rsid w:val="00013E62"/>
    <w:rsid w:val="00014BAD"/>
    <w:rsid w:val="00014CE8"/>
    <w:rsid w:val="00014E0C"/>
    <w:rsid w:val="0001633B"/>
    <w:rsid w:val="000168C8"/>
    <w:rsid w:val="00017188"/>
    <w:rsid w:val="000201A3"/>
    <w:rsid w:val="000211DE"/>
    <w:rsid w:val="00021421"/>
    <w:rsid w:val="00022800"/>
    <w:rsid w:val="00022F22"/>
    <w:rsid w:val="00025AA1"/>
    <w:rsid w:val="00025CD1"/>
    <w:rsid w:val="000264D6"/>
    <w:rsid w:val="00026658"/>
    <w:rsid w:val="00027DF9"/>
    <w:rsid w:val="00030ED0"/>
    <w:rsid w:val="00032407"/>
    <w:rsid w:val="00032678"/>
    <w:rsid w:val="00033A10"/>
    <w:rsid w:val="0003430B"/>
    <w:rsid w:val="00034EB2"/>
    <w:rsid w:val="000355A5"/>
    <w:rsid w:val="00035D68"/>
    <w:rsid w:val="00036B48"/>
    <w:rsid w:val="00036EEB"/>
    <w:rsid w:val="00037490"/>
    <w:rsid w:val="000375FD"/>
    <w:rsid w:val="00037A89"/>
    <w:rsid w:val="00037B2A"/>
    <w:rsid w:val="00040390"/>
    <w:rsid w:val="0004115F"/>
    <w:rsid w:val="0004191D"/>
    <w:rsid w:val="00041A7D"/>
    <w:rsid w:val="00042EDB"/>
    <w:rsid w:val="00043B1C"/>
    <w:rsid w:val="00043F64"/>
    <w:rsid w:val="0004413D"/>
    <w:rsid w:val="000444AC"/>
    <w:rsid w:val="000445B6"/>
    <w:rsid w:val="000452DB"/>
    <w:rsid w:val="00046CBF"/>
    <w:rsid w:val="000502BD"/>
    <w:rsid w:val="00052790"/>
    <w:rsid w:val="00053086"/>
    <w:rsid w:val="00053698"/>
    <w:rsid w:val="00054401"/>
    <w:rsid w:val="00054878"/>
    <w:rsid w:val="00055102"/>
    <w:rsid w:val="00055DA5"/>
    <w:rsid w:val="00056916"/>
    <w:rsid w:val="00056B2C"/>
    <w:rsid w:val="00056E9B"/>
    <w:rsid w:val="00057098"/>
    <w:rsid w:val="000575CE"/>
    <w:rsid w:val="00061558"/>
    <w:rsid w:val="00062DCF"/>
    <w:rsid w:val="000630C5"/>
    <w:rsid w:val="00063D8B"/>
    <w:rsid w:val="0006590F"/>
    <w:rsid w:val="0006652F"/>
    <w:rsid w:val="0007085A"/>
    <w:rsid w:val="00070981"/>
    <w:rsid w:val="00070F9B"/>
    <w:rsid w:val="00071599"/>
    <w:rsid w:val="000737AF"/>
    <w:rsid w:val="00073CB9"/>
    <w:rsid w:val="0007520C"/>
    <w:rsid w:val="000758F4"/>
    <w:rsid w:val="00075A75"/>
    <w:rsid w:val="00076DAF"/>
    <w:rsid w:val="00077ECF"/>
    <w:rsid w:val="000804AD"/>
    <w:rsid w:val="00080B90"/>
    <w:rsid w:val="00080C71"/>
    <w:rsid w:val="00080F81"/>
    <w:rsid w:val="00081E20"/>
    <w:rsid w:val="00082946"/>
    <w:rsid w:val="0008338D"/>
    <w:rsid w:val="000840B7"/>
    <w:rsid w:val="00084218"/>
    <w:rsid w:val="0008556B"/>
    <w:rsid w:val="0008585D"/>
    <w:rsid w:val="00085AB2"/>
    <w:rsid w:val="000872D1"/>
    <w:rsid w:val="00087466"/>
    <w:rsid w:val="00087D84"/>
    <w:rsid w:val="000900E9"/>
    <w:rsid w:val="0009034C"/>
    <w:rsid w:val="00092A03"/>
    <w:rsid w:val="00092A64"/>
    <w:rsid w:val="00093937"/>
    <w:rsid w:val="00095A61"/>
    <w:rsid w:val="000966CD"/>
    <w:rsid w:val="00096740"/>
    <w:rsid w:val="000969CC"/>
    <w:rsid w:val="000A048E"/>
    <w:rsid w:val="000A0B65"/>
    <w:rsid w:val="000A2477"/>
    <w:rsid w:val="000A2F90"/>
    <w:rsid w:val="000A3A70"/>
    <w:rsid w:val="000A4C70"/>
    <w:rsid w:val="000A5BDD"/>
    <w:rsid w:val="000A5C3C"/>
    <w:rsid w:val="000A6889"/>
    <w:rsid w:val="000A68D7"/>
    <w:rsid w:val="000A6980"/>
    <w:rsid w:val="000A6E16"/>
    <w:rsid w:val="000B0402"/>
    <w:rsid w:val="000B1256"/>
    <w:rsid w:val="000B1E76"/>
    <w:rsid w:val="000B2D1C"/>
    <w:rsid w:val="000B3397"/>
    <w:rsid w:val="000B4055"/>
    <w:rsid w:val="000B425E"/>
    <w:rsid w:val="000B597F"/>
    <w:rsid w:val="000B659D"/>
    <w:rsid w:val="000B6DAC"/>
    <w:rsid w:val="000B7351"/>
    <w:rsid w:val="000C2ED8"/>
    <w:rsid w:val="000C3962"/>
    <w:rsid w:val="000C4D84"/>
    <w:rsid w:val="000C4D91"/>
    <w:rsid w:val="000C56DA"/>
    <w:rsid w:val="000C5F71"/>
    <w:rsid w:val="000C6C03"/>
    <w:rsid w:val="000D0574"/>
    <w:rsid w:val="000D1090"/>
    <w:rsid w:val="000D319C"/>
    <w:rsid w:val="000D4557"/>
    <w:rsid w:val="000D4579"/>
    <w:rsid w:val="000D464B"/>
    <w:rsid w:val="000D55C1"/>
    <w:rsid w:val="000D59E6"/>
    <w:rsid w:val="000D6D6E"/>
    <w:rsid w:val="000D739F"/>
    <w:rsid w:val="000E03B0"/>
    <w:rsid w:val="000E04FA"/>
    <w:rsid w:val="000E12FC"/>
    <w:rsid w:val="000E21B6"/>
    <w:rsid w:val="000E24FB"/>
    <w:rsid w:val="000E271C"/>
    <w:rsid w:val="000E40E4"/>
    <w:rsid w:val="000E4321"/>
    <w:rsid w:val="000E52F4"/>
    <w:rsid w:val="000E5516"/>
    <w:rsid w:val="000E764A"/>
    <w:rsid w:val="000F0309"/>
    <w:rsid w:val="000F1D6D"/>
    <w:rsid w:val="000F1E89"/>
    <w:rsid w:val="000F4A07"/>
    <w:rsid w:val="000F5212"/>
    <w:rsid w:val="000F63F3"/>
    <w:rsid w:val="000F720C"/>
    <w:rsid w:val="00100586"/>
    <w:rsid w:val="00100A02"/>
    <w:rsid w:val="00100DEE"/>
    <w:rsid w:val="00101439"/>
    <w:rsid w:val="00102958"/>
    <w:rsid w:val="0010341E"/>
    <w:rsid w:val="001039BD"/>
    <w:rsid w:val="00104795"/>
    <w:rsid w:val="001053E4"/>
    <w:rsid w:val="001070F7"/>
    <w:rsid w:val="00112872"/>
    <w:rsid w:val="001134C1"/>
    <w:rsid w:val="001139B5"/>
    <w:rsid w:val="0011478D"/>
    <w:rsid w:val="001152D3"/>
    <w:rsid w:val="0011731E"/>
    <w:rsid w:val="0011757F"/>
    <w:rsid w:val="00120B63"/>
    <w:rsid w:val="001216B4"/>
    <w:rsid w:val="00122B20"/>
    <w:rsid w:val="00123833"/>
    <w:rsid w:val="00123D0B"/>
    <w:rsid w:val="001246B7"/>
    <w:rsid w:val="0012495B"/>
    <w:rsid w:val="00125270"/>
    <w:rsid w:val="001259FF"/>
    <w:rsid w:val="00126AA3"/>
    <w:rsid w:val="00126E87"/>
    <w:rsid w:val="001301F7"/>
    <w:rsid w:val="00130413"/>
    <w:rsid w:val="001304C2"/>
    <w:rsid w:val="0013174A"/>
    <w:rsid w:val="00131AE5"/>
    <w:rsid w:val="00131AFB"/>
    <w:rsid w:val="00132E80"/>
    <w:rsid w:val="001335A0"/>
    <w:rsid w:val="00133F4C"/>
    <w:rsid w:val="0013408C"/>
    <w:rsid w:val="00134C0E"/>
    <w:rsid w:val="001355A2"/>
    <w:rsid w:val="001361EE"/>
    <w:rsid w:val="00136250"/>
    <w:rsid w:val="001362EB"/>
    <w:rsid w:val="0014107C"/>
    <w:rsid w:val="00144261"/>
    <w:rsid w:val="00144695"/>
    <w:rsid w:val="001463D8"/>
    <w:rsid w:val="00147837"/>
    <w:rsid w:val="00150891"/>
    <w:rsid w:val="001515CA"/>
    <w:rsid w:val="00152B2B"/>
    <w:rsid w:val="00153869"/>
    <w:rsid w:val="00153BC1"/>
    <w:rsid w:val="001540BE"/>
    <w:rsid w:val="00154483"/>
    <w:rsid w:val="00156E3B"/>
    <w:rsid w:val="00156F15"/>
    <w:rsid w:val="00160D54"/>
    <w:rsid w:val="00161BC5"/>
    <w:rsid w:val="00161EA3"/>
    <w:rsid w:val="001630C9"/>
    <w:rsid w:val="001642A5"/>
    <w:rsid w:val="001644C3"/>
    <w:rsid w:val="001648E5"/>
    <w:rsid w:val="001654E3"/>
    <w:rsid w:val="0016655C"/>
    <w:rsid w:val="00166CD7"/>
    <w:rsid w:val="001671EF"/>
    <w:rsid w:val="00170C15"/>
    <w:rsid w:val="00172C22"/>
    <w:rsid w:val="00172FF7"/>
    <w:rsid w:val="00173C09"/>
    <w:rsid w:val="001740D1"/>
    <w:rsid w:val="0017584A"/>
    <w:rsid w:val="00175F67"/>
    <w:rsid w:val="0018107B"/>
    <w:rsid w:val="0018217B"/>
    <w:rsid w:val="00182398"/>
    <w:rsid w:val="00182D1D"/>
    <w:rsid w:val="00182FA5"/>
    <w:rsid w:val="001849DE"/>
    <w:rsid w:val="00185CEC"/>
    <w:rsid w:val="00186CB6"/>
    <w:rsid w:val="00187061"/>
    <w:rsid w:val="001872C8"/>
    <w:rsid w:val="001900F3"/>
    <w:rsid w:val="00190EA6"/>
    <w:rsid w:val="00192E38"/>
    <w:rsid w:val="00194956"/>
    <w:rsid w:val="00194972"/>
    <w:rsid w:val="00195C4E"/>
    <w:rsid w:val="00196FB0"/>
    <w:rsid w:val="001A0FB9"/>
    <w:rsid w:val="001A3848"/>
    <w:rsid w:val="001A548F"/>
    <w:rsid w:val="001A6489"/>
    <w:rsid w:val="001B15F0"/>
    <w:rsid w:val="001B2BE5"/>
    <w:rsid w:val="001B322F"/>
    <w:rsid w:val="001B5C1E"/>
    <w:rsid w:val="001B69B0"/>
    <w:rsid w:val="001B6C3A"/>
    <w:rsid w:val="001B70CE"/>
    <w:rsid w:val="001C229E"/>
    <w:rsid w:val="001C30FC"/>
    <w:rsid w:val="001C37F2"/>
    <w:rsid w:val="001C4747"/>
    <w:rsid w:val="001C4B64"/>
    <w:rsid w:val="001C5049"/>
    <w:rsid w:val="001D0069"/>
    <w:rsid w:val="001D01F4"/>
    <w:rsid w:val="001D09EB"/>
    <w:rsid w:val="001D0BA3"/>
    <w:rsid w:val="001D1B4F"/>
    <w:rsid w:val="001D2A5A"/>
    <w:rsid w:val="001D4716"/>
    <w:rsid w:val="001D50A0"/>
    <w:rsid w:val="001D559A"/>
    <w:rsid w:val="001D5B04"/>
    <w:rsid w:val="001D648B"/>
    <w:rsid w:val="001E0B5F"/>
    <w:rsid w:val="001E1E34"/>
    <w:rsid w:val="001E391C"/>
    <w:rsid w:val="001E4AB3"/>
    <w:rsid w:val="001E5CEC"/>
    <w:rsid w:val="001E6AA3"/>
    <w:rsid w:val="001E7EE0"/>
    <w:rsid w:val="001F4D46"/>
    <w:rsid w:val="001F6AE0"/>
    <w:rsid w:val="002003AF"/>
    <w:rsid w:val="00200B96"/>
    <w:rsid w:val="00201A85"/>
    <w:rsid w:val="002024FA"/>
    <w:rsid w:val="00202F10"/>
    <w:rsid w:val="0020318D"/>
    <w:rsid w:val="00203C09"/>
    <w:rsid w:val="00205236"/>
    <w:rsid w:val="0021112B"/>
    <w:rsid w:val="0021242B"/>
    <w:rsid w:val="002143A3"/>
    <w:rsid w:val="00214682"/>
    <w:rsid w:val="00214770"/>
    <w:rsid w:val="00215815"/>
    <w:rsid w:val="0021649B"/>
    <w:rsid w:val="00217259"/>
    <w:rsid w:val="00217EE5"/>
    <w:rsid w:val="00220505"/>
    <w:rsid w:val="00220EC4"/>
    <w:rsid w:val="0022195C"/>
    <w:rsid w:val="00222511"/>
    <w:rsid w:val="00222988"/>
    <w:rsid w:val="00222D58"/>
    <w:rsid w:val="00223D6D"/>
    <w:rsid w:val="00223EA9"/>
    <w:rsid w:val="002253FA"/>
    <w:rsid w:val="00226D28"/>
    <w:rsid w:val="002273B7"/>
    <w:rsid w:val="00233C58"/>
    <w:rsid w:val="00234B72"/>
    <w:rsid w:val="0023575B"/>
    <w:rsid w:val="002365B6"/>
    <w:rsid w:val="00236F66"/>
    <w:rsid w:val="00237A2D"/>
    <w:rsid w:val="00237CF5"/>
    <w:rsid w:val="002407D6"/>
    <w:rsid w:val="002411A0"/>
    <w:rsid w:val="002431AD"/>
    <w:rsid w:val="002436E6"/>
    <w:rsid w:val="00245E37"/>
    <w:rsid w:val="00246090"/>
    <w:rsid w:val="00246EA9"/>
    <w:rsid w:val="0024778A"/>
    <w:rsid w:val="00250691"/>
    <w:rsid w:val="00250888"/>
    <w:rsid w:val="00250CBF"/>
    <w:rsid w:val="00250D59"/>
    <w:rsid w:val="0025322D"/>
    <w:rsid w:val="00254902"/>
    <w:rsid w:val="0025609F"/>
    <w:rsid w:val="00260764"/>
    <w:rsid w:val="00260C74"/>
    <w:rsid w:val="00264241"/>
    <w:rsid w:val="00264D8F"/>
    <w:rsid w:val="0026528F"/>
    <w:rsid w:val="002654CC"/>
    <w:rsid w:val="00265FA8"/>
    <w:rsid w:val="00266FEE"/>
    <w:rsid w:val="0026748B"/>
    <w:rsid w:val="00267B83"/>
    <w:rsid w:val="00270EBD"/>
    <w:rsid w:val="00273174"/>
    <w:rsid w:val="00275047"/>
    <w:rsid w:val="00276875"/>
    <w:rsid w:val="002779C5"/>
    <w:rsid w:val="00280A72"/>
    <w:rsid w:val="002815DD"/>
    <w:rsid w:val="00282549"/>
    <w:rsid w:val="002833C0"/>
    <w:rsid w:val="00283581"/>
    <w:rsid w:val="00283942"/>
    <w:rsid w:val="002844C0"/>
    <w:rsid w:val="00285512"/>
    <w:rsid w:val="00287544"/>
    <w:rsid w:val="002906A7"/>
    <w:rsid w:val="00291473"/>
    <w:rsid w:val="00292319"/>
    <w:rsid w:val="00294055"/>
    <w:rsid w:val="0029451D"/>
    <w:rsid w:val="00295E58"/>
    <w:rsid w:val="002960CB"/>
    <w:rsid w:val="0029761D"/>
    <w:rsid w:val="002976CB"/>
    <w:rsid w:val="00297816"/>
    <w:rsid w:val="0029782A"/>
    <w:rsid w:val="00297F1C"/>
    <w:rsid w:val="00297F2D"/>
    <w:rsid w:val="002A1733"/>
    <w:rsid w:val="002A3A53"/>
    <w:rsid w:val="002A6EAC"/>
    <w:rsid w:val="002A788C"/>
    <w:rsid w:val="002B032B"/>
    <w:rsid w:val="002B1322"/>
    <w:rsid w:val="002B167B"/>
    <w:rsid w:val="002B37A6"/>
    <w:rsid w:val="002B3D94"/>
    <w:rsid w:val="002B474A"/>
    <w:rsid w:val="002B7EF4"/>
    <w:rsid w:val="002C02EC"/>
    <w:rsid w:val="002C4513"/>
    <w:rsid w:val="002C46F7"/>
    <w:rsid w:val="002C5E75"/>
    <w:rsid w:val="002C5E8E"/>
    <w:rsid w:val="002C6D27"/>
    <w:rsid w:val="002C6EBE"/>
    <w:rsid w:val="002C707C"/>
    <w:rsid w:val="002D0A1B"/>
    <w:rsid w:val="002D3260"/>
    <w:rsid w:val="002D367F"/>
    <w:rsid w:val="002D4240"/>
    <w:rsid w:val="002D4C7A"/>
    <w:rsid w:val="002D5ECC"/>
    <w:rsid w:val="002D6BB9"/>
    <w:rsid w:val="002D7876"/>
    <w:rsid w:val="002E0AD9"/>
    <w:rsid w:val="002E0F5A"/>
    <w:rsid w:val="002E10D4"/>
    <w:rsid w:val="002E16A3"/>
    <w:rsid w:val="002E4C01"/>
    <w:rsid w:val="002E57D1"/>
    <w:rsid w:val="002E5BD9"/>
    <w:rsid w:val="002E692E"/>
    <w:rsid w:val="002F0109"/>
    <w:rsid w:val="002F0591"/>
    <w:rsid w:val="002F0C67"/>
    <w:rsid w:val="002F1044"/>
    <w:rsid w:val="002F135C"/>
    <w:rsid w:val="002F1816"/>
    <w:rsid w:val="002F3244"/>
    <w:rsid w:val="002F3DAB"/>
    <w:rsid w:val="002F3F2F"/>
    <w:rsid w:val="002F45C2"/>
    <w:rsid w:val="002F7B21"/>
    <w:rsid w:val="002F7F93"/>
    <w:rsid w:val="00302661"/>
    <w:rsid w:val="00304735"/>
    <w:rsid w:val="00304836"/>
    <w:rsid w:val="00304A41"/>
    <w:rsid w:val="00304D93"/>
    <w:rsid w:val="00304DA6"/>
    <w:rsid w:val="0030549F"/>
    <w:rsid w:val="00305C2F"/>
    <w:rsid w:val="00306C61"/>
    <w:rsid w:val="0030733D"/>
    <w:rsid w:val="00310A1D"/>
    <w:rsid w:val="00310B39"/>
    <w:rsid w:val="00311728"/>
    <w:rsid w:val="00311D10"/>
    <w:rsid w:val="0031404F"/>
    <w:rsid w:val="00315378"/>
    <w:rsid w:val="0031579B"/>
    <w:rsid w:val="003201D4"/>
    <w:rsid w:val="003208C9"/>
    <w:rsid w:val="00321305"/>
    <w:rsid w:val="00322219"/>
    <w:rsid w:val="003225C9"/>
    <w:rsid w:val="00322788"/>
    <w:rsid w:val="00323809"/>
    <w:rsid w:val="003248FD"/>
    <w:rsid w:val="00325EF9"/>
    <w:rsid w:val="00326A5C"/>
    <w:rsid w:val="00330FFB"/>
    <w:rsid w:val="0033234D"/>
    <w:rsid w:val="0033397E"/>
    <w:rsid w:val="003347A1"/>
    <w:rsid w:val="00334E1E"/>
    <w:rsid w:val="00334F1F"/>
    <w:rsid w:val="0033659E"/>
    <w:rsid w:val="00336907"/>
    <w:rsid w:val="00337E8C"/>
    <w:rsid w:val="0034026E"/>
    <w:rsid w:val="00340393"/>
    <w:rsid w:val="0034042C"/>
    <w:rsid w:val="003412E4"/>
    <w:rsid w:val="00341F84"/>
    <w:rsid w:val="003421FA"/>
    <w:rsid w:val="003448D0"/>
    <w:rsid w:val="00344DB6"/>
    <w:rsid w:val="00345A71"/>
    <w:rsid w:val="00345ACF"/>
    <w:rsid w:val="00347862"/>
    <w:rsid w:val="00347A53"/>
    <w:rsid w:val="00350060"/>
    <w:rsid w:val="00350EA3"/>
    <w:rsid w:val="00350FA5"/>
    <w:rsid w:val="00351158"/>
    <w:rsid w:val="00353857"/>
    <w:rsid w:val="003541CB"/>
    <w:rsid w:val="00354346"/>
    <w:rsid w:val="003551C5"/>
    <w:rsid w:val="003558EC"/>
    <w:rsid w:val="00356827"/>
    <w:rsid w:val="00356CD4"/>
    <w:rsid w:val="003576D2"/>
    <w:rsid w:val="003578D3"/>
    <w:rsid w:val="00357A90"/>
    <w:rsid w:val="00357DCA"/>
    <w:rsid w:val="00361EEE"/>
    <w:rsid w:val="00362F49"/>
    <w:rsid w:val="00364480"/>
    <w:rsid w:val="003655AE"/>
    <w:rsid w:val="00365E2D"/>
    <w:rsid w:val="00370BE7"/>
    <w:rsid w:val="00371609"/>
    <w:rsid w:val="0037498C"/>
    <w:rsid w:val="0037517B"/>
    <w:rsid w:val="003768B2"/>
    <w:rsid w:val="0038034B"/>
    <w:rsid w:val="003822E4"/>
    <w:rsid w:val="00382C7B"/>
    <w:rsid w:val="00382F11"/>
    <w:rsid w:val="003831F2"/>
    <w:rsid w:val="003856E2"/>
    <w:rsid w:val="0038714C"/>
    <w:rsid w:val="003908DF"/>
    <w:rsid w:val="003917AC"/>
    <w:rsid w:val="00391A4B"/>
    <w:rsid w:val="00392F96"/>
    <w:rsid w:val="003945E8"/>
    <w:rsid w:val="00395E5C"/>
    <w:rsid w:val="003962BC"/>
    <w:rsid w:val="00396E1D"/>
    <w:rsid w:val="003A140E"/>
    <w:rsid w:val="003A1C72"/>
    <w:rsid w:val="003A2078"/>
    <w:rsid w:val="003A220C"/>
    <w:rsid w:val="003A2764"/>
    <w:rsid w:val="003A46D5"/>
    <w:rsid w:val="003A5208"/>
    <w:rsid w:val="003A73AD"/>
    <w:rsid w:val="003A7493"/>
    <w:rsid w:val="003B071B"/>
    <w:rsid w:val="003B28CB"/>
    <w:rsid w:val="003B2C16"/>
    <w:rsid w:val="003B3406"/>
    <w:rsid w:val="003B3540"/>
    <w:rsid w:val="003B3865"/>
    <w:rsid w:val="003B3B2A"/>
    <w:rsid w:val="003B58E0"/>
    <w:rsid w:val="003B6CC6"/>
    <w:rsid w:val="003B7998"/>
    <w:rsid w:val="003C0857"/>
    <w:rsid w:val="003C0AAE"/>
    <w:rsid w:val="003C0DFF"/>
    <w:rsid w:val="003C1608"/>
    <w:rsid w:val="003C1A6F"/>
    <w:rsid w:val="003C35A5"/>
    <w:rsid w:val="003C4143"/>
    <w:rsid w:val="003C4CC8"/>
    <w:rsid w:val="003C52AC"/>
    <w:rsid w:val="003C5D6D"/>
    <w:rsid w:val="003C668C"/>
    <w:rsid w:val="003C6DD2"/>
    <w:rsid w:val="003C7916"/>
    <w:rsid w:val="003D07B4"/>
    <w:rsid w:val="003D08D0"/>
    <w:rsid w:val="003D1D17"/>
    <w:rsid w:val="003D1E36"/>
    <w:rsid w:val="003D1E3D"/>
    <w:rsid w:val="003D36F6"/>
    <w:rsid w:val="003D3BE0"/>
    <w:rsid w:val="003D5074"/>
    <w:rsid w:val="003D51E1"/>
    <w:rsid w:val="003D70F6"/>
    <w:rsid w:val="003D7CCC"/>
    <w:rsid w:val="003D7EAB"/>
    <w:rsid w:val="003E113C"/>
    <w:rsid w:val="003E296B"/>
    <w:rsid w:val="003E35C1"/>
    <w:rsid w:val="003E5A1D"/>
    <w:rsid w:val="003E6728"/>
    <w:rsid w:val="003E6C7E"/>
    <w:rsid w:val="003E7A81"/>
    <w:rsid w:val="003F00D9"/>
    <w:rsid w:val="003F0186"/>
    <w:rsid w:val="003F1736"/>
    <w:rsid w:val="003F50C4"/>
    <w:rsid w:val="003F65C3"/>
    <w:rsid w:val="003F6CCA"/>
    <w:rsid w:val="0040127B"/>
    <w:rsid w:val="00401CA3"/>
    <w:rsid w:val="0040293F"/>
    <w:rsid w:val="00402A32"/>
    <w:rsid w:val="00402FE2"/>
    <w:rsid w:val="004038C6"/>
    <w:rsid w:val="004039BE"/>
    <w:rsid w:val="00403EA3"/>
    <w:rsid w:val="00404113"/>
    <w:rsid w:val="00404281"/>
    <w:rsid w:val="0040434F"/>
    <w:rsid w:val="00404466"/>
    <w:rsid w:val="00404CC7"/>
    <w:rsid w:val="0040527B"/>
    <w:rsid w:val="004070EA"/>
    <w:rsid w:val="004076B9"/>
    <w:rsid w:val="004103BF"/>
    <w:rsid w:val="00410985"/>
    <w:rsid w:val="00410D21"/>
    <w:rsid w:val="00410E8C"/>
    <w:rsid w:val="004121C0"/>
    <w:rsid w:val="00415822"/>
    <w:rsid w:val="00417D4E"/>
    <w:rsid w:val="00420F0D"/>
    <w:rsid w:val="00421EA2"/>
    <w:rsid w:val="004220F9"/>
    <w:rsid w:val="0042267E"/>
    <w:rsid w:val="00423087"/>
    <w:rsid w:val="00424954"/>
    <w:rsid w:val="00426781"/>
    <w:rsid w:val="0042696C"/>
    <w:rsid w:val="004269DA"/>
    <w:rsid w:val="00426B77"/>
    <w:rsid w:val="00427555"/>
    <w:rsid w:val="00430FE6"/>
    <w:rsid w:val="004315B3"/>
    <w:rsid w:val="00431EA2"/>
    <w:rsid w:val="004321FA"/>
    <w:rsid w:val="0043242A"/>
    <w:rsid w:val="0043375E"/>
    <w:rsid w:val="004363FF"/>
    <w:rsid w:val="00437974"/>
    <w:rsid w:val="0044291E"/>
    <w:rsid w:val="00442D52"/>
    <w:rsid w:val="00444469"/>
    <w:rsid w:val="00446E93"/>
    <w:rsid w:val="004470C2"/>
    <w:rsid w:val="00447DC9"/>
    <w:rsid w:val="004501D3"/>
    <w:rsid w:val="004535B4"/>
    <w:rsid w:val="0045397C"/>
    <w:rsid w:val="00454C93"/>
    <w:rsid w:val="004560E3"/>
    <w:rsid w:val="00457E3F"/>
    <w:rsid w:val="00460504"/>
    <w:rsid w:val="00460D26"/>
    <w:rsid w:val="004615F2"/>
    <w:rsid w:val="00464DFC"/>
    <w:rsid w:val="00464F06"/>
    <w:rsid w:val="004652F2"/>
    <w:rsid w:val="0046544B"/>
    <w:rsid w:val="00467C43"/>
    <w:rsid w:val="00470798"/>
    <w:rsid w:val="0047216A"/>
    <w:rsid w:val="0047237F"/>
    <w:rsid w:val="004727DB"/>
    <w:rsid w:val="00472ABA"/>
    <w:rsid w:val="00472C91"/>
    <w:rsid w:val="00473221"/>
    <w:rsid w:val="0047358E"/>
    <w:rsid w:val="004737D8"/>
    <w:rsid w:val="00474E7C"/>
    <w:rsid w:val="0047737D"/>
    <w:rsid w:val="0047787F"/>
    <w:rsid w:val="0048141E"/>
    <w:rsid w:val="00481B64"/>
    <w:rsid w:val="00482583"/>
    <w:rsid w:val="00483005"/>
    <w:rsid w:val="0048359E"/>
    <w:rsid w:val="00483C2B"/>
    <w:rsid w:val="0048425F"/>
    <w:rsid w:val="00484C9D"/>
    <w:rsid w:val="00485272"/>
    <w:rsid w:val="004868DE"/>
    <w:rsid w:val="004877A7"/>
    <w:rsid w:val="00491449"/>
    <w:rsid w:val="004937B1"/>
    <w:rsid w:val="00493DE5"/>
    <w:rsid w:val="0049516A"/>
    <w:rsid w:val="0049548D"/>
    <w:rsid w:val="00495BF6"/>
    <w:rsid w:val="004977E9"/>
    <w:rsid w:val="004A186D"/>
    <w:rsid w:val="004A2306"/>
    <w:rsid w:val="004A2E2F"/>
    <w:rsid w:val="004A2F5A"/>
    <w:rsid w:val="004A4058"/>
    <w:rsid w:val="004A40C2"/>
    <w:rsid w:val="004A40DA"/>
    <w:rsid w:val="004A5286"/>
    <w:rsid w:val="004A5633"/>
    <w:rsid w:val="004A7E67"/>
    <w:rsid w:val="004B02EF"/>
    <w:rsid w:val="004B111F"/>
    <w:rsid w:val="004B14B9"/>
    <w:rsid w:val="004B1C74"/>
    <w:rsid w:val="004B289D"/>
    <w:rsid w:val="004B2DE1"/>
    <w:rsid w:val="004B30CD"/>
    <w:rsid w:val="004B52DB"/>
    <w:rsid w:val="004B69D1"/>
    <w:rsid w:val="004C0E83"/>
    <w:rsid w:val="004C2551"/>
    <w:rsid w:val="004C43EB"/>
    <w:rsid w:val="004C4D29"/>
    <w:rsid w:val="004C4E35"/>
    <w:rsid w:val="004C5236"/>
    <w:rsid w:val="004C5480"/>
    <w:rsid w:val="004C5AFE"/>
    <w:rsid w:val="004C5BEC"/>
    <w:rsid w:val="004C62B7"/>
    <w:rsid w:val="004C73B8"/>
    <w:rsid w:val="004C7E0F"/>
    <w:rsid w:val="004D3C52"/>
    <w:rsid w:val="004E07CA"/>
    <w:rsid w:val="004E0B83"/>
    <w:rsid w:val="004E113F"/>
    <w:rsid w:val="004E1DEF"/>
    <w:rsid w:val="004E39B0"/>
    <w:rsid w:val="004E48DB"/>
    <w:rsid w:val="004E587E"/>
    <w:rsid w:val="004E7457"/>
    <w:rsid w:val="004F0733"/>
    <w:rsid w:val="004F0820"/>
    <w:rsid w:val="004F0C3E"/>
    <w:rsid w:val="004F0CE5"/>
    <w:rsid w:val="004F1352"/>
    <w:rsid w:val="004F28B9"/>
    <w:rsid w:val="004F2ACB"/>
    <w:rsid w:val="004F2CF6"/>
    <w:rsid w:val="004F4AA3"/>
    <w:rsid w:val="004F52C8"/>
    <w:rsid w:val="004F539B"/>
    <w:rsid w:val="004F59A5"/>
    <w:rsid w:val="004F7B67"/>
    <w:rsid w:val="00500262"/>
    <w:rsid w:val="00501351"/>
    <w:rsid w:val="00502532"/>
    <w:rsid w:val="0050362C"/>
    <w:rsid w:val="00503B5D"/>
    <w:rsid w:val="005042B5"/>
    <w:rsid w:val="00504CE0"/>
    <w:rsid w:val="00504D64"/>
    <w:rsid w:val="00506419"/>
    <w:rsid w:val="00506781"/>
    <w:rsid w:val="0050679C"/>
    <w:rsid w:val="00506A78"/>
    <w:rsid w:val="00506C50"/>
    <w:rsid w:val="00506FA0"/>
    <w:rsid w:val="00507F55"/>
    <w:rsid w:val="0051071A"/>
    <w:rsid w:val="00510BA0"/>
    <w:rsid w:val="00510E51"/>
    <w:rsid w:val="0051153B"/>
    <w:rsid w:val="005115CC"/>
    <w:rsid w:val="005134A3"/>
    <w:rsid w:val="00513696"/>
    <w:rsid w:val="00514AD8"/>
    <w:rsid w:val="0051742D"/>
    <w:rsid w:val="00517C6D"/>
    <w:rsid w:val="00520204"/>
    <w:rsid w:val="00520ED6"/>
    <w:rsid w:val="00520F81"/>
    <w:rsid w:val="005221ED"/>
    <w:rsid w:val="00522B2C"/>
    <w:rsid w:val="00523587"/>
    <w:rsid w:val="0052379A"/>
    <w:rsid w:val="005248A1"/>
    <w:rsid w:val="0052491D"/>
    <w:rsid w:val="00524A10"/>
    <w:rsid w:val="005253F2"/>
    <w:rsid w:val="00525707"/>
    <w:rsid w:val="00525D59"/>
    <w:rsid w:val="00526326"/>
    <w:rsid w:val="005267C5"/>
    <w:rsid w:val="00530B21"/>
    <w:rsid w:val="00531F51"/>
    <w:rsid w:val="005320A2"/>
    <w:rsid w:val="00532265"/>
    <w:rsid w:val="00533CFD"/>
    <w:rsid w:val="00534F3B"/>
    <w:rsid w:val="00536C63"/>
    <w:rsid w:val="00536F0D"/>
    <w:rsid w:val="00537338"/>
    <w:rsid w:val="00537C4B"/>
    <w:rsid w:val="005420CA"/>
    <w:rsid w:val="00542119"/>
    <w:rsid w:val="00542EC9"/>
    <w:rsid w:val="00543246"/>
    <w:rsid w:val="005436BA"/>
    <w:rsid w:val="00543929"/>
    <w:rsid w:val="00544CC6"/>
    <w:rsid w:val="00545AB8"/>
    <w:rsid w:val="00545C4B"/>
    <w:rsid w:val="00546D70"/>
    <w:rsid w:val="00547953"/>
    <w:rsid w:val="005501FA"/>
    <w:rsid w:val="00551844"/>
    <w:rsid w:val="005523E5"/>
    <w:rsid w:val="00554DF7"/>
    <w:rsid w:val="00555C43"/>
    <w:rsid w:val="00556065"/>
    <w:rsid w:val="005567B7"/>
    <w:rsid w:val="00557D72"/>
    <w:rsid w:val="00560591"/>
    <w:rsid w:val="00560C24"/>
    <w:rsid w:val="00561FD5"/>
    <w:rsid w:val="005627AA"/>
    <w:rsid w:val="0056372F"/>
    <w:rsid w:val="00563B75"/>
    <w:rsid w:val="005653BF"/>
    <w:rsid w:val="00566168"/>
    <w:rsid w:val="0056745A"/>
    <w:rsid w:val="00571919"/>
    <w:rsid w:val="00572838"/>
    <w:rsid w:val="00573D84"/>
    <w:rsid w:val="00574E34"/>
    <w:rsid w:val="00575B55"/>
    <w:rsid w:val="00577806"/>
    <w:rsid w:val="005805F3"/>
    <w:rsid w:val="00580F33"/>
    <w:rsid w:val="005813B3"/>
    <w:rsid w:val="00581D1A"/>
    <w:rsid w:val="00583264"/>
    <w:rsid w:val="00583CF6"/>
    <w:rsid w:val="005867C6"/>
    <w:rsid w:val="0058683C"/>
    <w:rsid w:val="00587348"/>
    <w:rsid w:val="005901F4"/>
    <w:rsid w:val="00590514"/>
    <w:rsid w:val="00591DE8"/>
    <w:rsid w:val="0059389D"/>
    <w:rsid w:val="00594167"/>
    <w:rsid w:val="0059524D"/>
    <w:rsid w:val="005968AC"/>
    <w:rsid w:val="005A0156"/>
    <w:rsid w:val="005A0609"/>
    <w:rsid w:val="005A1B88"/>
    <w:rsid w:val="005A1C36"/>
    <w:rsid w:val="005A2F52"/>
    <w:rsid w:val="005A2FE9"/>
    <w:rsid w:val="005A3DFB"/>
    <w:rsid w:val="005A469D"/>
    <w:rsid w:val="005A5410"/>
    <w:rsid w:val="005A5C90"/>
    <w:rsid w:val="005A6A45"/>
    <w:rsid w:val="005A6ACB"/>
    <w:rsid w:val="005A6F45"/>
    <w:rsid w:val="005A7458"/>
    <w:rsid w:val="005A76E7"/>
    <w:rsid w:val="005A7DA0"/>
    <w:rsid w:val="005B16E8"/>
    <w:rsid w:val="005B1F93"/>
    <w:rsid w:val="005B261F"/>
    <w:rsid w:val="005B299B"/>
    <w:rsid w:val="005B2C64"/>
    <w:rsid w:val="005B6E4C"/>
    <w:rsid w:val="005C07A6"/>
    <w:rsid w:val="005C098D"/>
    <w:rsid w:val="005C1468"/>
    <w:rsid w:val="005C2C7A"/>
    <w:rsid w:val="005C34C1"/>
    <w:rsid w:val="005C3655"/>
    <w:rsid w:val="005C3985"/>
    <w:rsid w:val="005C3D24"/>
    <w:rsid w:val="005C409A"/>
    <w:rsid w:val="005C492B"/>
    <w:rsid w:val="005C6549"/>
    <w:rsid w:val="005C73B1"/>
    <w:rsid w:val="005D0C69"/>
    <w:rsid w:val="005D24AE"/>
    <w:rsid w:val="005D4708"/>
    <w:rsid w:val="005D4E54"/>
    <w:rsid w:val="005D5B41"/>
    <w:rsid w:val="005E0064"/>
    <w:rsid w:val="005E017D"/>
    <w:rsid w:val="005E01C0"/>
    <w:rsid w:val="005E0FB2"/>
    <w:rsid w:val="005E1B20"/>
    <w:rsid w:val="005E1B9B"/>
    <w:rsid w:val="005E20FD"/>
    <w:rsid w:val="005E218A"/>
    <w:rsid w:val="005E255C"/>
    <w:rsid w:val="005E2EB1"/>
    <w:rsid w:val="005E2F43"/>
    <w:rsid w:val="005E36F8"/>
    <w:rsid w:val="005E3D02"/>
    <w:rsid w:val="005E4350"/>
    <w:rsid w:val="005E4993"/>
    <w:rsid w:val="005E626B"/>
    <w:rsid w:val="005E63AD"/>
    <w:rsid w:val="005E63F1"/>
    <w:rsid w:val="005E7175"/>
    <w:rsid w:val="005E7FF0"/>
    <w:rsid w:val="005F0F6A"/>
    <w:rsid w:val="005F2474"/>
    <w:rsid w:val="005F2476"/>
    <w:rsid w:val="005F3702"/>
    <w:rsid w:val="005F455C"/>
    <w:rsid w:val="005F4604"/>
    <w:rsid w:val="005F4A90"/>
    <w:rsid w:val="005F4FA2"/>
    <w:rsid w:val="005F5483"/>
    <w:rsid w:val="006011A6"/>
    <w:rsid w:val="006011D7"/>
    <w:rsid w:val="00601693"/>
    <w:rsid w:val="00601823"/>
    <w:rsid w:val="00601AF8"/>
    <w:rsid w:val="006023AA"/>
    <w:rsid w:val="00602E27"/>
    <w:rsid w:val="00603A75"/>
    <w:rsid w:val="00605060"/>
    <w:rsid w:val="00605716"/>
    <w:rsid w:val="006058E8"/>
    <w:rsid w:val="006061BF"/>
    <w:rsid w:val="00606C71"/>
    <w:rsid w:val="00610EDA"/>
    <w:rsid w:val="00611041"/>
    <w:rsid w:val="006110C0"/>
    <w:rsid w:val="006111EE"/>
    <w:rsid w:val="00612452"/>
    <w:rsid w:val="00613821"/>
    <w:rsid w:val="0061639F"/>
    <w:rsid w:val="006163E0"/>
    <w:rsid w:val="006201C2"/>
    <w:rsid w:val="00620CAC"/>
    <w:rsid w:val="006210F8"/>
    <w:rsid w:val="00621952"/>
    <w:rsid w:val="00626916"/>
    <w:rsid w:val="00626A7E"/>
    <w:rsid w:val="00626CFF"/>
    <w:rsid w:val="00627012"/>
    <w:rsid w:val="0062746A"/>
    <w:rsid w:val="00630031"/>
    <w:rsid w:val="0063013F"/>
    <w:rsid w:val="00630A61"/>
    <w:rsid w:val="00630CBA"/>
    <w:rsid w:val="0063377C"/>
    <w:rsid w:val="00633A24"/>
    <w:rsid w:val="006366FA"/>
    <w:rsid w:val="0063711D"/>
    <w:rsid w:val="0063735A"/>
    <w:rsid w:val="0064146E"/>
    <w:rsid w:val="00641E8C"/>
    <w:rsid w:val="00642601"/>
    <w:rsid w:val="00643702"/>
    <w:rsid w:val="0064387B"/>
    <w:rsid w:val="00643C8B"/>
    <w:rsid w:val="00643D79"/>
    <w:rsid w:val="00643D8C"/>
    <w:rsid w:val="00644477"/>
    <w:rsid w:val="00646393"/>
    <w:rsid w:val="006466EC"/>
    <w:rsid w:val="0064793B"/>
    <w:rsid w:val="00650FAE"/>
    <w:rsid w:val="00652E0A"/>
    <w:rsid w:val="00652FF1"/>
    <w:rsid w:val="006543C9"/>
    <w:rsid w:val="00655B65"/>
    <w:rsid w:val="00657174"/>
    <w:rsid w:val="006576AF"/>
    <w:rsid w:val="00657ACE"/>
    <w:rsid w:val="00657D09"/>
    <w:rsid w:val="00660C58"/>
    <w:rsid w:val="00661268"/>
    <w:rsid w:val="00663D1C"/>
    <w:rsid w:val="00664126"/>
    <w:rsid w:val="00665DFD"/>
    <w:rsid w:val="0066687E"/>
    <w:rsid w:val="00670BA8"/>
    <w:rsid w:val="006717CA"/>
    <w:rsid w:val="0067246E"/>
    <w:rsid w:val="00674730"/>
    <w:rsid w:val="00674EAE"/>
    <w:rsid w:val="006804B0"/>
    <w:rsid w:val="0068060D"/>
    <w:rsid w:val="00680A80"/>
    <w:rsid w:val="0068110F"/>
    <w:rsid w:val="00681AC4"/>
    <w:rsid w:val="00681D95"/>
    <w:rsid w:val="00682976"/>
    <w:rsid w:val="00682E1C"/>
    <w:rsid w:val="00682F0D"/>
    <w:rsid w:val="00684B0C"/>
    <w:rsid w:val="00685822"/>
    <w:rsid w:val="006860E6"/>
    <w:rsid w:val="006871B6"/>
    <w:rsid w:val="006877D9"/>
    <w:rsid w:val="0069102E"/>
    <w:rsid w:val="006929E9"/>
    <w:rsid w:val="00692DB5"/>
    <w:rsid w:val="00692F75"/>
    <w:rsid w:val="006932FB"/>
    <w:rsid w:val="00693B8C"/>
    <w:rsid w:val="006940CF"/>
    <w:rsid w:val="0069512F"/>
    <w:rsid w:val="006953CB"/>
    <w:rsid w:val="00696978"/>
    <w:rsid w:val="006974ED"/>
    <w:rsid w:val="006A3451"/>
    <w:rsid w:val="006A351F"/>
    <w:rsid w:val="006A6663"/>
    <w:rsid w:val="006A75DE"/>
    <w:rsid w:val="006A76A8"/>
    <w:rsid w:val="006B03F5"/>
    <w:rsid w:val="006B211B"/>
    <w:rsid w:val="006B2CC4"/>
    <w:rsid w:val="006B3330"/>
    <w:rsid w:val="006B34FC"/>
    <w:rsid w:val="006B3840"/>
    <w:rsid w:val="006B6B3E"/>
    <w:rsid w:val="006C0B27"/>
    <w:rsid w:val="006C1B1D"/>
    <w:rsid w:val="006C212C"/>
    <w:rsid w:val="006C26A2"/>
    <w:rsid w:val="006C326B"/>
    <w:rsid w:val="006C4AA8"/>
    <w:rsid w:val="006C58AD"/>
    <w:rsid w:val="006C7460"/>
    <w:rsid w:val="006D05FF"/>
    <w:rsid w:val="006D067F"/>
    <w:rsid w:val="006D0CC1"/>
    <w:rsid w:val="006D0E6F"/>
    <w:rsid w:val="006D170E"/>
    <w:rsid w:val="006D1F87"/>
    <w:rsid w:val="006D222D"/>
    <w:rsid w:val="006D3887"/>
    <w:rsid w:val="006D4103"/>
    <w:rsid w:val="006D4380"/>
    <w:rsid w:val="006D49A0"/>
    <w:rsid w:val="006D682F"/>
    <w:rsid w:val="006D6916"/>
    <w:rsid w:val="006D708B"/>
    <w:rsid w:val="006D7D07"/>
    <w:rsid w:val="006E058A"/>
    <w:rsid w:val="006E2B29"/>
    <w:rsid w:val="006E3AD3"/>
    <w:rsid w:val="006E3F23"/>
    <w:rsid w:val="006E4E22"/>
    <w:rsid w:val="006E52F2"/>
    <w:rsid w:val="006E6179"/>
    <w:rsid w:val="006E7A92"/>
    <w:rsid w:val="006E7AA1"/>
    <w:rsid w:val="006E7FF7"/>
    <w:rsid w:val="006F0463"/>
    <w:rsid w:val="006F0C56"/>
    <w:rsid w:val="006F0F88"/>
    <w:rsid w:val="006F1A18"/>
    <w:rsid w:val="006F2031"/>
    <w:rsid w:val="006F21F2"/>
    <w:rsid w:val="006F251A"/>
    <w:rsid w:val="006F2F52"/>
    <w:rsid w:val="006F3AA4"/>
    <w:rsid w:val="006F5114"/>
    <w:rsid w:val="006F58C7"/>
    <w:rsid w:val="006F7972"/>
    <w:rsid w:val="00700AA4"/>
    <w:rsid w:val="0070215C"/>
    <w:rsid w:val="00705496"/>
    <w:rsid w:val="00705505"/>
    <w:rsid w:val="00706946"/>
    <w:rsid w:val="00710892"/>
    <w:rsid w:val="00711F91"/>
    <w:rsid w:val="00712353"/>
    <w:rsid w:val="0071242E"/>
    <w:rsid w:val="0071292D"/>
    <w:rsid w:val="00713F89"/>
    <w:rsid w:val="0071578E"/>
    <w:rsid w:val="00716333"/>
    <w:rsid w:val="00716B02"/>
    <w:rsid w:val="00716C66"/>
    <w:rsid w:val="00716F3E"/>
    <w:rsid w:val="0071740F"/>
    <w:rsid w:val="007175F6"/>
    <w:rsid w:val="007206FD"/>
    <w:rsid w:val="00720855"/>
    <w:rsid w:val="00720EB4"/>
    <w:rsid w:val="00721D8C"/>
    <w:rsid w:val="007224FB"/>
    <w:rsid w:val="00724646"/>
    <w:rsid w:val="00725226"/>
    <w:rsid w:val="00725ADA"/>
    <w:rsid w:val="00725BD8"/>
    <w:rsid w:val="00726543"/>
    <w:rsid w:val="007320B3"/>
    <w:rsid w:val="00732CE6"/>
    <w:rsid w:val="007340CC"/>
    <w:rsid w:val="007341F2"/>
    <w:rsid w:val="007369BD"/>
    <w:rsid w:val="00736E4E"/>
    <w:rsid w:val="007370AC"/>
    <w:rsid w:val="0073735A"/>
    <w:rsid w:val="007379D0"/>
    <w:rsid w:val="00737A66"/>
    <w:rsid w:val="0074338E"/>
    <w:rsid w:val="00743FB7"/>
    <w:rsid w:val="0074620E"/>
    <w:rsid w:val="007467A1"/>
    <w:rsid w:val="00746815"/>
    <w:rsid w:val="00746A25"/>
    <w:rsid w:val="00746C41"/>
    <w:rsid w:val="00751803"/>
    <w:rsid w:val="00751B89"/>
    <w:rsid w:val="007548C6"/>
    <w:rsid w:val="00754A0B"/>
    <w:rsid w:val="00755A01"/>
    <w:rsid w:val="00755C86"/>
    <w:rsid w:val="00756C1B"/>
    <w:rsid w:val="00760768"/>
    <w:rsid w:val="0076152E"/>
    <w:rsid w:val="00761C90"/>
    <w:rsid w:val="00762288"/>
    <w:rsid w:val="007626F4"/>
    <w:rsid w:val="00763762"/>
    <w:rsid w:val="00765608"/>
    <w:rsid w:val="00766DBC"/>
    <w:rsid w:val="00770212"/>
    <w:rsid w:val="00770AB4"/>
    <w:rsid w:val="00770B58"/>
    <w:rsid w:val="00771079"/>
    <w:rsid w:val="0077138C"/>
    <w:rsid w:val="00771585"/>
    <w:rsid w:val="0077358E"/>
    <w:rsid w:val="00774720"/>
    <w:rsid w:val="00774B7C"/>
    <w:rsid w:val="00776221"/>
    <w:rsid w:val="00776E34"/>
    <w:rsid w:val="00776FD6"/>
    <w:rsid w:val="00776FE4"/>
    <w:rsid w:val="007770D4"/>
    <w:rsid w:val="00777C9B"/>
    <w:rsid w:val="00780B5B"/>
    <w:rsid w:val="0078149F"/>
    <w:rsid w:val="007825FA"/>
    <w:rsid w:val="0078336D"/>
    <w:rsid w:val="00784DBC"/>
    <w:rsid w:val="00785BB2"/>
    <w:rsid w:val="00786AEF"/>
    <w:rsid w:val="00786B8A"/>
    <w:rsid w:val="00787902"/>
    <w:rsid w:val="00790199"/>
    <w:rsid w:val="007905B9"/>
    <w:rsid w:val="0079159D"/>
    <w:rsid w:val="00792318"/>
    <w:rsid w:val="00793194"/>
    <w:rsid w:val="007934CD"/>
    <w:rsid w:val="007947AE"/>
    <w:rsid w:val="00795227"/>
    <w:rsid w:val="007A0ACB"/>
    <w:rsid w:val="007A3A26"/>
    <w:rsid w:val="007A4203"/>
    <w:rsid w:val="007A53D0"/>
    <w:rsid w:val="007A6045"/>
    <w:rsid w:val="007A616A"/>
    <w:rsid w:val="007A6457"/>
    <w:rsid w:val="007A6D13"/>
    <w:rsid w:val="007A75C3"/>
    <w:rsid w:val="007A7B9D"/>
    <w:rsid w:val="007A7C06"/>
    <w:rsid w:val="007B0843"/>
    <w:rsid w:val="007B0CB6"/>
    <w:rsid w:val="007B12A8"/>
    <w:rsid w:val="007B1485"/>
    <w:rsid w:val="007B3307"/>
    <w:rsid w:val="007B4149"/>
    <w:rsid w:val="007B4EB0"/>
    <w:rsid w:val="007B76A9"/>
    <w:rsid w:val="007C01E0"/>
    <w:rsid w:val="007C0DB1"/>
    <w:rsid w:val="007C1F36"/>
    <w:rsid w:val="007C3FA2"/>
    <w:rsid w:val="007C53F7"/>
    <w:rsid w:val="007C572A"/>
    <w:rsid w:val="007C650A"/>
    <w:rsid w:val="007C6DA1"/>
    <w:rsid w:val="007C750D"/>
    <w:rsid w:val="007D00E8"/>
    <w:rsid w:val="007D2083"/>
    <w:rsid w:val="007D302A"/>
    <w:rsid w:val="007D31E7"/>
    <w:rsid w:val="007D4433"/>
    <w:rsid w:val="007D446F"/>
    <w:rsid w:val="007D62E1"/>
    <w:rsid w:val="007D74BC"/>
    <w:rsid w:val="007D7EEA"/>
    <w:rsid w:val="007E0914"/>
    <w:rsid w:val="007E31EB"/>
    <w:rsid w:val="007E32DB"/>
    <w:rsid w:val="007E39C3"/>
    <w:rsid w:val="007E6437"/>
    <w:rsid w:val="007E6D17"/>
    <w:rsid w:val="007F0AE3"/>
    <w:rsid w:val="007F2361"/>
    <w:rsid w:val="007F282D"/>
    <w:rsid w:val="007F5CAA"/>
    <w:rsid w:val="007F73F2"/>
    <w:rsid w:val="008008B2"/>
    <w:rsid w:val="008014B6"/>
    <w:rsid w:val="00803C0E"/>
    <w:rsid w:val="0080471E"/>
    <w:rsid w:val="00804CA1"/>
    <w:rsid w:val="00804DA1"/>
    <w:rsid w:val="00805571"/>
    <w:rsid w:val="0080574F"/>
    <w:rsid w:val="0080715F"/>
    <w:rsid w:val="00807D41"/>
    <w:rsid w:val="008109EC"/>
    <w:rsid w:val="00810A03"/>
    <w:rsid w:val="00810FE2"/>
    <w:rsid w:val="008114CB"/>
    <w:rsid w:val="008125EF"/>
    <w:rsid w:val="008133CF"/>
    <w:rsid w:val="00813F02"/>
    <w:rsid w:val="00814E38"/>
    <w:rsid w:val="00817C40"/>
    <w:rsid w:val="00820944"/>
    <w:rsid w:val="00820C08"/>
    <w:rsid w:val="00821B0A"/>
    <w:rsid w:val="0082226E"/>
    <w:rsid w:val="00822B37"/>
    <w:rsid w:val="00822D28"/>
    <w:rsid w:val="00823112"/>
    <w:rsid w:val="0082417A"/>
    <w:rsid w:val="00824909"/>
    <w:rsid w:val="00826E54"/>
    <w:rsid w:val="008309D5"/>
    <w:rsid w:val="00830FB5"/>
    <w:rsid w:val="00833355"/>
    <w:rsid w:val="008336F6"/>
    <w:rsid w:val="008337D7"/>
    <w:rsid w:val="00834D26"/>
    <w:rsid w:val="00835757"/>
    <w:rsid w:val="00836136"/>
    <w:rsid w:val="00841F03"/>
    <w:rsid w:val="008422A3"/>
    <w:rsid w:val="00843710"/>
    <w:rsid w:val="00843EFA"/>
    <w:rsid w:val="00844815"/>
    <w:rsid w:val="00845562"/>
    <w:rsid w:val="0084611A"/>
    <w:rsid w:val="008467A6"/>
    <w:rsid w:val="00847A36"/>
    <w:rsid w:val="00850195"/>
    <w:rsid w:val="00850E81"/>
    <w:rsid w:val="008512D1"/>
    <w:rsid w:val="00851A01"/>
    <w:rsid w:val="00851B8D"/>
    <w:rsid w:val="008521CA"/>
    <w:rsid w:val="0085285A"/>
    <w:rsid w:val="00854400"/>
    <w:rsid w:val="00854767"/>
    <w:rsid w:val="00856AF1"/>
    <w:rsid w:val="008572B2"/>
    <w:rsid w:val="0085745D"/>
    <w:rsid w:val="0086037E"/>
    <w:rsid w:val="0086047C"/>
    <w:rsid w:val="00862F3F"/>
    <w:rsid w:val="00866EF8"/>
    <w:rsid w:val="00870FFE"/>
    <w:rsid w:val="00872D7E"/>
    <w:rsid w:val="00873D69"/>
    <w:rsid w:val="0087477E"/>
    <w:rsid w:val="008748F9"/>
    <w:rsid w:val="0087753F"/>
    <w:rsid w:val="0088065D"/>
    <w:rsid w:val="00880E22"/>
    <w:rsid w:val="00880EEF"/>
    <w:rsid w:val="00883233"/>
    <w:rsid w:val="008835A1"/>
    <w:rsid w:val="00884AC1"/>
    <w:rsid w:val="00886A94"/>
    <w:rsid w:val="00887DAC"/>
    <w:rsid w:val="008915AF"/>
    <w:rsid w:val="00892A58"/>
    <w:rsid w:val="00894224"/>
    <w:rsid w:val="00897184"/>
    <w:rsid w:val="008973DE"/>
    <w:rsid w:val="008A287C"/>
    <w:rsid w:val="008A2B39"/>
    <w:rsid w:val="008A3727"/>
    <w:rsid w:val="008A4353"/>
    <w:rsid w:val="008A43FA"/>
    <w:rsid w:val="008A4E50"/>
    <w:rsid w:val="008A50E8"/>
    <w:rsid w:val="008A5213"/>
    <w:rsid w:val="008A7253"/>
    <w:rsid w:val="008A7552"/>
    <w:rsid w:val="008A7A24"/>
    <w:rsid w:val="008B2C27"/>
    <w:rsid w:val="008B2D65"/>
    <w:rsid w:val="008B3AA9"/>
    <w:rsid w:val="008B4329"/>
    <w:rsid w:val="008B47EC"/>
    <w:rsid w:val="008B52DA"/>
    <w:rsid w:val="008B5A51"/>
    <w:rsid w:val="008B5C6E"/>
    <w:rsid w:val="008B758B"/>
    <w:rsid w:val="008B7A67"/>
    <w:rsid w:val="008B7B94"/>
    <w:rsid w:val="008C0806"/>
    <w:rsid w:val="008C1BED"/>
    <w:rsid w:val="008C48CD"/>
    <w:rsid w:val="008C4E52"/>
    <w:rsid w:val="008C581A"/>
    <w:rsid w:val="008C616D"/>
    <w:rsid w:val="008C6F8D"/>
    <w:rsid w:val="008D06C6"/>
    <w:rsid w:val="008D0B57"/>
    <w:rsid w:val="008D23D5"/>
    <w:rsid w:val="008D326B"/>
    <w:rsid w:val="008D6D67"/>
    <w:rsid w:val="008D6EA8"/>
    <w:rsid w:val="008D76E2"/>
    <w:rsid w:val="008E03D7"/>
    <w:rsid w:val="008E39C0"/>
    <w:rsid w:val="008E4FD2"/>
    <w:rsid w:val="008E5A7A"/>
    <w:rsid w:val="008E5E9F"/>
    <w:rsid w:val="008F01A1"/>
    <w:rsid w:val="008F0E7A"/>
    <w:rsid w:val="008F18BB"/>
    <w:rsid w:val="008F1981"/>
    <w:rsid w:val="008F20E6"/>
    <w:rsid w:val="008F2EBA"/>
    <w:rsid w:val="008F4B48"/>
    <w:rsid w:val="008F55FF"/>
    <w:rsid w:val="008F6760"/>
    <w:rsid w:val="008F6B01"/>
    <w:rsid w:val="008F70B8"/>
    <w:rsid w:val="008F7487"/>
    <w:rsid w:val="008F7AC9"/>
    <w:rsid w:val="009000CD"/>
    <w:rsid w:val="00901633"/>
    <w:rsid w:val="00901DEE"/>
    <w:rsid w:val="00903426"/>
    <w:rsid w:val="00903494"/>
    <w:rsid w:val="00904AF3"/>
    <w:rsid w:val="00906CF3"/>
    <w:rsid w:val="009074F2"/>
    <w:rsid w:val="0090794C"/>
    <w:rsid w:val="00910D7E"/>
    <w:rsid w:val="00911546"/>
    <w:rsid w:val="009117AF"/>
    <w:rsid w:val="00912113"/>
    <w:rsid w:val="009148FF"/>
    <w:rsid w:val="00916896"/>
    <w:rsid w:val="00916FAD"/>
    <w:rsid w:val="00917DB0"/>
    <w:rsid w:val="00917F0A"/>
    <w:rsid w:val="009201B7"/>
    <w:rsid w:val="00920DF2"/>
    <w:rsid w:val="009213A1"/>
    <w:rsid w:val="009246AF"/>
    <w:rsid w:val="00924D1F"/>
    <w:rsid w:val="009255D6"/>
    <w:rsid w:val="00926706"/>
    <w:rsid w:val="00926B85"/>
    <w:rsid w:val="00927688"/>
    <w:rsid w:val="00927976"/>
    <w:rsid w:val="0093116F"/>
    <w:rsid w:val="00931F7E"/>
    <w:rsid w:val="009326EF"/>
    <w:rsid w:val="0093336D"/>
    <w:rsid w:val="0093744A"/>
    <w:rsid w:val="00937DD3"/>
    <w:rsid w:val="00940359"/>
    <w:rsid w:val="009410A6"/>
    <w:rsid w:val="00941EF3"/>
    <w:rsid w:val="009433FA"/>
    <w:rsid w:val="00943B86"/>
    <w:rsid w:val="00943FB7"/>
    <w:rsid w:val="00944D61"/>
    <w:rsid w:val="00944EA1"/>
    <w:rsid w:val="009462E8"/>
    <w:rsid w:val="0094637D"/>
    <w:rsid w:val="009466B4"/>
    <w:rsid w:val="0095131A"/>
    <w:rsid w:val="00951D53"/>
    <w:rsid w:val="00952E7F"/>
    <w:rsid w:val="009532C5"/>
    <w:rsid w:val="009535C8"/>
    <w:rsid w:val="0095420B"/>
    <w:rsid w:val="00954540"/>
    <w:rsid w:val="00957180"/>
    <w:rsid w:val="0095756F"/>
    <w:rsid w:val="0095782E"/>
    <w:rsid w:val="00957884"/>
    <w:rsid w:val="0096065B"/>
    <w:rsid w:val="00961AEA"/>
    <w:rsid w:val="0096262B"/>
    <w:rsid w:val="00965281"/>
    <w:rsid w:val="009679BA"/>
    <w:rsid w:val="0097037E"/>
    <w:rsid w:val="00970F8C"/>
    <w:rsid w:val="00973F68"/>
    <w:rsid w:val="00976594"/>
    <w:rsid w:val="00976E7F"/>
    <w:rsid w:val="009802B3"/>
    <w:rsid w:val="009810F4"/>
    <w:rsid w:val="00985138"/>
    <w:rsid w:val="00985E62"/>
    <w:rsid w:val="00986A90"/>
    <w:rsid w:val="00990748"/>
    <w:rsid w:val="00991270"/>
    <w:rsid w:val="00992C6C"/>
    <w:rsid w:val="00993E04"/>
    <w:rsid w:val="009947F3"/>
    <w:rsid w:val="00994DC3"/>
    <w:rsid w:val="00996744"/>
    <w:rsid w:val="00996CA2"/>
    <w:rsid w:val="00997F41"/>
    <w:rsid w:val="009A04A9"/>
    <w:rsid w:val="009A1409"/>
    <w:rsid w:val="009A1AA9"/>
    <w:rsid w:val="009A20F8"/>
    <w:rsid w:val="009A2A8B"/>
    <w:rsid w:val="009A2F28"/>
    <w:rsid w:val="009A317A"/>
    <w:rsid w:val="009A4437"/>
    <w:rsid w:val="009A4CC6"/>
    <w:rsid w:val="009A5D66"/>
    <w:rsid w:val="009A62CF"/>
    <w:rsid w:val="009A631F"/>
    <w:rsid w:val="009A6863"/>
    <w:rsid w:val="009A72AF"/>
    <w:rsid w:val="009A798D"/>
    <w:rsid w:val="009A7A2B"/>
    <w:rsid w:val="009A7B43"/>
    <w:rsid w:val="009A7E52"/>
    <w:rsid w:val="009B0442"/>
    <w:rsid w:val="009B26CC"/>
    <w:rsid w:val="009B2C86"/>
    <w:rsid w:val="009B3482"/>
    <w:rsid w:val="009B40FB"/>
    <w:rsid w:val="009B45B7"/>
    <w:rsid w:val="009B4837"/>
    <w:rsid w:val="009B66A1"/>
    <w:rsid w:val="009B7912"/>
    <w:rsid w:val="009B7C0B"/>
    <w:rsid w:val="009B7CFC"/>
    <w:rsid w:val="009C35BA"/>
    <w:rsid w:val="009C3B4B"/>
    <w:rsid w:val="009D0347"/>
    <w:rsid w:val="009D042C"/>
    <w:rsid w:val="009D0BD4"/>
    <w:rsid w:val="009D0EA9"/>
    <w:rsid w:val="009D10BF"/>
    <w:rsid w:val="009D10F0"/>
    <w:rsid w:val="009D120A"/>
    <w:rsid w:val="009D1D90"/>
    <w:rsid w:val="009D1E9B"/>
    <w:rsid w:val="009D2062"/>
    <w:rsid w:val="009D27F1"/>
    <w:rsid w:val="009D35D9"/>
    <w:rsid w:val="009D40AE"/>
    <w:rsid w:val="009D4876"/>
    <w:rsid w:val="009D5084"/>
    <w:rsid w:val="009D6A11"/>
    <w:rsid w:val="009D750D"/>
    <w:rsid w:val="009E07F3"/>
    <w:rsid w:val="009E1770"/>
    <w:rsid w:val="009E1974"/>
    <w:rsid w:val="009E1AC5"/>
    <w:rsid w:val="009E263C"/>
    <w:rsid w:val="009E30C5"/>
    <w:rsid w:val="009E3B3E"/>
    <w:rsid w:val="009E480F"/>
    <w:rsid w:val="009E481C"/>
    <w:rsid w:val="009E54D2"/>
    <w:rsid w:val="009E5EF9"/>
    <w:rsid w:val="009E5F5A"/>
    <w:rsid w:val="009E68A7"/>
    <w:rsid w:val="009E71E2"/>
    <w:rsid w:val="009F180E"/>
    <w:rsid w:val="009F1EA5"/>
    <w:rsid w:val="009F407E"/>
    <w:rsid w:val="009F51D6"/>
    <w:rsid w:val="009F524E"/>
    <w:rsid w:val="009F5F02"/>
    <w:rsid w:val="009F7E37"/>
    <w:rsid w:val="00A0077D"/>
    <w:rsid w:val="00A008F5"/>
    <w:rsid w:val="00A011CA"/>
    <w:rsid w:val="00A03FA1"/>
    <w:rsid w:val="00A04584"/>
    <w:rsid w:val="00A0571E"/>
    <w:rsid w:val="00A05C7D"/>
    <w:rsid w:val="00A0602E"/>
    <w:rsid w:val="00A068BB"/>
    <w:rsid w:val="00A06AA7"/>
    <w:rsid w:val="00A06C21"/>
    <w:rsid w:val="00A06C6A"/>
    <w:rsid w:val="00A1010E"/>
    <w:rsid w:val="00A103B4"/>
    <w:rsid w:val="00A104EB"/>
    <w:rsid w:val="00A11752"/>
    <w:rsid w:val="00A11AAB"/>
    <w:rsid w:val="00A137DA"/>
    <w:rsid w:val="00A147FB"/>
    <w:rsid w:val="00A16CEC"/>
    <w:rsid w:val="00A20229"/>
    <w:rsid w:val="00A2119B"/>
    <w:rsid w:val="00A21398"/>
    <w:rsid w:val="00A213DA"/>
    <w:rsid w:val="00A22749"/>
    <w:rsid w:val="00A23CE8"/>
    <w:rsid w:val="00A24A42"/>
    <w:rsid w:val="00A2600D"/>
    <w:rsid w:val="00A26787"/>
    <w:rsid w:val="00A301C6"/>
    <w:rsid w:val="00A307B4"/>
    <w:rsid w:val="00A30D9A"/>
    <w:rsid w:val="00A3271C"/>
    <w:rsid w:val="00A3487C"/>
    <w:rsid w:val="00A35830"/>
    <w:rsid w:val="00A37256"/>
    <w:rsid w:val="00A408DC"/>
    <w:rsid w:val="00A42678"/>
    <w:rsid w:val="00A42B07"/>
    <w:rsid w:val="00A44AD7"/>
    <w:rsid w:val="00A45296"/>
    <w:rsid w:val="00A465A7"/>
    <w:rsid w:val="00A47168"/>
    <w:rsid w:val="00A50F7B"/>
    <w:rsid w:val="00A51614"/>
    <w:rsid w:val="00A52EB2"/>
    <w:rsid w:val="00A53D1E"/>
    <w:rsid w:val="00A545F0"/>
    <w:rsid w:val="00A54602"/>
    <w:rsid w:val="00A5460A"/>
    <w:rsid w:val="00A555B6"/>
    <w:rsid w:val="00A55C33"/>
    <w:rsid w:val="00A5657B"/>
    <w:rsid w:val="00A57504"/>
    <w:rsid w:val="00A57D4E"/>
    <w:rsid w:val="00A57DDB"/>
    <w:rsid w:val="00A603BC"/>
    <w:rsid w:val="00A62044"/>
    <w:rsid w:val="00A629BF"/>
    <w:rsid w:val="00A64235"/>
    <w:rsid w:val="00A642CF"/>
    <w:rsid w:val="00A6481E"/>
    <w:rsid w:val="00A659C3"/>
    <w:rsid w:val="00A66AAD"/>
    <w:rsid w:val="00A67D42"/>
    <w:rsid w:val="00A7291F"/>
    <w:rsid w:val="00A73263"/>
    <w:rsid w:val="00A73F2E"/>
    <w:rsid w:val="00A74358"/>
    <w:rsid w:val="00A76432"/>
    <w:rsid w:val="00A7760C"/>
    <w:rsid w:val="00A7763A"/>
    <w:rsid w:val="00A77706"/>
    <w:rsid w:val="00A77D0B"/>
    <w:rsid w:val="00A8383D"/>
    <w:rsid w:val="00A84B5A"/>
    <w:rsid w:val="00A84D50"/>
    <w:rsid w:val="00A85864"/>
    <w:rsid w:val="00A8626C"/>
    <w:rsid w:val="00A866E9"/>
    <w:rsid w:val="00A8783C"/>
    <w:rsid w:val="00A878FB"/>
    <w:rsid w:val="00A900D6"/>
    <w:rsid w:val="00A911C9"/>
    <w:rsid w:val="00A9203E"/>
    <w:rsid w:val="00A925A0"/>
    <w:rsid w:val="00A936B1"/>
    <w:rsid w:val="00A93D4E"/>
    <w:rsid w:val="00A962C4"/>
    <w:rsid w:val="00A962D7"/>
    <w:rsid w:val="00A97ED7"/>
    <w:rsid w:val="00AA10D5"/>
    <w:rsid w:val="00AA12ED"/>
    <w:rsid w:val="00AA1F99"/>
    <w:rsid w:val="00AA2004"/>
    <w:rsid w:val="00AA2D69"/>
    <w:rsid w:val="00AA2EFA"/>
    <w:rsid w:val="00AA3069"/>
    <w:rsid w:val="00AA3078"/>
    <w:rsid w:val="00AA7E50"/>
    <w:rsid w:val="00AB0008"/>
    <w:rsid w:val="00AB02BF"/>
    <w:rsid w:val="00AB0548"/>
    <w:rsid w:val="00AB0BB7"/>
    <w:rsid w:val="00AB3097"/>
    <w:rsid w:val="00AB5D16"/>
    <w:rsid w:val="00AB6429"/>
    <w:rsid w:val="00AB662C"/>
    <w:rsid w:val="00AB707B"/>
    <w:rsid w:val="00AB7581"/>
    <w:rsid w:val="00AB7DF7"/>
    <w:rsid w:val="00AC212A"/>
    <w:rsid w:val="00AC2877"/>
    <w:rsid w:val="00AC2F5E"/>
    <w:rsid w:val="00AC3511"/>
    <w:rsid w:val="00AC35C9"/>
    <w:rsid w:val="00AC37F7"/>
    <w:rsid w:val="00AC69FC"/>
    <w:rsid w:val="00AC6C91"/>
    <w:rsid w:val="00AD04AF"/>
    <w:rsid w:val="00AD4837"/>
    <w:rsid w:val="00AD573D"/>
    <w:rsid w:val="00AD68DB"/>
    <w:rsid w:val="00AD74B9"/>
    <w:rsid w:val="00AD7C78"/>
    <w:rsid w:val="00AE1973"/>
    <w:rsid w:val="00AE1F33"/>
    <w:rsid w:val="00AE2A50"/>
    <w:rsid w:val="00AE2BD9"/>
    <w:rsid w:val="00AE3040"/>
    <w:rsid w:val="00AE376C"/>
    <w:rsid w:val="00AE3A43"/>
    <w:rsid w:val="00AE48BB"/>
    <w:rsid w:val="00AE5A7C"/>
    <w:rsid w:val="00AE5BA9"/>
    <w:rsid w:val="00AE5C59"/>
    <w:rsid w:val="00AE7DAC"/>
    <w:rsid w:val="00AF0EE3"/>
    <w:rsid w:val="00AF1DDD"/>
    <w:rsid w:val="00AF1F0B"/>
    <w:rsid w:val="00AF30EE"/>
    <w:rsid w:val="00AF36C0"/>
    <w:rsid w:val="00AF3BF1"/>
    <w:rsid w:val="00AF3FD4"/>
    <w:rsid w:val="00AF4FD1"/>
    <w:rsid w:val="00AF52E9"/>
    <w:rsid w:val="00AF64AE"/>
    <w:rsid w:val="00AF6704"/>
    <w:rsid w:val="00AF6709"/>
    <w:rsid w:val="00AF7306"/>
    <w:rsid w:val="00AF7DBF"/>
    <w:rsid w:val="00B00853"/>
    <w:rsid w:val="00B009D9"/>
    <w:rsid w:val="00B009E5"/>
    <w:rsid w:val="00B01767"/>
    <w:rsid w:val="00B01996"/>
    <w:rsid w:val="00B025D8"/>
    <w:rsid w:val="00B029E4"/>
    <w:rsid w:val="00B03871"/>
    <w:rsid w:val="00B03AD7"/>
    <w:rsid w:val="00B03ED4"/>
    <w:rsid w:val="00B04561"/>
    <w:rsid w:val="00B0465B"/>
    <w:rsid w:val="00B04989"/>
    <w:rsid w:val="00B0525B"/>
    <w:rsid w:val="00B12FC7"/>
    <w:rsid w:val="00B132C9"/>
    <w:rsid w:val="00B13CBF"/>
    <w:rsid w:val="00B144BF"/>
    <w:rsid w:val="00B149F0"/>
    <w:rsid w:val="00B14CCE"/>
    <w:rsid w:val="00B14D26"/>
    <w:rsid w:val="00B15084"/>
    <w:rsid w:val="00B15A63"/>
    <w:rsid w:val="00B16877"/>
    <w:rsid w:val="00B168EE"/>
    <w:rsid w:val="00B170C9"/>
    <w:rsid w:val="00B174F8"/>
    <w:rsid w:val="00B20074"/>
    <w:rsid w:val="00B2221C"/>
    <w:rsid w:val="00B2256E"/>
    <w:rsid w:val="00B23382"/>
    <w:rsid w:val="00B240DB"/>
    <w:rsid w:val="00B24C9F"/>
    <w:rsid w:val="00B257B2"/>
    <w:rsid w:val="00B26D64"/>
    <w:rsid w:val="00B27975"/>
    <w:rsid w:val="00B27CC1"/>
    <w:rsid w:val="00B27ED1"/>
    <w:rsid w:val="00B33A4D"/>
    <w:rsid w:val="00B341A0"/>
    <w:rsid w:val="00B3545D"/>
    <w:rsid w:val="00B35DF1"/>
    <w:rsid w:val="00B366DF"/>
    <w:rsid w:val="00B36ABA"/>
    <w:rsid w:val="00B36DD6"/>
    <w:rsid w:val="00B37050"/>
    <w:rsid w:val="00B37279"/>
    <w:rsid w:val="00B37EA5"/>
    <w:rsid w:val="00B40BA4"/>
    <w:rsid w:val="00B417CB"/>
    <w:rsid w:val="00B41968"/>
    <w:rsid w:val="00B42EDA"/>
    <w:rsid w:val="00B44134"/>
    <w:rsid w:val="00B441D7"/>
    <w:rsid w:val="00B44733"/>
    <w:rsid w:val="00B44DEB"/>
    <w:rsid w:val="00B44FBC"/>
    <w:rsid w:val="00B455E9"/>
    <w:rsid w:val="00B46E5B"/>
    <w:rsid w:val="00B5361E"/>
    <w:rsid w:val="00B54E13"/>
    <w:rsid w:val="00B55383"/>
    <w:rsid w:val="00B557F6"/>
    <w:rsid w:val="00B566B7"/>
    <w:rsid w:val="00B567B2"/>
    <w:rsid w:val="00B5681C"/>
    <w:rsid w:val="00B57705"/>
    <w:rsid w:val="00B57B83"/>
    <w:rsid w:val="00B607F1"/>
    <w:rsid w:val="00B61761"/>
    <w:rsid w:val="00B61DAC"/>
    <w:rsid w:val="00B62DD3"/>
    <w:rsid w:val="00B630D2"/>
    <w:rsid w:val="00B63B27"/>
    <w:rsid w:val="00B657DD"/>
    <w:rsid w:val="00B670E3"/>
    <w:rsid w:val="00B67615"/>
    <w:rsid w:val="00B7042C"/>
    <w:rsid w:val="00B712A8"/>
    <w:rsid w:val="00B71B10"/>
    <w:rsid w:val="00B71F35"/>
    <w:rsid w:val="00B7286E"/>
    <w:rsid w:val="00B73263"/>
    <w:rsid w:val="00B74813"/>
    <w:rsid w:val="00B76808"/>
    <w:rsid w:val="00B77E0F"/>
    <w:rsid w:val="00B827AB"/>
    <w:rsid w:val="00B83144"/>
    <w:rsid w:val="00B83D84"/>
    <w:rsid w:val="00B84261"/>
    <w:rsid w:val="00B8431C"/>
    <w:rsid w:val="00B851E6"/>
    <w:rsid w:val="00B854A8"/>
    <w:rsid w:val="00B85A51"/>
    <w:rsid w:val="00B86563"/>
    <w:rsid w:val="00B90B1C"/>
    <w:rsid w:val="00B9122D"/>
    <w:rsid w:val="00B92791"/>
    <w:rsid w:val="00B927E7"/>
    <w:rsid w:val="00B92B7F"/>
    <w:rsid w:val="00B94B48"/>
    <w:rsid w:val="00B950FC"/>
    <w:rsid w:val="00B953AA"/>
    <w:rsid w:val="00B9680A"/>
    <w:rsid w:val="00B97435"/>
    <w:rsid w:val="00B97B4D"/>
    <w:rsid w:val="00BA1F62"/>
    <w:rsid w:val="00BA2073"/>
    <w:rsid w:val="00BA2343"/>
    <w:rsid w:val="00BA342D"/>
    <w:rsid w:val="00BA396E"/>
    <w:rsid w:val="00BA3DBC"/>
    <w:rsid w:val="00BA5F9F"/>
    <w:rsid w:val="00BA6303"/>
    <w:rsid w:val="00BA67CD"/>
    <w:rsid w:val="00BA6AC7"/>
    <w:rsid w:val="00BA7176"/>
    <w:rsid w:val="00BB0337"/>
    <w:rsid w:val="00BB062B"/>
    <w:rsid w:val="00BB11D5"/>
    <w:rsid w:val="00BB1C47"/>
    <w:rsid w:val="00BB1FCE"/>
    <w:rsid w:val="00BB3530"/>
    <w:rsid w:val="00BB3D18"/>
    <w:rsid w:val="00BB4F6D"/>
    <w:rsid w:val="00BB59EE"/>
    <w:rsid w:val="00BB616F"/>
    <w:rsid w:val="00BB6AE1"/>
    <w:rsid w:val="00BC22C2"/>
    <w:rsid w:val="00BC3BBA"/>
    <w:rsid w:val="00BC3F41"/>
    <w:rsid w:val="00BC4F80"/>
    <w:rsid w:val="00BC5C45"/>
    <w:rsid w:val="00BC6AAD"/>
    <w:rsid w:val="00BC71A3"/>
    <w:rsid w:val="00BC7448"/>
    <w:rsid w:val="00BC78CC"/>
    <w:rsid w:val="00BD04A4"/>
    <w:rsid w:val="00BD14F0"/>
    <w:rsid w:val="00BD19EF"/>
    <w:rsid w:val="00BD1B84"/>
    <w:rsid w:val="00BD1E0B"/>
    <w:rsid w:val="00BD341C"/>
    <w:rsid w:val="00BD756D"/>
    <w:rsid w:val="00BD78C5"/>
    <w:rsid w:val="00BE0508"/>
    <w:rsid w:val="00BE145E"/>
    <w:rsid w:val="00BE1C9D"/>
    <w:rsid w:val="00BE259F"/>
    <w:rsid w:val="00BE327A"/>
    <w:rsid w:val="00BE48BD"/>
    <w:rsid w:val="00BE5CB2"/>
    <w:rsid w:val="00BE5F94"/>
    <w:rsid w:val="00BE621D"/>
    <w:rsid w:val="00BE7261"/>
    <w:rsid w:val="00BF1C9B"/>
    <w:rsid w:val="00BF2358"/>
    <w:rsid w:val="00BF27EB"/>
    <w:rsid w:val="00BF2DAF"/>
    <w:rsid w:val="00BF41AD"/>
    <w:rsid w:val="00BF45A7"/>
    <w:rsid w:val="00BF5201"/>
    <w:rsid w:val="00BF5A06"/>
    <w:rsid w:val="00BF5A39"/>
    <w:rsid w:val="00BF687F"/>
    <w:rsid w:val="00BF747D"/>
    <w:rsid w:val="00C002B7"/>
    <w:rsid w:val="00C01040"/>
    <w:rsid w:val="00C01E19"/>
    <w:rsid w:val="00C0300E"/>
    <w:rsid w:val="00C03982"/>
    <w:rsid w:val="00C043FB"/>
    <w:rsid w:val="00C04A3D"/>
    <w:rsid w:val="00C05CA7"/>
    <w:rsid w:val="00C06FC8"/>
    <w:rsid w:val="00C108AD"/>
    <w:rsid w:val="00C122B6"/>
    <w:rsid w:val="00C12F2A"/>
    <w:rsid w:val="00C13968"/>
    <w:rsid w:val="00C14514"/>
    <w:rsid w:val="00C15470"/>
    <w:rsid w:val="00C15997"/>
    <w:rsid w:val="00C15C5A"/>
    <w:rsid w:val="00C15E25"/>
    <w:rsid w:val="00C16591"/>
    <w:rsid w:val="00C16608"/>
    <w:rsid w:val="00C1679E"/>
    <w:rsid w:val="00C16EC4"/>
    <w:rsid w:val="00C17399"/>
    <w:rsid w:val="00C20C51"/>
    <w:rsid w:val="00C20CBE"/>
    <w:rsid w:val="00C20D3B"/>
    <w:rsid w:val="00C217C1"/>
    <w:rsid w:val="00C22BE0"/>
    <w:rsid w:val="00C252CF"/>
    <w:rsid w:val="00C2574E"/>
    <w:rsid w:val="00C25E06"/>
    <w:rsid w:val="00C27A25"/>
    <w:rsid w:val="00C27F48"/>
    <w:rsid w:val="00C30528"/>
    <w:rsid w:val="00C30D15"/>
    <w:rsid w:val="00C33054"/>
    <w:rsid w:val="00C33201"/>
    <w:rsid w:val="00C3361B"/>
    <w:rsid w:val="00C33CDF"/>
    <w:rsid w:val="00C348D1"/>
    <w:rsid w:val="00C34B8B"/>
    <w:rsid w:val="00C3641B"/>
    <w:rsid w:val="00C37AF7"/>
    <w:rsid w:val="00C40356"/>
    <w:rsid w:val="00C421B5"/>
    <w:rsid w:val="00C43204"/>
    <w:rsid w:val="00C44C90"/>
    <w:rsid w:val="00C452E9"/>
    <w:rsid w:val="00C4587D"/>
    <w:rsid w:val="00C4589A"/>
    <w:rsid w:val="00C46854"/>
    <w:rsid w:val="00C47BCC"/>
    <w:rsid w:val="00C51749"/>
    <w:rsid w:val="00C51B7E"/>
    <w:rsid w:val="00C53358"/>
    <w:rsid w:val="00C53F5C"/>
    <w:rsid w:val="00C55BD7"/>
    <w:rsid w:val="00C56C6E"/>
    <w:rsid w:val="00C5718E"/>
    <w:rsid w:val="00C57961"/>
    <w:rsid w:val="00C57C6C"/>
    <w:rsid w:val="00C616BE"/>
    <w:rsid w:val="00C625E3"/>
    <w:rsid w:val="00C62688"/>
    <w:rsid w:val="00C62997"/>
    <w:rsid w:val="00C629B4"/>
    <w:rsid w:val="00C650D0"/>
    <w:rsid w:val="00C65C02"/>
    <w:rsid w:val="00C65F64"/>
    <w:rsid w:val="00C669C0"/>
    <w:rsid w:val="00C7005E"/>
    <w:rsid w:val="00C70546"/>
    <w:rsid w:val="00C717B9"/>
    <w:rsid w:val="00C723C0"/>
    <w:rsid w:val="00C72818"/>
    <w:rsid w:val="00C73026"/>
    <w:rsid w:val="00C73077"/>
    <w:rsid w:val="00C753AC"/>
    <w:rsid w:val="00C7544F"/>
    <w:rsid w:val="00C75B5C"/>
    <w:rsid w:val="00C760D9"/>
    <w:rsid w:val="00C7686D"/>
    <w:rsid w:val="00C77E9C"/>
    <w:rsid w:val="00C77EEE"/>
    <w:rsid w:val="00C80356"/>
    <w:rsid w:val="00C808CB"/>
    <w:rsid w:val="00C82E82"/>
    <w:rsid w:val="00C83114"/>
    <w:rsid w:val="00C84C31"/>
    <w:rsid w:val="00C86DA5"/>
    <w:rsid w:val="00C90ACA"/>
    <w:rsid w:val="00C90CE9"/>
    <w:rsid w:val="00C90E3E"/>
    <w:rsid w:val="00C91F38"/>
    <w:rsid w:val="00C92C73"/>
    <w:rsid w:val="00C93BBC"/>
    <w:rsid w:val="00C952B0"/>
    <w:rsid w:val="00C95916"/>
    <w:rsid w:val="00C95BC3"/>
    <w:rsid w:val="00C95FBF"/>
    <w:rsid w:val="00C9697E"/>
    <w:rsid w:val="00C96C1D"/>
    <w:rsid w:val="00C9700A"/>
    <w:rsid w:val="00C97884"/>
    <w:rsid w:val="00CA2B3B"/>
    <w:rsid w:val="00CA2E61"/>
    <w:rsid w:val="00CA3984"/>
    <w:rsid w:val="00CA5427"/>
    <w:rsid w:val="00CA545B"/>
    <w:rsid w:val="00CA5982"/>
    <w:rsid w:val="00CA6373"/>
    <w:rsid w:val="00CA754B"/>
    <w:rsid w:val="00CB004E"/>
    <w:rsid w:val="00CB00B1"/>
    <w:rsid w:val="00CB04EA"/>
    <w:rsid w:val="00CB0572"/>
    <w:rsid w:val="00CB09F7"/>
    <w:rsid w:val="00CB53F8"/>
    <w:rsid w:val="00CB69ED"/>
    <w:rsid w:val="00CB6AB2"/>
    <w:rsid w:val="00CB6F38"/>
    <w:rsid w:val="00CB7C0C"/>
    <w:rsid w:val="00CC0FAC"/>
    <w:rsid w:val="00CC1238"/>
    <w:rsid w:val="00CC1490"/>
    <w:rsid w:val="00CC1797"/>
    <w:rsid w:val="00CC3C14"/>
    <w:rsid w:val="00CC45F7"/>
    <w:rsid w:val="00CC46A2"/>
    <w:rsid w:val="00CC4D25"/>
    <w:rsid w:val="00CC4F7A"/>
    <w:rsid w:val="00CC53F1"/>
    <w:rsid w:val="00CC5792"/>
    <w:rsid w:val="00CC5E83"/>
    <w:rsid w:val="00CC7779"/>
    <w:rsid w:val="00CD0722"/>
    <w:rsid w:val="00CD0E94"/>
    <w:rsid w:val="00CD138D"/>
    <w:rsid w:val="00CD1B7C"/>
    <w:rsid w:val="00CD2188"/>
    <w:rsid w:val="00CD26F0"/>
    <w:rsid w:val="00CD2C46"/>
    <w:rsid w:val="00CD3EA7"/>
    <w:rsid w:val="00CD4CE7"/>
    <w:rsid w:val="00CD4E14"/>
    <w:rsid w:val="00CD648D"/>
    <w:rsid w:val="00CD68D0"/>
    <w:rsid w:val="00CD7304"/>
    <w:rsid w:val="00CE0240"/>
    <w:rsid w:val="00CE0B59"/>
    <w:rsid w:val="00CE10B1"/>
    <w:rsid w:val="00CE14D9"/>
    <w:rsid w:val="00CE15FC"/>
    <w:rsid w:val="00CE1A51"/>
    <w:rsid w:val="00CE3E2A"/>
    <w:rsid w:val="00CE4757"/>
    <w:rsid w:val="00CE73DD"/>
    <w:rsid w:val="00CE7572"/>
    <w:rsid w:val="00CF09A5"/>
    <w:rsid w:val="00CF1835"/>
    <w:rsid w:val="00CF2954"/>
    <w:rsid w:val="00CF2CD5"/>
    <w:rsid w:val="00CF40FF"/>
    <w:rsid w:val="00CF5960"/>
    <w:rsid w:val="00CF6C80"/>
    <w:rsid w:val="00CF7A29"/>
    <w:rsid w:val="00D001A9"/>
    <w:rsid w:val="00D0078D"/>
    <w:rsid w:val="00D03F3D"/>
    <w:rsid w:val="00D05AEF"/>
    <w:rsid w:val="00D07D90"/>
    <w:rsid w:val="00D10A70"/>
    <w:rsid w:val="00D10E31"/>
    <w:rsid w:val="00D10EC7"/>
    <w:rsid w:val="00D1196C"/>
    <w:rsid w:val="00D12B2B"/>
    <w:rsid w:val="00D13D90"/>
    <w:rsid w:val="00D13E39"/>
    <w:rsid w:val="00D147BB"/>
    <w:rsid w:val="00D150D2"/>
    <w:rsid w:val="00D1542A"/>
    <w:rsid w:val="00D16016"/>
    <w:rsid w:val="00D16C50"/>
    <w:rsid w:val="00D16FC8"/>
    <w:rsid w:val="00D20CF6"/>
    <w:rsid w:val="00D20E8C"/>
    <w:rsid w:val="00D21768"/>
    <w:rsid w:val="00D217D5"/>
    <w:rsid w:val="00D2249D"/>
    <w:rsid w:val="00D2440E"/>
    <w:rsid w:val="00D24DDB"/>
    <w:rsid w:val="00D25625"/>
    <w:rsid w:val="00D30661"/>
    <w:rsid w:val="00D30E71"/>
    <w:rsid w:val="00D3308C"/>
    <w:rsid w:val="00D33502"/>
    <w:rsid w:val="00D33F8A"/>
    <w:rsid w:val="00D34092"/>
    <w:rsid w:val="00D3419C"/>
    <w:rsid w:val="00D364F8"/>
    <w:rsid w:val="00D37BC7"/>
    <w:rsid w:val="00D4046F"/>
    <w:rsid w:val="00D43AAB"/>
    <w:rsid w:val="00D4460D"/>
    <w:rsid w:val="00D45670"/>
    <w:rsid w:val="00D46B45"/>
    <w:rsid w:val="00D512C3"/>
    <w:rsid w:val="00D51730"/>
    <w:rsid w:val="00D53E39"/>
    <w:rsid w:val="00D54E3C"/>
    <w:rsid w:val="00D550A2"/>
    <w:rsid w:val="00D55FCE"/>
    <w:rsid w:val="00D56194"/>
    <w:rsid w:val="00D56422"/>
    <w:rsid w:val="00D60151"/>
    <w:rsid w:val="00D605B9"/>
    <w:rsid w:val="00D60752"/>
    <w:rsid w:val="00D60A48"/>
    <w:rsid w:val="00D6115D"/>
    <w:rsid w:val="00D61542"/>
    <w:rsid w:val="00D62213"/>
    <w:rsid w:val="00D628B5"/>
    <w:rsid w:val="00D62C79"/>
    <w:rsid w:val="00D63639"/>
    <w:rsid w:val="00D641B4"/>
    <w:rsid w:val="00D6491C"/>
    <w:rsid w:val="00D66D2B"/>
    <w:rsid w:val="00D70C71"/>
    <w:rsid w:val="00D714DD"/>
    <w:rsid w:val="00D71F3C"/>
    <w:rsid w:val="00D72A15"/>
    <w:rsid w:val="00D73C50"/>
    <w:rsid w:val="00D7493B"/>
    <w:rsid w:val="00D74E4B"/>
    <w:rsid w:val="00D755DA"/>
    <w:rsid w:val="00D7619F"/>
    <w:rsid w:val="00D76BC2"/>
    <w:rsid w:val="00D76D05"/>
    <w:rsid w:val="00D77506"/>
    <w:rsid w:val="00D80AD1"/>
    <w:rsid w:val="00D822A8"/>
    <w:rsid w:val="00D8274E"/>
    <w:rsid w:val="00D82DBE"/>
    <w:rsid w:val="00D83245"/>
    <w:rsid w:val="00D8413D"/>
    <w:rsid w:val="00D84638"/>
    <w:rsid w:val="00D850F7"/>
    <w:rsid w:val="00D863BE"/>
    <w:rsid w:val="00D869C8"/>
    <w:rsid w:val="00D870CD"/>
    <w:rsid w:val="00D87345"/>
    <w:rsid w:val="00D87499"/>
    <w:rsid w:val="00D87634"/>
    <w:rsid w:val="00D8767C"/>
    <w:rsid w:val="00D87D7C"/>
    <w:rsid w:val="00D9189A"/>
    <w:rsid w:val="00D91A79"/>
    <w:rsid w:val="00D92569"/>
    <w:rsid w:val="00D92935"/>
    <w:rsid w:val="00D93CC6"/>
    <w:rsid w:val="00D94C19"/>
    <w:rsid w:val="00D95087"/>
    <w:rsid w:val="00D955A7"/>
    <w:rsid w:val="00D95BF8"/>
    <w:rsid w:val="00D9678B"/>
    <w:rsid w:val="00D96AED"/>
    <w:rsid w:val="00DA1AD7"/>
    <w:rsid w:val="00DA2552"/>
    <w:rsid w:val="00DA2816"/>
    <w:rsid w:val="00DA318E"/>
    <w:rsid w:val="00DA531D"/>
    <w:rsid w:val="00DA5E6E"/>
    <w:rsid w:val="00DA746A"/>
    <w:rsid w:val="00DB1B58"/>
    <w:rsid w:val="00DB35D4"/>
    <w:rsid w:val="00DB365E"/>
    <w:rsid w:val="00DB4BE2"/>
    <w:rsid w:val="00DB5603"/>
    <w:rsid w:val="00DB717B"/>
    <w:rsid w:val="00DB768D"/>
    <w:rsid w:val="00DB77E6"/>
    <w:rsid w:val="00DB7A7F"/>
    <w:rsid w:val="00DB7D19"/>
    <w:rsid w:val="00DB7D72"/>
    <w:rsid w:val="00DB7D92"/>
    <w:rsid w:val="00DC03FE"/>
    <w:rsid w:val="00DC142C"/>
    <w:rsid w:val="00DC14D5"/>
    <w:rsid w:val="00DC23A9"/>
    <w:rsid w:val="00DC2AFB"/>
    <w:rsid w:val="00DC30DA"/>
    <w:rsid w:val="00DC4328"/>
    <w:rsid w:val="00DC4B04"/>
    <w:rsid w:val="00DC54EE"/>
    <w:rsid w:val="00DC6A72"/>
    <w:rsid w:val="00DD037F"/>
    <w:rsid w:val="00DD0490"/>
    <w:rsid w:val="00DD0FAF"/>
    <w:rsid w:val="00DD14D4"/>
    <w:rsid w:val="00DD2A4D"/>
    <w:rsid w:val="00DD4932"/>
    <w:rsid w:val="00DD6454"/>
    <w:rsid w:val="00DD6F2F"/>
    <w:rsid w:val="00DD78E8"/>
    <w:rsid w:val="00DD7A0C"/>
    <w:rsid w:val="00DE09EB"/>
    <w:rsid w:val="00DE12C0"/>
    <w:rsid w:val="00DE154C"/>
    <w:rsid w:val="00DE1898"/>
    <w:rsid w:val="00DE3B3F"/>
    <w:rsid w:val="00DE43F2"/>
    <w:rsid w:val="00DE69E8"/>
    <w:rsid w:val="00DE6E64"/>
    <w:rsid w:val="00DF002F"/>
    <w:rsid w:val="00DF0A0B"/>
    <w:rsid w:val="00DF0B1A"/>
    <w:rsid w:val="00DF0D75"/>
    <w:rsid w:val="00DF15C0"/>
    <w:rsid w:val="00DF1D1A"/>
    <w:rsid w:val="00DF2250"/>
    <w:rsid w:val="00DF2306"/>
    <w:rsid w:val="00DF4175"/>
    <w:rsid w:val="00DF520B"/>
    <w:rsid w:val="00DF6C84"/>
    <w:rsid w:val="00DF755D"/>
    <w:rsid w:val="00E01168"/>
    <w:rsid w:val="00E011EA"/>
    <w:rsid w:val="00E03A6C"/>
    <w:rsid w:val="00E0645E"/>
    <w:rsid w:val="00E065C3"/>
    <w:rsid w:val="00E069BA"/>
    <w:rsid w:val="00E11238"/>
    <w:rsid w:val="00E127F8"/>
    <w:rsid w:val="00E12E10"/>
    <w:rsid w:val="00E13096"/>
    <w:rsid w:val="00E13A38"/>
    <w:rsid w:val="00E13C79"/>
    <w:rsid w:val="00E13DFD"/>
    <w:rsid w:val="00E1412F"/>
    <w:rsid w:val="00E1473A"/>
    <w:rsid w:val="00E15472"/>
    <w:rsid w:val="00E1568B"/>
    <w:rsid w:val="00E15FC7"/>
    <w:rsid w:val="00E16A45"/>
    <w:rsid w:val="00E17B88"/>
    <w:rsid w:val="00E20C05"/>
    <w:rsid w:val="00E211C3"/>
    <w:rsid w:val="00E21BB0"/>
    <w:rsid w:val="00E22432"/>
    <w:rsid w:val="00E22613"/>
    <w:rsid w:val="00E22714"/>
    <w:rsid w:val="00E237C0"/>
    <w:rsid w:val="00E23CA8"/>
    <w:rsid w:val="00E2468C"/>
    <w:rsid w:val="00E24D85"/>
    <w:rsid w:val="00E24F29"/>
    <w:rsid w:val="00E263C3"/>
    <w:rsid w:val="00E27094"/>
    <w:rsid w:val="00E27FBD"/>
    <w:rsid w:val="00E306B0"/>
    <w:rsid w:val="00E32BE9"/>
    <w:rsid w:val="00E33581"/>
    <w:rsid w:val="00E3369E"/>
    <w:rsid w:val="00E33822"/>
    <w:rsid w:val="00E36806"/>
    <w:rsid w:val="00E3744D"/>
    <w:rsid w:val="00E3775D"/>
    <w:rsid w:val="00E40B20"/>
    <w:rsid w:val="00E4192B"/>
    <w:rsid w:val="00E41D42"/>
    <w:rsid w:val="00E41E4D"/>
    <w:rsid w:val="00E43A6A"/>
    <w:rsid w:val="00E45216"/>
    <w:rsid w:val="00E45296"/>
    <w:rsid w:val="00E50AC7"/>
    <w:rsid w:val="00E50E21"/>
    <w:rsid w:val="00E530D0"/>
    <w:rsid w:val="00E55992"/>
    <w:rsid w:val="00E56A02"/>
    <w:rsid w:val="00E56A10"/>
    <w:rsid w:val="00E60273"/>
    <w:rsid w:val="00E60EBC"/>
    <w:rsid w:val="00E62315"/>
    <w:rsid w:val="00E62474"/>
    <w:rsid w:val="00E63218"/>
    <w:rsid w:val="00E634A7"/>
    <w:rsid w:val="00E63EF4"/>
    <w:rsid w:val="00E64BA6"/>
    <w:rsid w:val="00E65C2C"/>
    <w:rsid w:val="00E65E26"/>
    <w:rsid w:val="00E66149"/>
    <w:rsid w:val="00E6788B"/>
    <w:rsid w:val="00E72C9F"/>
    <w:rsid w:val="00E73CFD"/>
    <w:rsid w:val="00E74758"/>
    <w:rsid w:val="00E758FB"/>
    <w:rsid w:val="00E75A60"/>
    <w:rsid w:val="00E777C4"/>
    <w:rsid w:val="00E77A3E"/>
    <w:rsid w:val="00E77B53"/>
    <w:rsid w:val="00E8071E"/>
    <w:rsid w:val="00E81907"/>
    <w:rsid w:val="00E82521"/>
    <w:rsid w:val="00E825C8"/>
    <w:rsid w:val="00E82C9D"/>
    <w:rsid w:val="00E8343B"/>
    <w:rsid w:val="00E83952"/>
    <w:rsid w:val="00E839D5"/>
    <w:rsid w:val="00E83B60"/>
    <w:rsid w:val="00E83C36"/>
    <w:rsid w:val="00E8426B"/>
    <w:rsid w:val="00E84CD9"/>
    <w:rsid w:val="00E863A1"/>
    <w:rsid w:val="00E86CBB"/>
    <w:rsid w:val="00E9011E"/>
    <w:rsid w:val="00E907CC"/>
    <w:rsid w:val="00E90DA0"/>
    <w:rsid w:val="00E910C1"/>
    <w:rsid w:val="00E91A81"/>
    <w:rsid w:val="00E91CDD"/>
    <w:rsid w:val="00E92860"/>
    <w:rsid w:val="00E92C12"/>
    <w:rsid w:val="00E92C13"/>
    <w:rsid w:val="00E930F7"/>
    <w:rsid w:val="00E93949"/>
    <w:rsid w:val="00E94E97"/>
    <w:rsid w:val="00E95E03"/>
    <w:rsid w:val="00E9643F"/>
    <w:rsid w:val="00E9728D"/>
    <w:rsid w:val="00EA07C9"/>
    <w:rsid w:val="00EA0C8B"/>
    <w:rsid w:val="00EA226C"/>
    <w:rsid w:val="00EA3476"/>
    <w:rsid w:val="00EA34BB"/>
    <w:rsid w:val="00EA4319"/>
    <w:rsid w:val="00EA4497"/>
    <w:rsid w:val="00EA510E"/>
    <w:rsid w:val="00EA58FD"/>
    <w:rsid w:val="00EA7EF5"/>
    <w:rsid w:val="00EB13D6"/>
    <w:rsid w:val="00EB157E"/>
    <w:rsid w:val="00EB2415"/>
    <w:rsid w:val="00EB2888"/>
    <w:rsid w:val="00EB36E2"/>
    <w:rsid w:val="00EB3CD3"/>
    <w:rsid w:val="00EB3FD2"/>
    <w:rsid w:val="00EB4830"/>
    <w:rsid w:val="00EB4C4D"/>
    <w:rsid w:val="00EB4C5C"/>
    <w:rsid w:val="00EB6E2C"/>
    <w:rsid w:val="00EB70C4"/>
    <w:rsid w:val="00EB778E"/>
    <w:rsid w:val="00EB78FF"/>
    <w:rsid w:val="00EB7E41"/>
    <w:rsid w:val="00EC0649"/>
    <w:rsid w:val="00EC0F7B"/>
    <w:rsid w:val="00EC18E7"/>
    <w:rsid w:val="00EC1B3D"/>
    <w:rsid w:val="00EC3DD7"/>
    <w:rsid w:val="00EC6333"/>
    <w:rsid w:val="00EC6833"/>
    <w:rsid w:val="00EC691D"/>
    <w:rsid w:val="00ED05C8"/>
    <w:rsid w:val="00ED1632"/>
    <w:rsid w:val="00ED1706"/>
    <w:rsid w:val="00ED2E4F"/>
    <w:rsid w:val="00ED4A9B"/>
    <w:rsid w:val="00ED57C9"/>
    <w:rsid w:val="00ED5B4F"/>
    <w:rsid w:val="00ED6828"/>
    <w:rsid w:val="00EE1727"/>
    <w:rsid w:val="00EE3578"/>
    <w:rsid w:val="00EE371B"/>
    <w:rsid w:val="00EE3731"/>
    <w:rsid w:val="00EE3B8C"/>
    <w:rsid w:val="00EE4B78"/>
    <w:rsid w:val="00EE569E"/>
    <w:rsid w:val="00EF1E7F"/>
    <w:rsid w:val="00EF1F68"/>
    <w:rsid w:val="00EF2902"/>
    <w:rsid w:val="00EF336F"/>
    <w:rsid w:val="00EF3C37"/>
    <w:rsid w:val="00EF3D1E"/>
    <w:rsid w:val="00EF4C06"/>
    <w:rsid w:val="00F00010"/>
    <w:rsid w:val="00F003EF"/>
    <w:rsid w:val="00F00C41"/>
    <w:rsid w:val="00F015E1"/>
    <w:rsid w:val="00F016CA"/>
    <w:rsid w:val="00F02311"/>
    <w:rsid w:val="00F028DE"/>
    <w:rsid w:val="00F02D2C"/>
    <w:rsid w:val="00F0429D"/>
    <w:rsid w:val="00F04F28"/>
    <w:rsid w:val="00F059E3"/>
    <w:rsid w:val="00F05BB7"/>
    <w:rsid w:val="00F05C4E"/>
    <w:rsid w:val="00F05FB1"/>
    <w:rsid w:val="00F06453"/>
    <w:rsid w:val="00F06BFE"/>
    <w:rsid w:val="00F07DDE"/>
    <w:rsid w:val="00F10476"/>
    <w:rsid w:val="00F10B58"/>
    <w:rsid w:val="00F1165F"/>
    <w:rsid w:val="00F13489"/>
    <w:rsid w:val="00F13D60"/>
    <w:rsid w:val="00F14870"/>
    <w:rsid w:val="00F14921"/>
    <w:rsid w:val="00F1570B"/>
    <w:rsid w:val="00F15D38"/>
    <w:rsid w:val="00F175C2"/>
    <w:rsid w:val="00F17FE7"/>
    <w:rsid w:val="00F2136B"/>
    <w:rsid w:val="00F22AE7"/>
    <w:rsid w:val="00F22B08"/>
    <w:rsid w:val="00F22CAF"/>
    <w:rsid w:val="00F22D15"/>
    <w:rsid w:val="00F231C9"/>
    <w:rsid w:val="00F23AE5"/>
    <w:rsid w:val="00F25088"/>
    <w:rsid w:val="00F25D24"/>
    <w:rsid w:val="00F25D27"/>
    <w:rsid w:val="00F26A39"/>
    <w:rsid w:val="00F2731B"/>
    <w:rsid w:val="00F2781D"/>
    <w:rsid w:val="00F279FE"/>
    <w:rsid w:val="00F30B87"/>
    <w:rsid w:val="00F31480"/>
    <w:rsid w:val="00F330E8"/>
    <w:rsid w:val="00F339D2"/>
    <w:rsid w:val="00F3414F"/>
    <w:rsid w:val="00F34C8B"/>
    <w:rsid w:val="00F34CE9"/>
    <w:rsid w:val="00F352A0"/>
    <w:rsid w:val="00F35DA5"/>
    <w:rsid w:val="00F36472"/>
    <w:rsid w:val="00F36659"/>
    <w:rsid w:val="00F37A55"/>
    <w:rsid w:val="00F37AF6"/>
    <w:rsid w:val="00F43612"/>
    <w:rsid w:val="00F43696"/>
    <w:rsid w:val="00F43E6A"/>
    <w:rsid w:val="00F44EAC"/>
    <w:rsid w:val="00F44F97"/>
    <w:rsid w:val="00F527AC"/>
    <w:rsid w:val="00F534B8"/>
    <w:rsid w:val="00F53C59"/>
    <w:rsid w:val="00F54033"/>
    <w:rsid w:val="00F5423A"/>
    <w:rsid w:val="00F5541B"/>
    <w:rsid w:val="00F556B3"/>
    <w:rsid w:val="00F565E1"/>
    <w:rsid w:val="00F56893"/>
    <w:rsid w:val="00F56B3D"/>
    <w:rsid w:val="00F56BF4"/>
    <w:rsid w:val="00F606A9"/>
    <w:rsid w:val="00F60828"/>
    <w:rsid w:val="00F6087E"/>
    <w:rsid w:val="00F60965"/>
    <w:rsid w:val="00F60B0B"/>
    <w:rsid w:val="00F65419"/>
    <w:rsid w:val="00F65CF6"/>
    <w:rsid w:val="00F67D40"/>
    <w:rsid w:val="00F705EB"/>
    <w:rsid w:val="00F71DD1"/>
    <w:rsid w:val="00F735B6"/>
    <w:rsid w:val="00F73D66"/>
    <w:rsid w:val="00F7423B"/>
    <w:rsid w:val="00F745FF"/>
    <w:rsid w:val="00F76F6B"/>
    <w:rsid w:val="00F775C6"/>
    <w:rsid w:val="00F77B21"/>
    <w:rsid w:val="00F80C22"/>
    <w:rsid w:val="00F8121D"/>
    <w:rsid w:val="00F8574B"/>
    <w:rsid w:val="00F85875"/>
    <w:rsid w:val="00F86A2A"/>
    <w:rsid w:val="00F91E68"/>
    <w:rsid w:val="00F93D43"/>
    <w:rsid w:val="00F93DAD"/>
    <w:rsid w:val="00F94BA4"/>
    <w:rsid w:val="00F94FD7"/>
    <w:rsid w:val="00F95E2F"/>
    <w:rsid w:val="00F96923"/>
    <w:rsid w:val="00FA0E9E"/>
    <w:rsid w:val="00FA2829"/>
    <w:rsid w:val="00FA2E5D"/>
    <w:rsid w:val="00FA3B50"/>
    <w:rsid w:val="00FA6668"/>
    <w:rsid w:val="00FB02FA"/>
    <w:rsid w:val="00FB14E5"/>
    <w:rsid w:val="00FB3A1E"/>
    <w:rsid w:val="00FB430F"/>
    <w:rsid w:val="00FB713C"/>
    <w:rsid w:val="00FC07DD"/>
    <w:rsid w:val="00FC2335"/>
    <w:rsid w:val="00FC26F8"/>
    <w:rsid w:val="00FC31F3"/>
    <w:rsid w:val="00FC3B33"/>
    <w:rsid w:val="00FC3F93"/>
    <w:rsid w:val="00FC3FC3"/>
    <w:rsid w:val="00FC4071"/>
    <w:rsid w:val="00FC529B"/>
    <w:rsid w:val="00FC6293"/>
    <w:rsid w:val="00FC67FC"/>
    <w:rsid w:val="00FC6A47"/>
    <w:rsid w:val="00FC6AC2"/>
    <w:rsid w:val="00FC6ADD"/>
    <w:rsid w:val="00FC778D"/>
    <w:rsid w:val="00FD0DF7"/>
    <w:rsid w:val="00FD1A45"/>
    <w:rsid w:val="00FD2522"/>
    <w:rsid w:val="00FD2B99"/>
    <w:rsid w:val="00FD3630"/>
    <w:rsid w:val="00FD5359"/>
    <w:rsid w:val="00FD5AB1"/>
    <w:rsid w:val="00FD655D"/>
    <w:rsid w:val="00FD6764"/>
    <w:rsid w:val="00FD69A3"/>
    <w:rsid w:val="00FE13A1"/>
    <w:rsid w:val="00FE16F7"/>
    <w:rsid w:val="00FE4B86"/>
    <w:rsid w:val="00FE4E0F"/>
    <w:rsid w:val="00FE6E50"/>
    <w:rsid w:val="00FE75AA"/>
    <w:rsid w:val="00FE7CDE"/>
    <w:rsid w:val="00FF02D0"/>
    <w:rsid w:val="00FF12A3"/>
    <w:rsid w:val="00FF1A27"/>
    <w:rsid w:val="00FF1F73"/>
    <w:rsid w:val="00FF23DE"/>
    <w:rsid w:val="00FF26CE"/>
    <w:rsid w:val="00FF397B"/>
    <w:rsid w:val="00FF4862"/>
    <w:rsid w:val="00FF4D41"/>
    <w:rsid w:val="00FF54B7"/>
    <w:rsid w:val="00FF7ADF"/>
    <w:rsid w:val="051B09A4"/>
    <w:rsid w:val="39284554"/>
    <w:rsid w:val="48B32C63"/>
    <w:rsid w:val="618015B1"/>
    <w:rsid w:val="766927FE"/>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6D7EC"/>
  <w15:docId w15:val="{2A89A821-5BEC-40BF-883A-4B5735B1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uiPriority="0"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sz w:val="22"/>
      <w:szCs w:val="22"/>
      <w:lang w:val="en-US" w:eastAsia="en-US"/>
    </w:rPr>
  </w:style>
  <w:style w:type="paragraph" w:styleId="Heading1">
    <w:name w:val="heading 1"/>
    <w:basedOn w:val="Normal"/>
    <w:next w:val="Normal"/>
    <w:link w:val="Heading1Char"/>
    <w:uiPriority w:val="9"/>
    <w:qFormat/>
    <w:pPr>
      <w:keepNext/>
      <w:keepLines/>
      <w:numPr>
        <w:numId w:val="1"/>
      </w:numPr>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numPr>
        <w:ilvl w:val="1"/>
        <w:numId w:val="1"/>
      </w:numPr>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line="240" w:lineRule="auto"/>
      <w:outlineLvl w:val="3"/>
    </w:pPr>
    <w:rPr>
      <w:rFonts w:asciiTheme="majorHAnsi" w:eastAsiaTheme="majorEastAsia" w:hAnsiTheme="majorHAnsi" w:cstheme="majorBidi"/>
      <w:b/>
      <w:bCs/>
      <w:i/>
      <w:iCs/>
      <w:color w:val="5B9BD5" w:themeColor="accent1"/>
      <w:sz w:val="24"/>
      <w:szCs w:val="24"/>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line="240" w:lineRule="auto"/>
      <w:outlineLvl w:val="4"/>
    </w:pPr>
    <w:rPr>
      <w:rFonts w:asciiTheme="majorHAnsi" w:eastAsiaTheme="majorEastAsia" w:hAnsiTheme="majorHAnsi" w:cstheme="majorBidi"/>
      <w:color w:val="1F4E79" w:themeColor="accent1" w:themeShade="80"/>
      <w:sz w:val="24"/>
      <w:szCs w:val="24"/>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line="240" w:lineRule="auto"/>
      <w:outlineLvl w:val="5"/>
    </w:pPr>
    <w:rPr>
      <w:rFonts w:asciiTheme="majorHAnsi" w:eastAsiaTheme="majorEastAsia" w:hAnsiTheme="majorHAnsi" w:cstheme="majorBidi"/>
      <w:i/>
      <w:iCs/>
      <w:color w:val="1F4E79" w:themeColor="accent1" w:themeShade="80"/>
      <w:sz w:val="24"/>
      <w:szCs w:val="24"/>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lockText">
    <w:name w:val="Block Text"/>
    <w:basedOn w:val="Normal"/>
    <w:qFormat/>
    <w:pPr>
      <w:tabs>
        <w:tab w:val="left" w:pos="-1170"/>
      </w:tabs>
      <w:spacing w:after="0" w:line="240" w:lineRule="auto"/>
      <w:ind w:left="270" w:right="140" w:hanging="270"/>
      <w:jc w:val="both"/>
    </w:pPr>
    <w:rPr>
      <w:rFonts w:ascii="Times New Roman" w:eastAsia="Times New Roman" w:hAnsi="Times New Roman" w:cs="Times New Roman"/>
      <w:sz w:val="28"/>
      <w:szCs w:val="20"/>
    </w:rPr>
  </w:style>
  <w:style w:type="paragraph" w:styleId="BodyText">
    <w:name w:val="Body Text"/>
    <w:basedOn w:val="Normal"/>
    <w:link w:val="BodyTextChar"/>
    <w:qFormat/>
    <w:pPr>
      <w:spacing w:after="0" w:line="240" w:lineRule="auto"/>
      <w:jc w:val="both"/>
    </w:pPr>
    <w:rPr>
      <w:rFonts w:ascii="Arial" w:eastAsia="Times New Roman" w:hAnsi="Arial" w:cs="Times New Roman"/>
      <w:szCs w:val="20"/>
      <w:lang w:val="en-PH" w:eastAsia="en-PH"/>
    </w:rPr>
  </w:style>
  <w:style w:type="paragraph" w:styleId="BodyText2">
    <w:name w:val="Body Text 2"/>
    <w:basedOn w:val="Normal"/>
    <w:link w:val="BodyText2Char"/>
    <w:uiPriority w:val="99"/>
    <w:semiHidden/>
    <w:unhideWhenUsed/>
    <w:qFormat/>
    <w:pPr>
      <w:spacing w:after="120" w:line="480" w:lineRule="auto"/>
    </w:pPr>
  </w:style>
  <w:style w:type="paragraph" w:styleId="BodyTextIndent">
    <w:name w:val="Body Text Indent"/>
    <w:basedOn w:val="Normal"/>
    <w:link w:val="BodyTextIndentChar"/>
    <w:uiPriority w:val="99"/>
    <w:unhideWhenUsed/>
    <w:qFormat/>
    <w:pPr>
      <w:spacing w:after="120" w:line="240" w:lineRule="auto"/>
      <w:ind w:left="360"/>
    </w:pPr>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semiHidden/>
    <w:unhideWhenUsed/>
    <w:qFormat/>
    <w:pPr>
      <w:spacing w:after="120"/>
      <w:ind w:left="360"/>
    </w:pPr>
    <w:rPr>
      <w:sz w:val="16"/>
      <w:szCs w:val="16"/>
    </w:rPr>
  </w:style>
  <w:style w:type="character" w:styleId="CommentReference">
    <w:name w:val="annotation reference"/>
    <w:basedOn w:val="DefaultParagraphFont"/>
    <w:unhideWhenUsed/>
    <w:qFormat/>
    <w:rPr>
      <w:sz w:val="16"/>
      <w:szCs w:val="16"/>
    </w:rPr>
  </w:style>
  <w:style w:type="paragraph" w:styleId="CommentText">
    <w:name w:val="annotation text"/>
    <w:basedOn w:val="Normal"/>
    <w:link w:val="CommentTextChar"/>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heme="minorHAnsi" w:eastAsiaTheme="minorEastAsia" w:hAnsiTheme="minorHAnsi" w:cstheme="minorBidi"/>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sume Title,List Paragraph1"/>
    <w:basedOn w:val="Normal"/>
    <w:link w:val="ListParagraphChar"/>
    <w:uiPriority w:val="34"/>
    <w:qFormat/>
    <w:pPr>
      <w:spacing w:after="0" w:line="240" w:lineRule="auto"/>
      <w:ind w:left="720"/>
    </w:pPr>
    <w:rPr>
      <w:rFonts w:ascii="Times New Roman" w:eastAsia="Times New Roman" w:hAnsi="Times New Roman" w:cs="Times New Roman"/>
      <w:sz w:val="24"/>
      <w:szCs w:val="24"/>
    </w:rPr>
  </w:style>
  <w:style w:type="paragraph" w:styleId="NoSpacing">
    <w:name w:val="No Spacing"/>
    <w:link w:val="NoSpacingChar"/>
    <w:uiPriority w:val="1"/>
    <w:qFormat/>
    <w:rPr>
      <w:rFonts w:ascii="Calibri" w:eastAsia="Calibri" w:hAnsi="Calibri" w:cs="Times New Roman"/>
      <w:sz w:val="22"/>
      <w:szCs w:val="22"/>
    </w:rPr>
  </w:style>
  <w:style w:type="character" w:customStyle="1" w:styleId="NoSpacingChar">
    <w:name w:val="No Spacing Char"/>
    <w:link w:val="NoSpacing"/>
    <w:qFormat/>
    <w:rPr>
      <w:rFonts w:ascii="Calibri" w:eastAsia="Calibri" w:hAnsi="Calibri" w:cs="Times New Roman"/>
      <w:lang w:eastAsia="en-PH"/>
    </w:rPr>
  </w:style>
  <w:style w:type="character" w:customStyle="1" w:styleId="ListParagraphChar">
    <w:name w:val="List Paragraph Char"/>
    <w:aliases w:val="Resume Title Char,List Paragraph1 Char"/>
    <w:link w:val="ListParagraph"/>
    <w:uiPriority w:val="34"/>
    <w:qFormat/>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qFormat/>
    <w:rPr>
      <w:rFonts w:ascii="Arial" w:eastAsia="Times New Roman" w:hAnsi="Arial" w:cs="Times New Roman"/>
      <w:szCs w:val="20"/>
      <w:lang w:eastAsia="en-PH"/>
    </w:rPr>
  </w:style>
  <w:style w:type="character" w:customStyle="1" w:styleId="HeaderChar">
    <w:name w:val="Header Char"/>
    <w:basedOn w:val="DefaultParagraphFont"/>
    <w:link w:val="Header"/>
    <w:uiPriority w:val="99"/>
    <w:qFormat/>
    <w:rPr>
      <w:rFonts w:eastAsiaTheme="minorEastAsia"/>
      <w:lang w:val="en-US"/>
    </w:rPr>
  </w:style>
  <w:style w:type="character" w:customStyle="1" w:styleId="CommentTextChar">
    <w:name w:val="Comment Text Char"/>
    <w:basedOn w:val="DefaultParagraphFont"/>
    <w:link w:val="CommentText"/>
    <w:qFormat/>
    <w:rPr>
      <w:rFonts w:ascii="Calibri" w:eastAsia="Calibri" w:hAnsi="Calibri" w:cs="Calibri"/>
      <w:sz w:val="20"/>
      <w:szCs w:val="20"/>
      <w:lang w:val="en-US"/>
    </w:rPr>
  </w:style>
  <w:style w:type="character" w:customStyle="1" w:styleId="CommentSubjectChar">
    <w:name w:val="Comment Subject Char"/>
    <w:basedOn w:val="CommentTextChar"/>
    <w:link w:val="CommentSubject"/>
    <w:uiPriority w:val="99"/>
    <w:semiHidden/>
    <w:qFormat/>
    <w:rPr>
      <w:rFonts w:ascii="Calibri" w:eastAsia="Calibri" w:hAnsi="Calibri" w:cs="Calibri"/>
      <w:b/>
      <w:bCs/>
      <w:sz w:val="20"/>
      <w:szCs w:val="20"/>
      <w:lang w:val="en-US"/>
    </w:rPr>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val="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b/>
      <w:bCs/>
      <w:color w:val="5B9BD5" w:themeColor="accent1"/>
      <w:sz w:val="24"/>
      <w:szCs w:val="24"/>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5B9BD5" w:themeColor="accent1"/>
      <w:sz w:val="24"/>
      <w:szCs w:val="24"/>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4E79" w:themeColor="accent1" w:themeShade="80"/>
      <w:sz w:val="24"/>
      <w:szCs w:val="24"/>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1F4E79" w:themeColor="accent1" w:themeShade="80"/>
      <w:sz w:val="24"/>
      <w:szCs w:val="24"/>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404040" w:themeColor="text1" w:themeTint="BF"/>
      <w:sz w:val="20"/>
      <w:szCs w:val="20"/>
      <w:lang w:val="en-US"/>
    </w:rPr>
  </w:style>
  <w:style w:type="character" w:customStyle="1" w:styleId="FooterChar">
    <w:name w:val="Footer Char"/>
    <w:basedOn w:val="DefaultParagraphFont"/>
    <w:link w:val="Footer"/>
    <w:uiPriority w:val="99"/>
    <w:qFormat/>
    <w:rPr>
      <w:rFonts w:ascii="Calibri" w:eastAsia="Calibri" w:hAnsi="Calibri" w:cs="Calibri"/>
      <w:lang w:val="en-US"/>
    </w:rPr>
  </w:style>
  <w:style w:type="paragraph" w:customStyle="1" w:styleId="Revision1">
    <w:name w:val="Revision1"/>
    <w:hidden/>
    <w:uiPriority w:val="99"/>
    <w:semiHidden/>
    <w:qFormat/>
    <w:rPr>
      <w:rFonts w:ascii="Calibri" w:eastAsia="Calibri" w:hAnsi="Calibri" w:cs="Calibri"/>
      <w:sz w:val="22"/>
      <w:szCs w:val="22"/>
      <w:lang w:val="en-US" w:eastAsia="en-US"/>
    </w:rPr>
  </w:style>
  <w:style w:type="character" w:customStyle="1" w:styleId="FootnoteTextChar">
    <w:name w:val="Footnote Text Char"/>
    <w:basedOn w:val="DefaultParagraphFont"/>
    <w:link w:val="FootnoteText"/>
    <w:uiPriority w:val="99"/>
    <w:semiHidden/>
    <w:qFormat/>
    <w:rPr>
      <w:rFonts w:ascii="Calibri" w:eastAsia="Calibri" w:hAnsi="Calibri" w:cs="Calibri"/>
      <w:sz w:val="20"/>
      <w:szCs w:val="20"/>
      <w:lang w:val="en-US"/>
    </w:rPr>
  </w:style>
  <w:style w:type="character" w:customStyle="1" w:styleId="BodyTextIndentChar">
    <w:name w:val="Body Text Indent Char"/>
    <w:basedOn w:val="DefaultParagraphFont"/>
    <w:link w:val="BodyTextIndent"/>
    <w:uiPriority w:val="99"/>
    <w:qFormat/>
    <w:rPr>
      <w:rFonts w:ascii="Times New Roman" w:eastAsia="Times New Roman" w:hAnsi="Times New Roman" w:cs="Times New Roman"/>
      <w:sz w:val="24"/>
      <w:szCs w:val="24"/>
      <w:lang w:val="en-GB" w:eastAsia="en-GB"/>
    </w:rPr>
  </w:style>
  <w:style w:type="table" w:customStyle="1" w:styleId="TableGrid1">
    <w:name w:val="Table Grid1"/>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BodyText2Char">
    <w:name w:val="Body Text 2 Char"/>
    <w:basedOn w:val="DefaultParagraphFont"/>
    <w:link w:val="BodyText2"/>
    <w:uiPriority w:val="99"/>
    <w:semiHidden/>
    <w:qFormat/>
    <w:rPr>
      <w:rFonts w:ascii="Calibri" w:eastAsia="Calibri" w:hAnsi="Calibri" w:cs="Calibri"/>
      <w:lang w:val="en-US"/>
    </w:rPr>
  </w:style>
  <w:style w:type="character" w:customStyle="1" w:styleId="BodyTextIndent3Char">
    <w:name w:val="Body Text Indent 3 Char"/>
    <w:basedOn w:val="DefaultParagraphFont"/>
    <w:link w:val="BodyTextIndent3"/>
    <w:uiPriority w:val="99"/>
    <w:semiHidden/>
    <w:qFormat/>
    <w:rPr>
      <w:rFonts w:ascii="Calibri" w:eastAsia="Calibri" w:hAnsi="Calibri" w:cs="Calibri"/>
      <w:sz w:val="16"/>
      <w:szCs w:val="16"/>
      <w:lang w:val="en-US"/>
    </w:rPr>
  </w:style>
  <w:style w:type="paragraph" w:styleId="Revision">
    <w:name w:val="Revision"/>
    <w:hidden/>
    <w:uiPriority w:val="99"/>
    <w:semiHidden/>
    <w:rsid w:val="0033234D"/>
    <w:rPr>
      <w:rFonts w:ascii="Calibri" w:eastAsia="Calibri" w:hAnsi="Calibri" w:cs="Calibri"/>
      <w:sz w:val="22"/>
      <w:szCs w:val="22"/>
      <w:lang w:val="en-US" w:eastAsia="en-US"/>
    </w:rPr>
  </w:style>
  <w:style w:type="paragraph" w:styleId="ListContinue">
    <w:name w:val="List Continue"/>
    <w:basedOn w:val="Normal"/>
    <w:rsid w:val="00092A03"/>
    <w:pPr>
      <w:overflowPunct w:val="0"/>
      <w:autoSpaceDE w:val="0"/>
      <w:autoSpaceDN w:val="0"/>
      <w:adjustRightInd w:val="0"/>
      <w:spacing w:after="120" w:line="240" w:lineRule="auto"/>
      <w:textAlignment w:val="baseline"/>
    </w:pPr>
    <w:rPr>
      <w:rFonts w:ascii="Times New Roman" w:eastAsia="Times New Roman" w:hAnsi="Times New Roman" w:cs="Times New Roman"/>
      <w:szCs w:val="20"/>
      <w:lang w:val="en-PH"/>
    </w:rPr>
  </w:style>
  <w:style w:type="character" w:styleId="PageNumber">
    <w:name w:val="page number"/>
    <w:basedOn w:val="DefaultParagraphFont"/>
    <w:rsid w:val="00092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85400">
      <w:bodyDiv w:val="1"/>
      <w:marLeft w:val="0"/>
      <w:marRight w:val="0"/>
      <w:marTop w:val="0"/>
      <w:marBottom w:val="0"/>
      <w:divBdr>
        <w:top w:val="none" w:sz="0" w:space="0" w:color="auto"/>
        <w:left w:val="none" w:sz="0" w:space="0" w:color="auto"/>
        <w:bottom w:val="none" w:sz="0" w:space="0" w:color="auto"/>
        <w:right w:val="none" w:sz="0" w:space="0" w:color="auto"/>
      </w:divBdr>
    </w:div>
    <w:div w:id="598610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Props1.xml><?xml version="1.0" encoding="utf-8"?>
<ds:datastoreItem xmlns:ds="http://schemas.openxmlformats.org/officeDocument/2006/customXml" ds:itemID="{B776015D-CF02-4D58-91C8-51A1BBCF0D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64</Pages>
  <Words>22874</Words>
  <Characters>130386</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Observations and Recommendations</vt:lpstr>
    </vt:vector>
  </TitlesOfParts>
  <Company/>
  <LinksUpToDate>false</LinksUpToDate>
  <CharactersWithSpaces>152955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and Recommendations</dc:title>
  <dc:creator>COA - AFP Retirement and Separation Benefits System</dc:creator>
  <cp:keywords/>
  <cp:lastModifiedBy>Evy Rose L. Lacanlale</cp:lastModifiedBy>
  <cp:revision>72</cp:revision>
  <cp:lastPrinted>2023-05-11T11:14:00Z</cp:lastPrinted>
  <dcterms:created xsi:type="dcterms:W3CDTF">2023-05-17T09:10:00Z</dcterms:created>
  <dcterms:modified xsi:type="dcterms:W3CDTF">2023-05-25T05:40:00Z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17D7E2241BD543F7B9359D05238F9CB7</vt:lpwstr>
  </property>
</Properties>
</file>