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0B3F" w14:textId="1FD5DF25" w:rsidR="00EB75C2" w:rsidRDefault="00FA68F1" w:rsidP="003940F3">
      <w:pPr>
        <w:jc w:val="center"/>
        <w:rPr>
          <w:rFonts w:ascii="Arial" w:hAnsi="Arial" w:cs="Arial"/>
          <w:color w:val="000000" w:themeColor="text1"/>
          <w:sz w:val="22"/>
          <w:szCs w:val="22"/>
        </w:rPr>
      </w:pPr>
      <w:r>
        <w:rPr>
          <w:noProof/>
          <w:sz w:val="22"/>
          <w:lang w:val="en-PH" w:eastAsia="en-PH"/>
        </w:rPr>
        <w:drawing>
          <wp:anchor distT="0" distB="0" distL="114300" distR="114300" simplePos="0" relativeHeight="251659264" behindDoc="1" locked="0" layoutInCell="1" allowOverlap="1" wp14:anchorId="57C9CD50" wp14:editId="5A72D8FD">
            <wp:simplePos x="0" y="0"/>
            <wp:positionH relativeFrom="margin">
              <wp:posOffset>57150</wp:posOffset>
            </wp:positionH>
            <wp:positionV relativeFrom="paragraph">
              <wp:posOffset>-535305</wp:posOffset>
            </wp:positionV>
            <wp:extent cx="4572000" cy="1371600"/>
            <wp:effectExtent l="0" t="0" r="0" b="0"/>
            <wp:wrapNone/>
            <wp:docPr id="3" name="Picture 3" descr="02 Letterhead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Letterhead_Bas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CDC66" w14:textId="1FCC3F5E" w:rsidR="00FA68F1" w:rsidRDefault="00FA68F1" w:rsidP="003940F3">
      <w:pPr>
        <w:jc w:val="center"/>
        <w:rPr>
          <w:rFonts w:ascii="Arial" w:hAnsi="Arial" w:cs="Arial"/>
          <w:color w:val="000000" w:themeColor="text1"/>
          <w:sz w:val="22"/>
          <w:szCs w:val="22"/>
        </w:rPr>
      </w:pPr>
    </w:p>
    <w:p w14:paraId="79A7AD85" w14:textId="77777777" w:rsidR="00FA68F1" w:rsidRPr="00143751" w:rsidRDefault="00FA68F1" w:rsidP="003940F3">
      <w:pPr>
        <w:jc w:val="center"/>
        <w:rPr>
          <w:rFonts w:ascii="Arial" w:hAnsi="Arial" w:cs="Arial"/>
          <w:color w:val="000000" w:themeColor="text1"/>
          <w:sz w:val="22"/>
          <w:szCs w:val="22"/>
        </w:rPr>
      </w:pPr>
    </w:p>
    <w:p w14:paraId="6E3FC743" w14:textId="77777777" w:rsidR="00FA68F1" w:rsidRDefault="00FA68F1" w:rsidP="003940F3">
      <w:pPr>
        <w:jc w:val="center"/>
        <w:rPr>
          <w:rFonts w:ascii="Arial" w:hAnsi="Arial" w:cs="Arial"/>
          <w:b/>
          <w:color w:val="000000" w:themeColor="text1"/>
          <w:sz w:val="22"/>
          <w:szCs w:val="22"/>
        </w:rPr>
      </w:pPr>
    </w:p>
    <w:p w14:paraId="74EF60A7" w14:textId="6ADE53BF" w:rsidR="00EB75C2" w:rsidRPr="00143751" w:rsidRDefault="00EB75C2" w:rsidP="003940F3">
      <w:pPr>
        <w:jc w:val="center"/>
        <w:rPr>
          <w:rFonts w:ascii="Arial" w:hAnsi="Arial" w:cs="Arial"/>
          <w:b/>
          <w:color w:val="000000" w:themeColor="text1"/>
          <w:sz w:val="22"/>
          <w:szCs w:val="22"/>
        </w:rPr>
      </w:pPr>
      <w:r w:rsidRPr="00143751">
        <w:rPr>
          <w:rFonts w:ascii="Arial" w:hAnsi="Arial" w:cs="Arial"/>
          <w:b/>
          <w:color w:val="000000" w:themeColor="text1"/>
          <w:sz w:val="22"/>
          <w:szCs w:val="22"/>
        </w:rPr>
        <w:t>INDEPENDENT AUDITOR’S REPORT</w:t>
      </w:r>
    </w:p>
    <w:p w14:paraId="1E5BCEBF" w14:textId="77777777" w:rsidR="00EB75C2" w:rsidRPr="009E2955" w:rsidRDefault="00EB75C2" w:rsidP="003940F3">
      <w:pPr>
        <w:rPr>
          <w:rFonts w:ascii="Arial" w:hAnsi="Arial" w:cs="Arial"/>
          <w:color w:val="000000" w:themeColor="text1"/>
          <w:szCs w:val="22"/>
        </w:rPr>
      </w:pPr>
    </w:p>
    <w:p w14:paraId="4F98AB47" w14:textId="77777777" w:rsidR="007626C3" w:rsidRPr="009E2955" w:rsidRDefault="007626C3" w:rsidP="003940F3">
      <w:pPr>
        <w:ind w:right="36"/>
        <w:rPr>
          <w:rFonts w:ascii="Arial" w:hAnsi="Arial" w:cs="Arial"/>
          <w:b/>
          <w:color w:val="000000" w:themeColor="text1"/>
          <w:szCs w:val="22"/>
        </w:rPr>
      </w:pPr>
    </w:p>
    <w:p w14:paraId="6C42240A" w14:textId="77777777" w:rsidR="00EB75C2" w:rsidRPr="00143751" w:rsidRDefault="00EB75C2" w:rsidP="003940F3">
      <w:pPr>
        <w:ind w:right="36"/>
        <w:rPr>
          <w:rFonts w:ascii="Arial" w:hAnsi="Arial" w:cs="Arial"/>
          <w:b/>
          <w:color w:val="000000" w:themeColor="text1"/>
          <w:sz w:val="22"/>
          <w:szCs w:val="22"/>
        </w:rPr>
      </w:pPr>
      <w:r w:rsidRPr="00143751">
        <w:rPr>
          <w:rFonts w:ascii="Arial" w:hAnsi="Arial" w:cs="Arial"/>
          <w:b/>
          <w:color w:val="000000" w:themeColor="text1"/>
          <w:sz w:val="22"/>
          <w:szCs w:val="22"/>
        </w:rPr>
        <w:t>The Board of Liquidators</w:t>
      </w:r>
    </w:p>
    <w:p w14:paraId="406D7E8E" w14:textId="77777777" w:rsidR="00EB75C2" w:rsidRPr="00143751" w:rsidRDefault="00EB75C2" w:rsidP="003940F3">
      <w:pPr>
        <w:ind w:right="36"/>
        <w:rPr>
          <w:rFonts w:ascii="Arial" w:hAnsi="Arial" w:cs="Arial"/>
          <w:color w:val="000000" w:themeColor="text1"/>
          <w:sz w:val="22"/>
          <w:szCs w:val="22"/>
        </w:rPr>
      </w:pPr>
      <w:r w:rsidRPr="00143751">
        <w:rPr>
          <w:rFonts w:ascii="Arial" w:hAnsi="Arial" w:cs="Arial"/>
          <w:color w:val="000000" w:themeColor="text1"/>
          <w:sz w:val="22"/>
          <w:szCs w:val="22"/>
        </w:rPr>
        <w:t>AFP Retirement and Separation Benefits System</w:t>
      </w:r>
    </w:p>
    <w:p w14:paraId="439CEF38" w14:textId="77777777" w:rsidR="00EB75C2" w:rsidRPr="00143751" w:rsidRDefault="00EB75C2" w:rsidP="003940F3">
      <w:pPr>
        <w:ind w:right="36"/>
        <w:rPr>
          <w:rFonts w:ascii="Arial" w:hAnsi="Arial" w:cs="Arial"/>
          <w:color w:val="000000" w:themeColor="text1"/>
          <w:sz w:val="22"/>
          <w:szCs w:val="22"/>
        </w:rPr>
      </w:pPr>
      <w:r w:rsidRPr="00143751">
        <w:rPr>
          <w:rFonts w:ascii="Arial" w:hAnsi="Arial" w:cs="Arial"/>
          <w:color w:val="000000" w:themeColor="text1"/>
          <w:sz w:val="22"/>
          <w:szCs w:val="22"/>
        </w:rPr>
        <w:t xml:space="preserve">424 </w:t>
      </w:r>
      <w:proofErr w:type="spellStart"/>
      <w:r w:rsidRPr="00143751">
        <w:rPr>
          <w:rFonts w:ascii="Arial" w:hAnsi="Arial" w:cs="Arial"/>
          <w:color w:val="000000" w:themeColor="text1"/>
          <w:sz w:val="22"/>
          <w:szCs w:val="22"/>
        </w:rPr>
        <w:t>Capinpin</w:t>
      </w:r>
      <w:proofErr w:type="spellEnd"/>
      <w:r w:rsidRPr="00143751">
        <w:rPr>
          <w:rFonts w:ascii="Arial" w:hAnsi="Arial" w:cs="Arial"/>
          <w:color w:val="000000" w:themeColor="text1"/>
          <w:sz w:val="22"/>
          <w:szCs w:val="22"/>
        </w:rPr>
        <w:t xml:space="preserve"> Avenue, Camp General Emilio Aguinaldo</w:t>
      </w:r>
    </w:p>
    <w:p w14:paraId="769204D1" w14:textId="77777777" w:rsidR="00EB75C2" w:rsidRPr="00143751" w:rsidRDefault="00EB75C2" w:rsidP="003940F3">
      <w:pPr>
        <w:ind w:right="36"/>
        <w:rPr>
          <w:rFonts w:ascii="Arial" w:hAnsi="Arial" w:cs="Arial"/>
          <w:color w:val="000000" w:themeColor="text1"/>
          <w:sz w:val="22"/>
          <w:szCs w:val="22"/>
        </w:rPr>
      </w:pPr>
      <w:r w:rsidRPr="00143751">
        <w:rPr>
          <w:rFonts w:ascii="Arial" w:hAnsi="Arial" w:cs="Arial"/>
          <w:color w:val="000000" w:themeColor="text1"/>
          <w:sz w:val="22"/>
          <w:szCs w:val="22"/>
        </w:rPr>
        <w:t>Quezon City, Metro Manila</w:t>
      </w:r>
    </w:p>
    <w:p w14:paraId="5ACFBF15" w14:textId="77777777" w:rsidR="00EB75C2" w:rsidRPr="00143751" w:rsidRDefault="00EB75C2" w:rsidP="003940F3">
      <w:pPr>
        <w:ind w:right="36"/>
        <w:jc w:val="both"/>
        <w:rPr>
          <w:rFonts w:ascii="Arial" w:hAnsi="Arial" w:cs="Arial"/>
          <w:color w:val="000000" w:themeColor="text1"/>
          <w:sz w:val="22"/>
          <w:szCs w:val="22"/>
        </w:rPr>
      </w:pPr>
    </w:p>
    <w:p w14:paraId="6EE27DE4" w14:textId="77777777" w:rsidR="00EB75C2" w:rsidRPr="00143751" w:rsidRDefault="00EB75C2" w:rsidP="003940F3">
      <w:pPr>
        <w:ind w:right="36"/>
        <w:jc w:val="both"/>
        <w:rPr>
          <w:rFonts w:ascii="Arial" w:hAnsi="Arial" w:cs="Arial"/>
          <w:b/>
          <w:color w:val="000000" w:themeColor="text1"/>
          <w:sz w:val="22"/>
          <w:szCs w:val="22"/>
        </w:rPr>
      </w:pPr>
    </w:p>
    <w:p w14:paraId="020477F0" w14:textId="3E079F54" w:rsidR="00EB75C2" w:rsidRPr="00143751" w:rsidRDefault="00EB75C2" w:rsidP="003940F3">
      <w:pPr>
        <w:ind w:right="36"/>
        <w:jc w:val="both"/>
        <w:rPr>
          <w:rFonts w:ascii="Arial" w:hAnsi="Arial" w:cs="Arial"/>
          <w:b/>
          <w:color w:val="000000" w:themeColor="text1"/>
          <w:sz w:val="22"/>
          <w:szCs w:val="22"/>
        </w:rPr>
      </w:pPr>
      <w:r w:rsidRPr="00143751">
        <w:rPr>
          <w:rFonts w:ascii="Arial" w:hAnsi="Arial" w:cs="Arial"/>
          <w:b/>
          <w:color w:val="000000" w:themeColor="text1"/>
          <w:sz w:val="22"/>
          <w:szCs w:val="22"/>
        </w:rPr>
        <w:t xml:space="preserve">Report on the Audit of the </w:t>
      </w:r>
      <w:r w:rsidR="00106876" w:rsidRPr="00143751">
        <w:rPr>
          <w:rFonts w:ascii="Arial" w:hAnsi="Arial" w:cs="Arial"/>
          <w:b/>
          <w:color w:val="000000" w:themeColor="text1"/>
          <w:sz w:val="22"/>
          <w:szCs w:val="22"/>
        </w:rPr>
        <w:t xml:space="preserve">Consolidated </w:t>
      </w:r>
      <w:r w:rsidRPr="00143751">
        <w:rPr>
          <w:rFonts w:ascii="Arial" w:hAnsi="Arial" w:cs="Arial"/>
          <w:b/>
          <w:color w:val="000000" w:themeColor="text1"/>
          <w:sz w:val="22"/>
          <w:szCs w:val="22"/>
        </w:rPr>
        <w:t>Financial Statements</w:t>
      </w:r>
    </w:p>
    <w:p w14:paraId="0079D914" w14:textId="77777777" w:rsidR="00EB75C2" w:rsidRPr="009E2955" w:rsidRDefault="00EB75C2" w:rsidP="003940F3">
      <w:pPr>
        <w:ind w:right="36"/>
        <w:jc w:val="both"/>
        <w:rPr>
          <w:rFonts w:ascii="Arial" w:hAnsi="Arial" w:cs="Arial"/>
          <w:color w:val="000000" w:themeColor="text1"/>
          <w:szCs w:val="22"/>
        </w:rPr>
      </w:pPr>
    </w:p>
    <w:p w14:paraId="5D899228" w14:textId="65DCEC6E" w:rsidR="00EB75C2" w:rsidRPr="006E0003" w:rsidRDefault="003B7C6B" w:rsidP="003940F3">
      <w:pPr>
        <w:ind w:right="36"/>
        <w:jc w:val="both"/>
        <w:rPr>
          <w:rFonts w:ascii="Arial" w:hAnsi="Arial" w:cs="Arial"/>
          <w:i/>
          <w:color w:val="000000" w:themeColor="text1"/>
          <w:sz w:val="22"/>
          <w:szCs w:val="22"/>
        </w:rPr>
      </w:pPr>
      <w:r w:rsidRPr="009E2955">
        <w:rPr>
          <w:rFonts w:ascii="Arial" w:hAnsi="Arial" w:cs="Arial"/>
          <w:i/>
          <w:color w:val="000000" w:themeColor="text1"/>
          <w:sz w:val="22"/>
          <w:szCs w:val="22"/>
        </w:rPr>
        <w:t>Adverse</w:t>
      </w:r>
      <w:r w:rsidR="00EB75C2" w:rsidRPr="009E2955">
        <w:rPr>
          <w:rFonts w:ascii="Arial" w:hAnsi="Arial" w:cs="Arial"/>
          <w:i/>
          <w:color w:val="000000" w:themeColor="text1"/>
          <w:sz w:val="22"/>
          <w:szCs w:val="22"/>
        </w:rPr>
        <w:t xml:space="preserve"> Opinion</w:t>
      </w:r>
    </w:p>
    <w:p w14:paraId="01B8FAB8" w14:textId="77777777" w:rsidR="00EB75C2" w:rsidRPr="009E2955" w:rsidRDefault="00EB75C2" w:rsidP="003940F3">
      <w:pPr>
        <w:ind w:right="36"/>
        <w:jc w:val="both"/>
        <w:rPr>
          <w:rFonts w:ascii="Arial" w:hAnsi="Arial" w:cs="Arial"/>
          <w:color w:val="000000" w:themeColor="text1"/>
          <w:szCs w:val="22"/>
        </w:rPr>
      </w:pPr>
      <w:r w:rsidRPr="006E0003">
        <w:rPr>
          <w:rFonts w:ascii="Arial" w:hAnsi="Arial" w:cs="Arial"/>
          <w:color w:val="000000" w:themeColor="text1"/>
          <w:sz w:val="22"/>
          <w:szCs w:val="22"/>
        </w:rPr>
        <w:t xml:space="preserve"> </w:t>
      </w:r>
    </w:p>
    <w:p w14:paraId="307724AF" w14:textId="62B5D15F" w:rsidR="00EB75C2" w:rsidRPr="006E0003" w:rsidRDefault="00EB75C2" w:rsidP="003940F3">
      <w:pPr>
        <w:ind w:right="36"/>
        <w:jc w:val="both"/>
        <w:rPr>
          <w:rFonts w:ascii="Arial" w:hAnsi="Arial" w:cs="Arial"/>
          <w:color w:val="000000" w:themeColor="text1"/>
          <w:sz w:val="22"/>
          <w:szCs w:val="22"/>
        </w:rPr>
      </w:pPr>
      <w:r w:rsidRPr="006E0003">
        <w:rPr>
          <w:rFonts w:ascii="Arial" w:hAnsi="Arial" w:cs="Arial"/>
          <w:color w:val="000000" w:themeColor="text1"/>
          <w:sz w:val="22"/>
          <w:szCs w:val="22"/>
        </w:rPr>
        <w:t xml:space="preserve">We have audited the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financial statements of AFP Retirement and Separation Benefits System (AFPRSBS</w:t>
      </w:r>
      <w:r w:rsidR="00A64A14" w:rsidRPr="006E0003">
        <w:rPr>
          <w:rFonts w:ascii="Arial" w:hAnsi="Arial" w:cs="Arial"/>
          <w:color w:val="000000" w:themeColor="text1"/>
          <w:sz w:val="22"/>
          <w:szCs w:val="22"/>
        </w:rPr>
        <w:t>)</w:t>
      </w:r>
      <w:r w:rsidR="00A0669B" w:rsidRPr="006E0003">
        <w:rPr>
          <w:rFonts w:ascii="Arial" w:hAnsi="Arial" w:cs="Arial"/>
          <w:color w:val="000000" w:themeColor="text1"/>
          <w:sz w:val="22"/>
          <w:szCs w:val="22"/>
        </w:rPr>
        <w:t xml:space="preserve"> and its subsidiary (</w:t>
      </w:r>
      <w:r w:rsidR="00442438" w:rsidRPr="006E0003">
        <w:rPr>
          <w:rFonts w:ascii="Arial" w:hAnsi="Arial" w:cs="Arial"/>
          <w:color w:val="000000" w:themeColor="text1"/>
          <w:sz w:val="22"/>
          <w:szCs w:val="22"/>
        </w:rPr>
        <w:t xml:space="preserve">collectively referred as </w:t>
      </w:r>
      <w:r w:rsidR="00A0669B" w:rsidRPr="006E0003">
        <w:rPr>
          <w:rFonts w:ascii="Arial" w:hAnsi="Arial" w:cs="Arial"/>
          <w:color w:val="000000" w:themeColor="text1"/>
          <w:sz w:val="22"/>
          <w:szCs w:val="22"/>
        </w:rPr>
        <w:t>the Group)</w:t>
      </w:r>
      <w:r w:rsidRPr="006E0003">
        <w:rPr>
          <w:rFonts w:ascii="Arial" w:hAnsi="Arial" w:cs="Arial"/>
          <w:color w:val="000000" w:themeColor="text1"/>
          <w:sz w:val="22"/>
          <w:szCs w:val="22"/>
        </w:rPr>
        <w:t xml:space="preserve">, which comprise the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statement</w:t>
      </w:r>
      <w:r w:rsidR="00EC5854" w:rsidRPr="006E0003">
        <w:rPr>
          <w:rFonts w:ascii="Arial" w:hAnsi="Arial" w:cs="Arial"/>
          <w:color w:val="000000" w:themeColor="text1"/>
          <w:sz w:val="22"/>
          <w:szCs w:val="22"/>
        </w:rPr>
        <w:t>s</w:t>
      </w:r>
      <w:r w:rsidRPr="006E0003">
        <w:rPr>
          <w:rFonts w:ascii="Arial" w:hAnsi="Arial" w:cs="Arial"/>
          <w:color w:val="000000" w:themeColor="text1"/>
          <w:sz w:val="22"/>
          <w:szCs w:val="22"/>
        </w:rPr>
        <w:t xml:space="preserve"> of financial </w:t>
      </w:r>
      <w:r w:rsidR="005C4748" w:rsidRPr="006E0003">
        <w:rPr>
          <w:rFonts w:ascii="Arial" w:hAnsi="Arial" w:cs="Arial"/>
          <w:color w:val="000000" w:themeColor="text1"/>
          <w:sz w:val="22"/>
          <w:szCs w:val="22"/>
        </w:rPr>
        <w:t>position as at</w:t>
      </w:r>
      <w:r w:rsidR="00F85920" w:rsidRPr="006E0003">
        <w:rPr>
          <w:rFonts w:ascii="Arial" w:hAnsi="Arial" w:cs="Arial"/>
          <w:color w:val="000000" w:themeColor="text1"/>
          <w:sz w:val="22"/>
          <w:szCs w:val="22"/>
        </w:rPr>
        <w:t xml:space="preserve">  </w:t>
      </w:r>
      <w:r w:rsidR="009F7970" w:rsidRPr="006E0003">
        <w:rPr>
          <w:rFonts w:ascii="Arial" w:hAnsi="Arial" w:cs="Arial"/>
          <w:color w:val="000000" w:themeColor="text1"/>
          <w:sz w:val="22"/>
          <w:szCs w:val="22"/>
        </w:rPr>
        <w:t>December 31, 2022 and 2021</w:t>
      </w:r>
      <w:r w:rsidRPr="006E0003">
        <w:rPr>
          <w:rFonts w:ascii="Arial" w:hAnsi="Arial" w:cs="Arial"/>
          <w:color w:val="000000" w:themeColor="text1"/>
          <w:sz w:val="22"/>
          <w:szCs w:val="22"/>
        </w:rPr>
        <w:t>, and the</w:t>
      </w:r>
      <w:r w:rsidR="00A0669B" w:rsidRPr="006E0003">
        <w:rPr>
          <w:rFonts w:ascii="Arial" w:hAnsi="Arial" w:cs="Arial"/>
          <w:color w:val="000000" w:themeColor="text1"/>
          <w:sz w:val="22"/>
          <w:szCs w:val="22"/>
        </w:rPr>
        <w:t xml:space="preserve"> consolidated</w:t>
      </w:r>
      <w:r w:rsidRPr="006E0003">
        <w:rPr>
          <w:rFonts w:ascii="Arial" w:hAnsi="Arial" w:cs="Arial"/>
          <w:color w:val="000000" w:themeColor="text1"/>
          <w:sz w:val="22"/>
          <w:szCs w:val="22"/>
        </w:rPr>
        <w:t xml:space="preserve"> statements of comprehensive income,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 xml:space="preserve">statements of changes in equity and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statements of cash flows for the years then ended, and notes to</w:t>
      </w:r>
      <w:r w:rsidR="00563F7E" w:rsidRPr="006E0003">
        <w:rPr>
          <w:rFonts w:ascii="Arial" w:hAnsi="Arial" w:cs="Arial"/>
          <w:color w:val="000000" w:themeColor="text1"/>
          <w:sz w:val="22"/>
          <w:szCs w:val="22"/>
        </w:rPr>
        <w:t xml:space="preserve"> the</w:t>
      </w:r>
      <w:r w:rsidRPr="006E0003">
        <w:rPr>
          <w:rFonts w:ascii="Arial" w:hAnsi="Arial" w:cs="Arial"/>
          <w:color w:val="000000" w:themeColor="text1"/>
          <w:sz w:val="22"/>
          <w:szCs w:val="22"/>
        </w:rPr>
        <w:t xml:space="preserve">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financial statements, including a summary of significant accounting policies</w:t>
      </w:r>
      <w:r w:rsidR="00FC3F14" w:rsidRPr="006E0003">
        <w:rPr>
          <w:rFonts w:ascii="Arial" w:hAnsi="Arial" w:cs="Arial"/>
          <w:color w:val="000000" w:themeColor="text1"/>
          <w:sz w:val="22"/>
          <w:szCs w:val="22"/>
        </w:rPr>
        <w:t xml:space="preserve">. </w:t>
      </w:r>
    </w:p>
    <w:p w14:paraId="65C71E1F" w14:textId="77777777" w:rsidR="00EB75C2" w:rsidRPr="006E0003" w:rsidRDefault="00EB75C2" w:rsidP="003940F3">
      <w:pPr>
        <w:ind w:right="36"/>
        <w:jc w:val="both"/>
        <w:rPr>
          <w:rFonts w:ascii="Arial" w:hAnsi="Arial" w:cs="Arial"/>
          <w:color w:val="000000" w:themeColor="text1"/>
          <w:sz w:val="22"/>
          <w:szCs w:val="22"/>
        </w:rPr>
      </w:pPr>
    </w:p>
    <w:p w14:paraId="22DB8639" w14:textId="04A5AE27" w:rsidR="00EB75C2" w:rsidRPr="006E0003" w:rsidRDefault="00EB75C2" w:rsidP="003940F3">
      <w:pPr>
        <w:ind w:right="36"/>
        <w:jc w:val="both"/>
        <w:rPr>
          <w:rFonts w:ascii="Arial" w:hAnsi="Arial" w:cs="Arial"/>
          <w:color w:val="000000" w:themeColor="text1"/>
          <w:sz w:val="22"/>
          <w:szCs w:val="22"/>
        </w:rPr>
      </w:pPr>
      <w:r w:rsidRPr="006E0003">
        <w:rPr>
          <w:rFonts w:ascii="Arial" w:hAnsi="Arial" w:cs="Arial"/>
          <w:color w:val="000000" w:themeColor="text1"/>
          <w:sz w:val="22"/>
          <w:szCs w:val="22"/>
        </w:rPr>
        <w:t xml:space="preserve">In our opinion, </w:t>
      </w:r>
      <w:r w:rsidR="00693030" w:rsidRPr="006E0003">
        <w:rPr>
          <w:rFonts w:ascii="Arial" w:hAnsi="Arial" w:cs="Arial"/>
          <w:color w:val="000000" w:themeColor="text1"/>
          <w:sz w:val="22"/>
          <w:szCs w:val="22"/>
        </w:rPr>
        <w:t xml:space="preserve">because of the significance </w:t>
      </w:r>
      <w:r w:rsidR="00EC5854" w:rsidRPr="006E0003">
        <w:rPr>
          <w:rFonts w:ascii="Arial" w:hAnsi="Arial" w:cs="Arial"/>
          <w:color w:val="000000" w:themeColor="text1"/>
          <w:sz w:val="22"/>
          <w:szCs w:val="22"/>
        </w:rPr>
        <w:t>of the matter</w:t>
      </w:r>
      <w:r w:rsidR="00B01ED9" w:rsidRPr="006E0003">
        <w:rPr>
          <w:rFonts w:ascii="Arial" w:hAnsi="Arial" w:cs="Arial"/>
          <w:color w:val="000000" w:themeColor="text1"/>
          <w:sz w:val="22"/>
          <w:szCs w:val="22"/>
        </w:rPr>
        <w:t>s</w:t>
      </w:r>
      <w:r w:rsidR="00EC5854" w:rsidRPr="006E0003">
        <w:rPr>
          <w:rFonts w:ascii="Arial" w:hAnsi="Arial" w:cs="Arial"/>
          <w:color w:val="000000" w:themeColor="text1"/>
          <w:sz w:val="22"/>
          <w:szCs w:val="22"/>
        </w:rPr>
        <w:t xml:space="preserve"> d</w:t>
      </w:r>
      <w:r w:rsidR="00693030" w:rsidRPr="006E0003">
        <w:rPr>
          <w:rFonts w:ascii="Arial" w:hAnsi="Arial" w:cs="Arial"/>
          <w:color w:val="000000" w:themeColor="text1"/>
          <w:sz w:val="22"/>
          <w:szCs w:val="22"/>
        </w:rPr>
        <w:t>iscussed</w:t>
      </w:r>
      <w:r w:rsidR="00EC5854" w:rsidRPr="006E0003">
        <w:rPr>
          <w:rFonts w:ascii="Arial" w:hAnsi="Arial" w:cs="Arial"/>
          <w:color w:val="000000" w:themeColor="text1"/>
          <w:sz w:val="22"/>
          <w:szCs w:val="22"/>
        </w:rPr>
        <w:t xml:space="preserve"> </w:t>
      </w:r>
      <w:r w:rsidR="00CF7561" w:rsidRPr="006E0003">
        <w:rPr>
          <w:rFonts w:ascii="Arial" w:hAnsi="Arial" w:cs="Arial"/>
          <w:color w:val="000000" w:themeColor="text1"/>
          <w:sz w:val="22"/>
          <w:szCs w:val="22"/>
        </w:rPr>
        <w:t xml:space="preserve">in the </w:t>
      </w:r>
      <w:r w:rsidR="00CF7561" w:rsidRPr="009E2955">
        <w:rPr>
          <w:rFonts w:ascii="Arial" w:hAnsi="Arial" w:cs="Arial"/>
          <w:i/>
          <w:color w:val="000000" w:themeColor="text1"/>
          <w:sz w:val="22"/>
          <w:szCs w:val="22"/>
        </w:rPr>
        <w:t>Base</w:t>
      </w:r>
      <w:r w:rsidRPr="009E2955">
        <w:rPr>
          <w:rFonts w:ascii="Arial" w:hAnsi="Arial" w:cs="Arial"/>
          <w:i/>
          <w:color w:val="000000" w:themeColor="text1"/>
          <w:sz w:val="22"/>
          <w:szCs w:val="22"/>
        </w:rPr>
        <w:t xml:space="preserve">s for </w:t>
      </w:r>
      <w:r w:rsidR="003B7C6B" w:rsidRPr="009E2955">
        <w:rPr>
          <w:rFonts w:ascii="Arial" w:hAnsi="Arial" w:cs="Arial"/>
          <w:i/>
          <w:color w:val="000000" w:themeColor="text1"/>
          <w:sz w:val="22"/>
          <w:szCs w:val="22"/>
        </w:rPr>
        <w:t>Adverse</w:t>
      </w:r>
      <w:r w:rsidRPr="009E2955">
        <w:rPr>
          <w:rFonts w:ascii="Arial" w:hAnsi="Arial" w:cs="Arial"/>
          <w:i/>
          <w:color w:val="000000" w:themeColor="text1"/>
          <w:sz w:val="22"/>
          <w:szCs w:val="22"/>
        </w:rPr>
        <w:t xml:space="preserve"> Opinion</w:t>
      </w:r>
      <w:r w:rsidRPr="006E0003">
        <w:rPr>
          <w:rFonts w:ascii="Arial" w:hAnsi="Arial" w:cs="Arial"/>
          <w:color w:val="000000" w:themeColor="text1"/>
          <w:sz w:val="22"/>
          <w:szCs w:val="22"/>
        </w:rPr>
        <w:t xml:space="preserve"> </w:t>
      </w:r>
      <w:r w:rsidR="005331E1" w:rsidRPr="006E0003">
        <w:rPr>
          <w:rFonts w:ascii="Arial" w:hAnsi="Arial" w:cs="Arial"/>
          <w:color w:val="000000" w:themeColor="text1"/>
          <w:sz w:val="22"/>
          <w:szCs w:val="22"/>
        </w:rPr>
        <w:t>section of our report</w:t>
      </w:r>
      <w:r w:rsidRPr="006E0003">
        <w:rPr>
          <w:rFonts w:ascii="Arial" w:hAnsi="Arial" w:cs="Arial"/>
          <w:color w:val="000000" w:themeColor="text1"/>
          <w:sz w:val="22"/>
          <w:szCs w:val="22"/>
        </w:rPr>
        <w:t xml:space="preserve">, the accompanying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 xml:space="preserve">financial statements </w:t>
      </w:r>
      <w:r w:rsidR="00693030" w:rsidRPr="006E0003">
        <w:rPr>
          <w:rFonts w:ascii="Arial" w:hAnsi="Arial" w:cs="Arial"/>
          <w:color w:val="000000" w:themeColor="text1"/>
          <w:sz w:val="22"/>
          <w:szCs w:val="22"/>
        </w:rPr>
        <w:t xml:space="preserve">do not </w:t>
      </w:r>
      <w:r w:rsidRPr="006E0003">
        <w:rPr>
          <w:rFonts w:ascii="Arial" w:hAnsi="Arial" w:cs="Arial"/>
          <w:color w:val="000000" w:themeColor="text1"/>
          <w:sz w:val="22"/>
          <w:szCs w:val="22"/>
        </w:rPr>
        <w:t>present fairly</w:t>
      </w:r>
      <w:r w:rsidR="00EC5854" w:rsidRPr="006E0003">
        <w:rPr>
          <w:rFonts w:ascii="Arial" w:hAnsi="Arial" w:cs="Arial"/>
          <w:color w:val="000000" w:themeColor="text1"/>
          <w:sz w:val="22"/>
          <w:szCs w:val="22"/>
        </w:rPr>
        <w:t xml:space="preserve">, </w:t>
      </w:r>
      <w:r w:rsidRPr="006E0003">
        <w:rPr>
          <w:rFonts w:ascii="Arial" w:hAnsi="Arial" w:cs="Arial"/>
          <w:color w:val="000000" w:themeColor="text1"/>
          <w:sz w:val="22"/>
          <w:szCs w:val="22"/>
        </w:rPr>
        <w:t xml:space="preserve">the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 xml:space="preserve">financial position of </w:t>
      </w:r>
      <w:r w:rsidR="00A0669B" w:rsidRPr="006E0003">
        <w:rPr>
          <w:rFonts w:ascii="Arial" w:hAnsi="Arial" w:cs="Arial"/>
          <w:color w:val="000000" w:themeColor="text1"/>
          <w:sz w:val="22"/>
          <w:szCs w:val="22"/>
        </w:rPr>
        <w:t>the Group</w:t>
      </w:r>
      <w:r w:rsidR="002B1E5F" w:rsidRPr="006E0003">
        <w:rPr>
          <w:rFonts w:ascii="Arial" w:hAnsi="Arial" w:cs="Arial"/>
          <w:color w:val="000000" w:themeColor="text1"/>
          <w:sz w:val="22"/>
          <w:szCs w:val="22"/>
        </w:rPr>
        <w:t xml:space="preserve"> </w:t>
      </w:r>
      <w:r w:rsidR="005C4748" w:rsidRPr="006E0003">
        <w:rPr>
          <w:rFonts w:ascii="Arial" w:hAnsi="Arial" w:cs="Arial"/>
          <w:color w:val="000000" w:themeColor="text1"/>
          <w:sz w:val="22"/>
          <w:szCs w:val="22"/>
        </w:rPr>
        <w:t xml:space="preserve">as </w:t>
      </w:r>
      <w:proofErr w:type="gramStart"/>
      <w:r w:rsidR="005C4748" w:rsidRPr="006E0003">
        <w:rPr>
          <w:rFonts w:ascii="Arial" w:hAnsi="Arial" w:cs="Arial"/>
          <w:color w:val="000000" w:themeColor="text1"/>
          <w:sz w:val="22"/>
          <w:szCs w:val="22"/>
        </w:rPr>
        <w:t>at</w:t>
      </w:r>
      <w:proofErr w:type="gramEnd"/>
      <w:r w:rsidR="00F85920" w:rsidRPr="006E0003">
        <w:rPr>
          <w:rFonts w:ascii="Arial" w:hAnsi="Arial" w:cs="Arial"/>
          <w:color w:val="000000" w:themeColor="text1"/>
          <w:sz w:val="22"/>
          <w:szCs w:val="22"/>
        </w:rPr>
        <w:t xml:space="preserve"> </w:t>
      </w:r>
      <w:r w:rsidR="005C4748" w:rsidRPr="006E0003">
        <w:rPr>
          <w:rFonts w:ascii="Arial" w:hAnsi="Arial" w:cs="Arial"/>
          <w:color w:val="000000" w:themeColor="text1"/>
          <w:sz w:val="22"/>
          <w:szCs w:val="22"/>
        </w:rPr>
        <w:t>December</w:t>
      </w:r>
      <w:r w:rsidR="009F7970" w:rsidRPr="006E0003">
        <w:rPr>
          <w:rFonts w:ascii="Arial" w:hAnsi="Arial" w:cs="Arial"/>
          <w:color w:val="000000" w:themeColor="text1"/>
          <w:sz w:val="22"/>
          <w:szCs w:val="22"/>
        </w:rPr>
        <w:t xml:space="preserve"> 31, 2022 and 2021</w:t>
      </w:r>
      <w:r w:rsidRPr="006E0003">
        <w:rPr>
          <w:rFonts w:ascii="Arial" w:hAnsi="Arial" w:cs="Arial"/>
          <w:color w:val="000000" w:themeColor="text1"/>
          <w:sz w:val="22"/>
          <w:szCs w:val="22"/>
        </w:rPr>
        <w:t>, and its</w:t>
      </w:r>
      <w:r w:rsidR="00A0669B" w:rsidRPr="006E0003">
        <w:rPr>
          <w:rFonts w:ascii="Arial" w:hAnsi="Arial" w:cs="Arial"/>
          <w:color w:val="000000" w:themeColor="text1"/>
          <w:sz w:val="22"/>
          <w:szCs w:val="22"/>
        </w:rPr>
        <w:t xml:space="preserve"> consolidated</w:t>
      </w:r>
      <w:r w:rsidRPr="006E0003">
        <w:rPr>
          <w:rFonts w:ascii="Arial" w:hAnsi="Arial" w:cs="Arial"/>
          <w:color w:val="000000" w:themeColor="text1"/>
          <w:sz w:val="22"/>
          <w:szCs w:val="22"/>
        </w:rPr>
        <w:t xml:space="preserve"> financial performance and </w:t>
      </w:r>
      <w:r w:rsidR="005331E1" w:rsidRPr="006E0003">
        <w:rPr>
          <w:rFonts w:ascii="Arial" w:hAnsi="Arial" w:cs="Arial"/>
          <w:color w:val="000000" w:themeColor="text1"/>
          <w:sz w:val="22"/>
          <w:szCs w:val="22"/>
        </w:rPr>
        <w:t xml:space="preserve">its </w:t>
      </w:r>
      <w:r w:rsidR="00A0669B" w:rsidRPr="006E0003">
        <w:rPr>
          <w:rFonts w:ascii="Arial" w:hAnsi="Arial" w:cs="Arial"/>
          <w:color w:val="000000" w:themeColor="text1"/>
          <w:sz w:val="22"/>
          <w:szCs w:val="22"/>
        </w:rPr>
        <w:t xml:space="preserve">consolidated </w:t>
      </w:r>
      <w:r w:rsidRPr="006E0003">
        <w:rPr>
          <w:rFonts w:ascii="Arial" w:hAnsi="Arial" w:cs="Arial"/>
          <w:color w:val="000000" w:themeColor="text1"/>
          <w:sz w:val="22"/>
          <w:szCs w:val="22"/>
        </w:rPr>
        <w:t xml:space="preserve">cash flows for the years then ended in accordance with </w:t>
      </w:r>
      <w:r w:rsidR="005331E1" w:rsidRPr="006E0003">
        <w:rPr>
          <w:rFonts w:ascii="Arial" w:hAnsi="Arial" w:cs="Arial"/>
          <w:color w:val="000000" w:themeColor="text1"/>
          <w:sz w:val="22"/>
          <w:szCs w:val="22"/>
        </w:rPr>
        <w:t xml:space="preserve">the </w:t>
      </w:r>
      <w:r w:rsidRPr="006E0003">
        <w:rPr>
          <w:rFonts w:ascii="Arial" w:hAnsi="Arial" w:cs="Arial"/>
          <w:color w:val="000000" w:themeColor="text1"/>
          <w:sz w:val="22"/>
          <w:szCs w:val="22"/>
        </w:rPr>
        <w:t>Philippine Financial Reporting Standards (PFRSs).</w:t>
      </w:r>
    </w:p>
    <w:p w14:paraId="5EF1F13C" w14:textId="77777777" w:rsidR="009737DE" w:rsidRPr="009E2955" w:rsidRDefault="009737DE" w:rsidP="003940F3">
      <w:pPr>
        <w:ind w:right="36"/>
        <w:jc w:val="both"/>
        <w:rPr>
          <w:rFonts w:ascii="Arial" w:hAnsi="Arial" w:cs="Arial"/>
          <w:color w:val="000000" w:themeColor="text1"/>
          <w:szCs w:val="22"/>
        </w:rPr>
      </w:pPr>
    </w:p>
    <w:p w14:paraId="03B3F3F7" w14:textId="0903F54D" w:rsidR="00EB75C2" w:rsidRPr="006E0003" w:rsidRDefault="00705623" w:rsidP="003940F3">
      <w:pPr>
        <w:ind w:right="36"/>
        <w:jc w:val="both"/>
        <w:rPr>
          <w:rFonts w:ascii="Arial" w:hAnsi="Arial" w:cs="Arial"/>
          <w:i/>
          <w:color w:val="000000" w:themeColor="text1"/>
          <w:sz w:val="22"/>
          <w:szCs w:val="22"/>
        </w:rPr>
      </w:pPr>
      <w:bookmarkStart w:id="0" w:name="_Hlk135125950"/>
      <w:bookmarkStart w:id="1" w:name="_Hlk135041722"/>
      <w:r w:rsidRPr="009E2955">
        <w:rPr>
          <w:rFonts w:ascii="Arial" w:hAnsi="Arial" w:cs="Arial"/>
          <w:i/>
          <w:color w:val="000000" w:themeColor="text1"/>
          <w:sz w:val="22"/>
          <w:szCs w:val="22"/>
        </w:rPr>
        <w:t>Bas</w:t>
      </w:r>
      <w:r w:rsidR="00A95EEA" w:rsidRPr="009E2955">
        <w:rPr>
          <w:rFonts w:ascii="Arial" w:hAnsi="Arial" w:cs="Arial"/>
          <w:i/>
          <w:color w:val="000000" w:themeColor="text1"/>
          <w:sz w:val="22"/>
          <w:szCs w:val="22"/>
        </w:rPr>
        <w:t>e</w:t>
      </w:r>
      <w:r w:rsidR="00EB75C2" w:rsidRPr="009E2955">
        <w:rPr>
          <w:rFonts w:ascii="Arial" w:hAnsi="Arial" w:cs="Arial"/>
          <w:i/>
          <w:color w:val="000000" w:themeColor="text1"/>
          <w:sz w:val="22"/>
          <w:szCs w:val="22"/>
        </w:rPr>
        <w:t>s for</w:t>
      </w:r>
      <w:r w:rsidR="003B7C6B" w:rsidRPr="009E2955">
        <w:rPr>
          <w:rFonts w:ascii="Arial" w:hAnsi="Arial" w:cs="Arial"/>
          <w:i/>
          <w:color w:val="000000" w:themeColor="text1"/>
          <w:sz w:val="22"/>
          <w:szCs w:val="22"/>
        </w:rPr>
        <w:t xml:space="preserve"> Adverse</w:t>
      </w:r>
      <w:r w:rsidR="00EB75C2" w:rsidRPr="009E2955">
        <w:rPr>
          <w:rFonts w:ascii="Arial" w:hAnsi="Arial" w:cs="Arial"/>
          <w:i/>
          <w:color w:val="000000" w:themeColor="text1"/>
          <w:sz w:val="22"/>
          <w:szCs w:val="22"/>
        </w:rPr>
        <w:t xml:space="preserve"> Opinion</w:t>
      </w:r>
    </w:p>
    <w:p w14:paraId="06CCF80C" w14:textId="77777777" w:rsidR="00705623" w:rsidRPr="009E2955" w:rsidRDefault="00705623" w:rsidP="003940F3">
      <w:pPr>
        <w:ind w:right="36"/>
        <w:jc w:val="both"/>
        <w:rPr>
          <w:rFonts w:ascii="Arial" w:hAnsi="Arial" w:cs="Arial"/>
          <w:i/>
          <w:color w:val="000000" w:themeColor="text1"/>
          <w:szCs w:val="22"/>
        </w:rPr>
      </w:pPr>
    </w:p>
    <w:p w14:paraId="57C466A2" w14:textId="1ADED657" w:rsidR="00CC7AAD" w:rsidRDefault="00875A3E" w:rsidP="003940F3">
      <w:pPr>
        <w:ind w:right="36"/>
        <w:jc w:val="both"/>
        <w:rPr>
          <w:rFonts w:ascii="Arial" w:hAnsi="Arial" w:cs="Arial"/>
          <w:bCs/>
          <w:sz w:val="22"/>
          <w:szCs w:val="22"/>
        </w:rPr>
      </w:pPr>
      <w:r w:rsidRPr="006E0003">
        <w:rPr>
          <w:rFonts w:ascii="Arial" w:hAnsi="Arial" w:cs="Arial"/>
          <w:bCs/>
          <w:sz w:val="22"/>
          <w:szCs w:val="22"/>
        </w:rPr>
        <w:t xml:space="preserve">The </w:t>
      </w:r>
      <w:r w:rsidR="00CC7AAD" w:rsidRPr="00143751">
        <w:rPr>
          <w:rFonts w:ascii="Arial" w:hAnsi="Arial" w:cs="Arial"/>
          <w:bCs/>
          <w:sz w:val="22"/>
          <w:szCs w:val="22"/>
        </w:rPr>
        <w:t xml:space="preserve">account balances </w:t>
      </w:r>
      <w:r w:rsidR="00CC7AAD">
        <w:rPr>
          <w:rFonts w:ascii="Arial" w:hAnsi="Arial" w:cs="Arial"/>
          <w:bCs/>
          <w:sz w:val="22"/>
          <w:szCs w:val="22"/>
        </w:rPr>
        <w:t xml:space="preserve">in the financial statements </w:t>
      </w:r>
      <w:r w:rsidR="00CC7AAD" w:rsidRPr="00143751">
        <w:rPr>
          <w:rFonts w:ascii="Arial" w:hAnsi="Arial" w:cs="Arial"/>
          <w:bCs/>
          <w:sz w:val="22"/>
          <w:szCs w:val="22"/>
        </w:rPr>
        <w:t xml:space="preserve">as at </w:t>
      </w:r>
      <w:r w:rsidR="00CC7AAD">
        <w:rPr>
          <w:rFonts w:ascii="Arial" w:hAnsi="Arial" w:cs="Arial"/>
          <w:bCs/>
          <w:sz w:val="22"/>
          <w:szCs w:val="22"/>
        </w:rPr>
        <w:t xml:space="preserve">and for the years ended </w:t>
      </w:r>
      <w:r w:rsidR="0044487D">
        <w:rPr>
          <w:rFonts w:ascii="Arial" w:hAnsi="Arial" w:cs="Arial"/>
          <w:bCs/>
          <w:sz w:val="22"/>
          <w:szCs w:val="22"/>
        </w:rPr>
        <w:br/>
      </w:r>
      <w:r w:rsidR="00CC7AAD" w:rsidRPr="00143751">
        <w:rPr>
          <w:rFonts w:ascii="Arial" w:hAnsi="Arial" w:cs="Arial"/>
          <w:bCs/>
          <w:sz w:val="22"/>
          <w:szCs w:val="22"/>
        </w:rPr>
        <w:t xml:space="preserve">December 31, </w:t>
      </w:r>
      <w:proofErr w:type="gramStart"/>
      <w:r w:rsidR="00CC7AAD" w:rsidRPr="00143751">
        <w:rPr>
          <w:rFonts w:ascii="Arial" w:hAnsi="Arial" w:cs="Arial"/>
          <w:bCs/>
          <w:sz w:val="22"/>
          <w:szCs w:val="22"/>
        </w:rPr>
        <w:t>2022</w:t>
      </w:r>
      <w:proofErr w:type="gramEnd"/>
      <w:r w:rsidR="00CC7AAD" w:rsidRPr="00143751">
        <w:rPr>
          <w:rFonts w:ascii="Arial" w:hAnsi="Arial" w:cs="Arial"/>
          <w:bCs/>
          <w:sz w:val="22"/>
          <w:szCs w:val="22"/>
        </w:rPr>
        <w:t xml:space="preserve"> and 2021</w:t>
      </w:r>
      <w:r w:rsidR="00CC7AAD">
        <w:rPr>
          <w:rFonts w:ascii="Arial" w:hAnsi="Arial" w:cs="Arial"/>
          <w:bCs/>
          <w:sz w:val="22"/>
          <w:szCs w:val="22"/>
        </w:rPr>
        <w:t xml:space="preserve"> </w:t>
      </w:r>
      <w:r w:rsidR="009737DE">
        <w:rPr>
          <w:rFonts w:ascii="Arial" w:hAnsi="Arial" w:cs="Arial"/>
          <w:bCs/>
          <w:sz w:val="22"/>
          <w:szCs w:val="22"/>
        </w:rPr>
        <w:t>are misstated</w:t>
      </w:r>
      <w:r w:rsidR="00AF17E1">
        <w:rPr>
          <w:rFonts w:ascii="Arial" w:hAnsi="Arial" w:cs="Arial"/>
          <w:bCs/>
          <w:sz w:val="22"/>
          <w:szCs w:val="22"/>
        </w:rPr>
        <w:t>.</w:t>
      </w:r>
    </w:p>
    <w:p w14:paraId="7C171748" w14:textId="77777777" w:rsidR="00CC7AAD" w:rsidRPr="009E2955" w:rsidRDefault="00CC7AAD" w:rsidP="003940F3">
      <w:pPr>
        <w:ind w:right="36"/>
        <w:jc w:val="both"/>
        <w:rPr>
          <w:rFonts w:ascii="Arial" w:hAnsi="Arial" w:cs="Arial"/>
          <w:bCs/>
          <w:szCs w:val="22"/>
        </w:rPr>
      </w:pPr>
    </w:p>
    <w:p w14:paraId="3DD1D9E6" w14:textId="62B5A1F1" w:rsidR="00875A3E" w:rsidRDefault="00C00EAA">
      <w:pPr>
        <w:pStyle w:val="ListParagraph"/>
        <w:numPr>
          <w:ilvl w:val="0"/>
          <w:numId w:val="7"/>
        </w:numPr>
        <w:ind w:left="426" w:right="36"/>
        <w:jc w:val="both"/>
        <w:rPr>
          <w:rFonts w:ascii="Arial" w:hAnsi="Arial" w:cs="Arial"/>
          <w:bCs/>
          <w:sz w:val="22"/>
          <w:szCs w:val="22"/>
        </w:rPr>
      </w:pPr>
      <w:r>
        <w:rPr>
          <w:rFonts w:ascii="Arial" w:hAnsi="Arial" w:cs="Arial"/>
          <w:bCs/>
          <w:sz w:val="22"/>
          <w:szCs w:val="22"/>
        </w:rPr>
        <w:t>T</w:t>
      </w:r>
      <w:r w:rsidR="00256346">
        <w:rPr>
          <w:rFonts w:ascii="Arial" w:hAnsi="Arial" w:cs="Arial"/>
          <w:bCs/>
          <w:sz w:val="22"/>
          <w:szCs w:val="22"/>
        </w:rPr>
        <w:t xml:space="preserve">he </w:t>
      </w:r>
      <w:r w:rsidR="00CC7AAD" w:rsidRPr="006E0003">
        <w:rPr>
          <w:rFonts w:ascii="Arial" w:hAnsi="Arial" w:cs="Arial"/>
          <w:bCs/>
          <w:sz w:val="22"/>
          <w:szCs w:val="22"/>
        </w:rPr>
        <w:t>continued presentation and measurement of the assets, liabilities, equity and income and expenses accounts</w:t>
      </w:r>
      <w:r w:rsidR="00CC7AAD" w:rsidRPr="00CC7AAD">
        <w:rPr>
          <w:rFonts w:ascii="Arial" w:hAnsi="Arial" w:cs="Arial"/>
          <w:bCs/>
          <w:sz w:val="22"/>
          <w:szCs w:val="22"/>
        </w:rPr>
        <w:t xml:space="preserve"> </w:t>
      </w:r>
      <w:r w:rsidR="00382BA8" w:rsidRPr="009E2955">
        <w:rPr>
          <w:rFonts w:ascii="Arial" w:hAnsi="Arial" w:cs="Arial"/>
          <w:bCs/>
          <w:sz w:val="22"/>
          <w:szCs w:val="22"/>
        </w:rPr>
        <w:t xml:space="preserve">on </w:t>
      </w:r>
      <w:r w:rsidR="00875A3E" w:rsidRPr="009E2955">
        <w:rPr>
          <w:rFonts w:ascii="Arial" w:hAnsi="Arial" w:cs="Arial"/>
          <w:bCs/>
          <w:sz w:val="22"/>
          <w:szCs w:val="22"/>
        </w:rPr>
        <w:t>a going concern assumption</w:t>
      </w:r>
      <w:r w:rsidR="00EC5B00" w:rsidRPr="009E2955">
        <w:rPr>
          <w:rFonts w:ascii="Arial" w:hAnsi="Arial" w:cs="Arial"/>
          <w:bCs/>
          <w:sz w:val="22"/>
          <w:szCs w:val="22"/>
        </w:rPr>
        <w:t xml:space="preserve"> despite the imminent liquidation of the AFPRSBS </w:t>
      </w:r>
      <w:r w:rsidR="00CC7AAD" w:rsidRPr="009E2955">
        <w:rPr>
          <w:rFonts w:ascii="Arial" w:hAnsi="Arial" w:cs="Arial"/>
          <w:bCs/>
          <w:sz w:val="22"/>
          <w:szCs w:val="22"/>
        </w:rPr>
        <w:t>is not in accordance with the</w:t>
      </w:r>
      <w:r w:rsidR="00403041" w:rsidRPr="009E2955">
        <w:rPr>
          <w:rFonts w:ascii="Arial" w:hAnsi="Arial" w:cs="Arial"/>
          <w:bCs/>
          <w:sz w:val="22"/>
          <w:szCs w:val="22"/>
        </w:rPr>
        <w:t xml:space="preserve"> </w:t>
      </w:r>
      <w:r w:rsidR="00382BA8" w:rsidRPr="009E2955">
        <w:rPr>
          <w:rFonts w:ascii="Arial" w:hAnsi="Arial" w:cs="Arial"/>
          <w:bCs/>
          <w:sz w:val="22"/>
          <w:szCs w:val="22"/>
        </w:rPr>
        <w:t>Philippine Accounting Standard (PAS) 1</w:t>
      </w:r>
      <w:r w:rsidR="0061441A">
        <w:rPr>
          <w:rFonts w:ascii="Arial" w:hAnsi="Arial" w:cs="Arial"/>
          <w:bCs/>
          <w:sz w:val="22"/>
          <w:szCs w:val="22"/>
        </w:rPr>
        <w:t xml:space="preserve"> </w:t>
      </w:r>
      <w:r w:rsidR="00E959AE">
        <w:rPr>
          <w:rFonts w:ascii="Arial" w:hAnsi="Arial" w:cs="Arial"/>
          <w:bCs/>
          <w:sz w:val="22"/>
          <w:szCs w:val="22"/>
        </w:rPr>
        <w:t>–</w:t>
      </w:r>
      <w:r w:rsidR="0061441A">
        <w:rPr>
          <w:rFonts w:ascii="Arial" w:hAnsi="Arial" w:cs="Arial"/>
          <w:bCs/>
          <w:sz w:val="22"/>
          <w:szCs w:val="22"/>
        </w:rPr>
        <w:t xml:space="preserve"> </w:t>
      </w:r>
      <w:r w:rsidR="00E959AE" w:rsidRPr="009E2955">
        <w:rPr>
          <w:rFonts w:ascii="Arial" w:hAnsi="Arial" w:cs="Arial"/>
          <w:bCs/>
          <w:i/>
          <w:iCs/>
          <w:sz w:val="22"/>
          <w:szCs w:val="22"/>
        </w:rPr>
        <w:t>Presentation of Financial Statements</w:t>
      </w:r>
      <w:r w:rsidR="00E959AE">
        <w:rPr>
          <w:rFonts w:ascii="Arial" w:hAnsi="Arial" w:cs="Arial"/>
          <w:bCs/>
          <w:sz w:val="22"/>
          <w:szCs w:val="22"/>
        </w:rPr>
        <w:t xml:space="preserve"> </w:t>
      </w:r>
      <w:r w:rsidR="00403041" w:rsidRPr="009E2955">
        <w:rPr>
          <w:rFonts w:ascii="Arial" w:hAnsi="Arial" w:cs="Arial"/>
          <w:bCs/>
          <w:sz w:val="22"/>
          <w:szCs w:val="22"/>
        </w:rPr>
        <w:t xml:space="preserve">and </w:t>
      </w:r>
      <w:r w:rsidR="00413B4F" w:rsidRPr="009E2955">
        <w:rPr>
          <w:rFonts w:ascii="Arial" w:hAnsi="Arial" w:cs="Arial"/>
          <w:bCs/>
          <w:sz w:val="22"/>
          <w:szCs w:val="22"/>
        </w:rPr>
        <w:t xml:space="preserve">the </w:t>
      </w:r>
      <w:r w:rsidR="00403041" w:rsidRPr="009E2955">
        <w:rPr>
          <w:rFonts w:ascii="Arial" w:hAnsi="Arial" w:cs="Arial"/>
          <w:bCs/>
          <w:sz w:val="22"/>
          <w:szCs w:val="22"/>
        </w:rPr>
        <w:t>Conceptual Framework for Financial Reporting</w:t>
      </w:r>
      <w:r w:rsidR="00413B4F" w:rsidRPr="009E2955">
        <w:rPr>
          <w:rFonts w:ascii="Arial" w:hAnsi="Arial" w:cs="Arial"/>
          <w:bCs/>
          <w:sz w:val="22"/>
          <w:szCs w:val="22"/>
        </w:rPr>
        <w:t xml:space="preserve"> (CFFR)</w:t>
      </w:r>
      <w:r w:rsidR="00D47942">
        <w:rPr>
          <w:rFonts w:ascii="Arial" w:hAnsi="Arial" w:cs="Arial"/>
          <w:bCs/>
          <w:sz w:val="22"/>
          <w:szCs w:val="22"/>
        </w:rPr>
        <w:t xml:space="preserve">. </w:t>
      </w:r>
      <w:r w:rsidR="009C7E01" w:rsidRPr="006D63A0">
        <w:rPr>
          <w:rFonts w:ascii="Arial" w:hAnsi="Arial" w:cs="Arial"/>
          <w:bCs/>
          <w:sz w:val="22"/>
          <w:szCs w:val="22"/>
        </w:rPr>
        <w:t>Memorandum Order (MO) No. 90, series of 2016</w:t>
      </w:r>
      <w:r w:rsidR="00E959AE">
        <w:rPr>
          <w:rFonts w:ascii="Arial" w:hAnsi="Arial" w:cs="Arial"/>
          <w:bCs/>
          <w:sz w:val="22"/>
          <w:szCs w:val="22"/>
        </w:rPr>
        <w:t>,</w:t>
      </w:r>
      <w:r w:rsidR="00D47942">
        <w:rPr>
          <w:rFonts w:ascii="Arial" w:hAnsi="Arial" w:cs="Arial"/>
          <w:bCs/>
          <w:sz w:val="22"/>
          <w:szCs w:val="22"/>
        </w:rPr>
        <w:t xml:space="preserve"> </w:t>
      </w:r>
      <w:r w:rsidR="00D47942" w:rsidRPr="00E91227">
        <w:rPr>
          <w:rFonts w:ascii="Arial" w:hAnsi="Arial" w:cs="Arial"/>
          <w:bCs/>
          <w:sz w:val="22"/>
          <w:szCs w:val="22"/>
        </w:rPr>
        <w:t xml:space="preserve">directs the abolition of </w:t>
      </w:r>
      <w:r w:rsidR="00D47942">
        <w:rPr>
          <w:rFonts w:ascii="Arial" w:hAnsi="Arial" w:cs="Arial"/>
          <w:bCs/>
          <w:sz w:val="22"/>
          <w:szCs w:val="22"/>
        </w:rPr>
        <w:t xml:space="preserve">AFPRSBS </w:t>
      </w:r>
      <w:r w:rsidR="00D47942" w:rsidRPr="00E91227">
        <w:rPr>
          <w:rFonts w:ascii="Arial" w:hAnsi="Arial" w:cs="Arial"/>
          <w:bCs/>
          <w:sz w:val="22"/>
          <w:szCs w:val="22"/>
        </w:rPr>
        <w:t>and privatization of its subsidiaries</w:t>
      </w:r>
      <w:r>
        <w:rPr>
          <w:rFonts w:ascii="Arial" w:hAnsi="Arial" w:cs="Arial"/>
          <w:bCs/>
          <w:sz w:val="22"/>
          <w:szCs w:val="22"/>
        </w:rPr>
        <w:t>.</w:t>
      </w:r>
    </w:p>
    <w:p w14:paraId="127A9F01" w14:textId="77777777" w:rsidR="00E959AE" w:rsidRPr="009E2955" w:rsidRDefault="00E959AE" w:rsidP="009E2955">
      <w:pPr>
        <w:pStyle w:val="ListParagraph"/>
        <w:ind w:left="426" w:right="36"/>
        <w:jc w:val="both"/>
        <w:rPr>
          <w:rFonts w:ascii="Arial" w:hAnsi="Arial" w:cs="Arial"/>
          <w:bCs/>
          <w:szCs w:val="22"/>
        </w:rPr>
      </w:pPr>
    </w:p>
    <w:p w14:paraId="5975465B" w14:textId="10A14155" w:rsidR="00E959AE" w:rsidRPr="009E2955" w:rsidRDefault="00C00EAA">
      <w:pPr>
        <w:pStyle w:val="ListParagraph"/>
        <w:numPr>
          <w:ilvl w:val="0"/>
          <w:numId w:val="7"/>
        </w:numPr>
        <w:ind w:left="426" w:right="36"/>
        <w:jc w:val="both"/>
        <w:rPr>
          <w:rFonts w:ascii="Arial" w:hAnsi="Arial" w:cs="Arial"/>
          <w:sz w:val="22"/>
          <w:szCs w:val="22"/>
          <w:lang w:val="en-PH" w:eastAsia="en-PH"/>
        </w:rPr>
      </w:pPr>
      <w:r w:rsidRPr="00CB210E">
        <w:rPr>
          <w:rFonts w:ascii="Arial" w:hAnsi="Arial" w:cs="Arial"/>
          <w:bCs/>
          <w:sz w:val="22"/>
          <w:szCs w:val="22"/>
        </w:rPr>
        <w:t>T</w:t>
      </w:r>
      <w:r w:rsidR="009737DE" w:rsidRPr="009E2955">
        <w:rPr>
          <w:rFonts w:ascii="Arial" w:hAnsi="Arial" w:cs="Arial"/>
          <w:sz w:val="22"/>
          <w:szCs w:val="22"/>
        </w:rPr>
        <w:t xml:space="preserve">he non-consolidation </w:t>
      </w:r>
      <w:r w:rsidR="003E373F">
        <w:rPr>
          <w:rFonts w:ascii="Arial" w:hAnsi="Arial" w:cs="Arial"/>
          <w:sz w:val="22"/>
          <w:szCs w:val="22"/>
        </w:rPr>
        <w:t>in the</w:t>
      </w:r>
      <w:r w:rsidR="009737DE" w:rsidRPr="009E2955">
        <w:rPr>
          <w:rFonts w:ascii="Arial" w:hAnsi="Arial" w:cs="Arial"/>
          <w:sz w:val="22"/>
          <w:szCs w:val="22"/>
        </w:rPr>
        <w:t xml:space="preserve"> </w:t>
      </w:r>
      <w:r w:rsidR="003E373F">
        <w:rPr>
          <w:rFonts w:ascii="Arial" w:hAnsi="Arial" w:cs="Arial"/>
          <w:sz w:val="22"/>
          <w:szCs w:val="22"/>
        </w:rPr>
        <w:t xml:space="preserve">financial statements </w:t>
      </w:r>
      <w:r w:rsidR="009737DE" w:rsidRPr="009E2955">
        <w:rPr>
          <w:rFonts w:ascii="Arial" w:hAnsi="Arial" w:cs="Arial"/>
          <w:sz w:val="22"/>
          <w:szCs w:val="22"/>
        </w:rPr>
        <w:t xml:space="preserve">of AFPRSBS of its other subsidiaries where it has investments totaling P1.116 billion </w:t>
      </w:r>
      <w:r w:rsidR="009C7E01" w:rsidRPr="009E2955">
        <w:rPr>
          <w:rFonts w:ascii="Arial" w:hAnsi="Arial" w:cs="Arial"/>
          <w:sz w:val="22"/>
          <w:szCs w:val="22"/>
        </w:rPr>
        <w:t>resulted in</w:t>
      </w:r>
      <w:r w:rsidR="009737DE" w:rsidRPr="009E2955">
        <w:rPr>
          <w:rFonts w:ascii="Arial" w:hAnsi="Arial" w:cs="Arial"/>
          <w:sz w:val="22"/>
          <w:szCs w:val="22"/>
        </w:rPr>
        <w:t xml:space="preserve"> the non-elimination of all the parent and subsidiary reciprocal account balances which is not in accordance with PFRS 10-</w:t>
      </w:r>
      <w:r w:rsidR="009737DE" w:rsidRPr="009E2955">
        <w:rPr>
          <w:rFonts w:ascii="Arial" w:hAnsi="Arial" w:cs="Arial"/>
          <w:i/>
          <w:sz w:val="22"/>
          <w:szCs w:val="22"/>
        </w:rPr>
        <w:t>Consolidated Financial Statements.</w:t>
      </w:r>
      <w:r w:rsidR="006F494B" w:rsidRPr="009E2955">
        <w:rPr>
          <w:rFonts w:ascii="Arial" w:hAnsi="Arial" w:cs="Arial"/>
          <w:i/>
          <w:sz w:val="22"/>
          <w:szCs w:val="22"/>
        </w:rPr>
        <w:t xml:space="preserve"> </w:t>
      </w:r>
      <w:r w:rsidR="00DD5865" w:rsidRPr="00CB210E">
        <w:rPr>
          <w:rFonts w:ascii="Arial" w:hAnsi="Arial" w:cs="Arial"/>
          <w:iCs/>
          <w:sz w:val="22"/>
          <w:szCs w:val="22"/>
        </w:rPr>
        <w:t>O</w:t>
      </w:r>
      <w:r w:rsidR="006F494B" w:rsidRPr="009E2955">
        <w:rPr>
          <w:rFonts w:ascii="Arial" w:hAnsi="Arial" w:cs="Arial"/>
          <w:iCs/>
          <w:sz w:val="22"/>
          <w:szCs w:val="22"/>
        </w:rPr>
        <w:t xml:space="preserve">nly </w:t>
      </w:r>
      <w:r w:rsidR="009C7E01" w:rsidRPr="009E2955">
        <w:rPr>
          <w:rFonts w:ascii="Arial" w:hAnsi="Arial" w:cs="Arial"/>
          <w:iCs/>
          <w:sz w:val="22"/>
          <w:szCs w:val="22"/>
        </w:rPr>
        <w:t xml:space="preserve">the </w:t>
      </w:r>
      <w:r w:rsidR="00E959AE" w:rsidRPr="00CB210E">
        <w:rPr>
          <w:rFonts w:ascii="Arial" w:hAnsi="Arial" w:cs="Arial"/>
          <w:iCs/>
          <w:sz w:val="22"/>
          <w:szCs w:val="22"/>
        </w:rPr>
        <w:t>financial statements</w:t>
      </w:r>
      <w:r w:rsidR="00E959AE" w:rsidRPr="009E2955">
        <w:rPr>
          <w:rFonts w:ascii="Arial" w:eastAsia="Calibri" w:hAnsi="Arial" w:cs="Arial"/>
          <w:sz w:val="22"/>
          <w:szCs w:val="22"/>
          <w:lang w:val="en-PH" w:eastAsia="en-PH"/>
        </w:rPr>
        <w:t xml:space="preserve"> of </w:t>
      </w:r>
      <w:proofErr w:type="spellStart"/>
      <w:r w:rsidR="00E959AE" w:rsidRPr="009E2955">
        <w:rPr>
          <w:rFonts w:ascii="Arial" w:eastAsia="Calibri" w:hAnsi="Arial" w:cs="Arial"/>
          <w:sz w:val="22"/>
          <w:szCs w:val="22"/>
          <w:lang w:val="en-PH" w:eastAsia="en-PH"/>
        </w:rPr>
        <w:t>M</w:t>
      </w:r>
      <w:r w:rsidR="00E959AE" w:rsidRPr="00CB210E">
        <w:rPr>
          <w:rFonts w:ascii="Arial" w:eastAsia="Calibri" w:hAnsi="Arial" w:cs="Arial"/>
          <w:sz w:val="22"/>
          <w:szCs w:val="22"/>
          <w:lang w:val="en-PH" w:eastAsia="en-PH"/>
        </w:rPr>
        <w:t>onterrosa</w:t>
      </w:r>
      <w:proofErr w:type="spellEnd"/>
      <w:r w:rsidR="00E959AE" w:rsidRPr="00CB210E">
        <w:rPr>
          <w:rFonts w:ascii="Arial" w:eastAsia="Calibri" w:hAnsi="Arial" w:cs="Arial"/>
          <w:sz w:val="22"/>
          <w:szCs w:val="22"/>
          <w:lang w:val="en-PH" w:eastAsia="en-PH"/>
        </w:rPr>
        <w:t xml:space="preserve"> </w:t>
      </w:r>
      <w:r w:rsidR="00E959AE" w:rsidRPr="009E2955">
        <w:rPr>
          <w:rFonts w:ascii="Arial" w:eastAsia="Calibri" w:hAnsi="Arial" w:cs="Arial"/>
          <w:sz w:val="22"/>
          <w:szCs w:val="22"/>
          <w:lang w:val="en-PH" w:eastAsia="en-PH"/>
        </w:rPr>
        <w:t>D</w:t>
      </w:r>
      <w:r w:rsidR="00E959AE" w:rsidRPr="00CB210E">
        <w:rPr>
          <w:rFonts w:ascii="Arial" w:eastAsia="Calibri" w:hAnsi="Arial" w:cs="Arial"/>
          <w:sz w:val="22"/>
          <w:szCs w:val="22"/>
          <w:lang w:val="en-PH" w:eastAsia="en-PH"/>
        </w:rPr>
        <w:t xml:space="preserve">evelopment </w:t>
      </w:r>
      <w:r w:rsidR="00E959AE" w:rsidRPr="009E2955">
        <w:rPr>
          <w:rFonts w:ascii="Arial" w:eastAsia="Calibri" w:hAnsi="Arial" w:cs="Arial"/>
          <w:sz w:val="22"/>
          <w:szCs w:val="22"/>
          <w:lang w:val="en-PH" w:eastAsia="en-PH"/>
        </w:rPr>
        <w:t>C</w:t>
      </w:r>
      <w:r w:rsidR="00E959AE" w:rsidRPr="00CB210E">
        <w:rPr>
          <w:rFonts w:ascii="Arial" w:eastAsia="Calibri" w:hAnsi="Arial" w:cs="Arial"/>
          <w:sz w:val="22"/>
          <w:szCs w:val="22"/>
          <w:lang w:val="en-PH" w:eastAsia="en-PH"/>
        </w:rPr>
        <w:t>orporation were</w:t>
      </w:r>
      <w:r w:rsidR="00E959AE" w:rsidRPr="009E2955">
        <w:rPr>
          <w:rFonts w:ascii="Arial" w:eastAsia="Calibri" w:hAnsi="Arial" w:cs="Arial"/>
          <w:sz w:val="22"/>
          <w:szCs w:val="22"/>
          <w:lang w:val="en-PH" w:eastAsia="en-PH"/>
        </w:rPr>
        <w:t xml:space="preserve"> consolidated with the </w:t>
      </w:r>
      <w:r w:rsidR="00E959AE" w:rsidRPr="00CB210E">
        <w:rPr>
          <w:rFonts w:ascii="Arial" w:hAnsi="Arial" w:cs="Arial"/>
          <w:iCs/>
          <w:sz w:val="22"/>
          <w:szCs w:val="22"/>
        </w:rPr>
        <w:t>financial statements</w:t>
      </w:r>
      <w:r w:rsidR="00E959AE" w:rsidRPr="00CB210E">
        <w:rPr>
          <w:rFonts w:ascii="Arial" w:eastAsia="Calibri" w:hAnsi="Arial" w:cs="Arial"/>
          <w:sz w:val="22"/>
          <w:szCs w:val="22"/>
          <w:lang w:val="en-PH" w:eastAsia="en-PH"/>
        </w:rPr>
        <w:t xml:space="preserve"> </w:t>
      </w:r>
      <w:r w:rsidR="00E959AE" w:rsidRPr="009E2955">
        <w:rPr>
          <w:rFonts w:ascii="Arial" w:eastAsia="Calibri" w:hAnsi="Arial" w:cs="Arial"/>
          <w:sz w:val="22"/>
          <w:szCs w:val="22"/>
          <w:lang w:val="en-PH" w:eastAsia="en-PH"/>
        </w:rPr>
        <w:t>of AFPRSBS</w:t>
      </w:r>
      <w:r w:rsidR="00E959AE" w:rsidRPr="00CB210E">
        <w:rPr>
          <w:rFonts w:ascii="Arial" w:eastAsia="Calibri" w:hAnsi="Arial" w:cs="Arial"/>
          <w:sz w:val="22"/>
          <w:szCs w:val="22"/>
          <w:lang w:val="en-PH" w:eastAsia="en-PH"/>
        </w:rPr>
        <w:t>.</w:t>
      </w:r>
      <w:r w:rsidRPr="00CB210E">
        <w:rPr>
          <w:rFonts w:ascii="Arial" w:eastAsia="Calibri" w:hAnsi="Arial" w:cs="Arial"/>
          <w:sz w:val="22"/>
          <w:szCs w:val="22"/>
          <w:lang w:val="en-PH" w:eastAsia="en-PH"/>
        </w:rPr>
        <w:t xml:space="preserve"> </w:t>
      </w:r>
    </w:p>
    <w:p w14:paraId="6A270F3F" w14:textId="77777777" w:rsidR="00360915" w:rsidRPr="009E2955" w:rsidRDefault="00360915" w:rsidP="009E2955">
      <w:pPr>
        <w:pStyle w:val="ListParagraph"/>
        <w:ind w:left="426" w:right="36"/>
        <w:jc w:val="both"/>
        <w:rPr>
          <w:rFonts w:ascii="Arial" w:hAnsi="Arial" w:cs="Arial"/>
          <w:sz w:val="22"/>
          <w:szCs w:val="22"/>
          <w:lang w:val="en-PH" w:eastAsia="en-PH"/>
        </w:rPr>
      </w:pPr>
    </w:p>
    <w:p w14:paraId="6A754198" w14:textId="6AEE5DAE" w:rsidR="00360915" w:rsidRPr="009E2955" w:rsidRDefault="00CB210E" w:rsidP="009E2955">
      <w:pPr>
        <w:pStyle w:val="ListParagraph"/>
        <w:numPr>
          <w:ilvl w:val="0"/>
          <w:numId w:val="7"/>
        </w:numPr>
        <w:ind w:left="426" w:right="36"/>
        <w:jc w:val="both"/>
        <w:rPr>
          <w:rFonts w:ascii="Arial" w:hAnsi="Arial" w:cs="Arial"/>
          <w:sz w:val="22"/>
          <w:szCs w:val="22"/>
          <w:lang w:val="en-PH" w:eastAsia="en-PH"/>
        </w:rPr>
      </w:pPr>
      <w:bookmarkStart w:id="2" w:name="_Hlk135211705"/>
      <w:r w:rsidRPr="009E2955">
        <w:rPr>
          <w:rFonts w:ascii="Arial" w:hAnsi="Arial" w:cs="Arial"/>
          <w:sz w:val="22"/>
          <w:szCs w:val="22"/>
          <w:lang w:val="en-PH" w:eastAsia="en-PH"/>
        </w:rPr>
        <w:lastRenderedPageBreak/>
        <w:t xml:space="preserve">The </w:t>
      </w:r>
      <w:r w:rsidR="0001657A">
        <w:rPr>
          <w:rFonts w:ascii="Arial" w:hAnsi="Arial" w:cs="Arial"/>
          <w:sz w:val="22"/>
          <w:szCs w:val="22"/>
          <w:lang w:val="en-PH" w:eastAsia="en-PH"/>
        </w:rPr>
        <w:t>A</w:t>
      </w:r>
      <w:r w:rsidRPr="009E2955">
        <w:rPr>
          <w:rFonts w:ascii="Arial" w:hAnsi="Arial" w:cs="Arial"/>
          <w:sz w:val="22"/>
          <w:szCs w:val="22"/>
          <w:lang w:val="en-PH" w:eastAsia="en-PH"/>
        </w:rPr>
        <w:t xml:space="preserve">llowance for </w:t>
      </w:r>
      <w:r w:rsidR="0001657A">
        <w:rPr>
          <w:rFonts w:ascii="Arial" w:hAnsi="Arial" w:cs="Arial"/>
          <w:sz w:val="22"/>
          <w:szCs w:val="22"/>
          <w:lang w:val="en-PH" w:eastAsia="en-PH"/>
        </w:rPr>
        <w:t>I</w:t>
      </w:r>
      <w:r w:rsidRPr="009E2955">
        <w:rPr>
          <w:rFonts w:ascii="Arial" w:hAnsi="Arial" w:cs="Arial"/>
          <w:sz w:val="22"/>
          <w:szCs w:val="22"/>
          <w:lang w:val="en-PH" w:eastAsia="en-PH"/>
        </w:rPr>
        <w:t>mpairment</w:t>
      </w:r>
      <w:r w:rsidR="00360915" w:rsidRPr="009E2955">
        <w:rPr>
          <w:rFonts w:ascii="Arial" w:hAnsi="Arial" w:cs="Arial"/>
          <w:sz w:val="22"/>
          <w:szCs w:val="22"/>
          <w:lang w:val="en-PH" w:eastAsia="en-PH"/>
        </w:rPr>
        <w:t xml:space="preserve"> </w:t>
      </w:r>
      <w:r w:rsidR="0001657A">
        <w:rPr>
          <w:rFonts w:ascii="Arial" w:hAnsi="Arial" w:cs="Arial"/>
          <w:sz w:val="22"/>
          <w:szCs w:val="22"/>
          <w:lang w:val="en-PH" w:eastAsia="en-PH"/>
        </w:rPr>
        <w:t xml:space="preserve">computed using </w:t>
      </w:r>
      <w:r w:rsidR="00942D2C" w:rsidRPr="00942D2C">
        <w:rPr>
          <w:rFonts w:ascii="Arial" w:hAnsi="Arial" w:cs="Arial"/>
          <w:sz w:val="22"/>
          <w:szCs w:val="22"/>
          <w:lang w:val="en-PH" w:eastAsia="en-PH"/>
        </w:rPr>
        <w:t xml:space="preserve">a method other than that provided under </w:t>
      </w:r>
      <w:r w:rsidR="00360915" w:rsidRPr="009E2955">
        <w:rPr>
          <w:rFonts w:ascii="Arial" w:hAnsi="Arial" w:cs="Arial"/>
          <w:bCs/>
          <w:sz w:val="22"/>
          <w:szCs w:val="22"/>
        </w:rPr>
        <w:t xml:space="preserve">PFRS 9 – </w:t>
      </w:r>
      <w:r w:rsidR="00360915" w:rsidRPr="009E2955">
        <w:rPr>
          <w:rFonts w:ascii="Arial" w:hAnsi="Arial" w:cs="Arial"/>
          <w:bCs/>
          <w:i/>
          <w:sz w:val="22"/>
          <w:szCs w:val="22"/>
        </w:rPr>
        <w:t>Financial Instruments</w:t>
      </w:r>
      <w:r w:rsidR="00360915" w:rsidRPr="009E2955">
        <w:rPr>
          <w:rFonts w:ascii="Arial" w:hAnsi="Arial" w:cs="Arial"/>
          <w:bCs/>
          <w:sz w:val="22"/>
          <w:szCs w:val="22"/>
        </w:rPr>
        <w:t xml:space="preserve"> resulted in the overstatement by undetermined amounts of the Receivables stated at </w:t>
      </w:r>
      <w:r w:rsidR="0061441A">
        <w:rPr>
          <w:rFonts w:ascii="Arial" w:hAnsi="Arial" w:cs="Arial"/>
          <w:bCs/>
          <w:sz w:val="22"/>
          <w:szCs w:val="22"/>
        </w:rPr>
        <w:t>P</w:t>
      </w:r>
      <w:r w:rsidR="00BC12CF">
        <w:rPr>
          <w:rFonts w:ascii="Arial" w:hAnsi="Arial" w:cs="Arial"/>
          <w:bCs/>
          <w:sz w:val="22"/>
          <w:szCs w:val="22"/>
        </w:rPr>
        <w:t>859.370</w:t>
      </w:r>
      <w:r w:rsidR="0061441A">
        <w:rPr>
          <w:rFonts w:ascii="Arial" w:hAnsi="Arial" w:cs="Arial"/>
          <w:bCs/>
          <w:sz w:val="22"/>
          <w:szCs w:val="22"/>
        </w:rPr>
        <w:t xml:space="preserve"> million in CY 2022 and </w:t>
      </w:r>
      <w:r w:rsidR="00360915" w:rsidRPr="009E2955">
        <w:rPr>
          <w:rFonts w:ascii="Arial" w:hAnsi="Arial" w:cs="Arial"/>
          <w:bCs/>
          <w:sz w:val="22"/>
          <w:szCs w:val="22"/>
        </w:rPr>
        <w:t xml:space="preserve">P826.448 million in CY 2021; Loans Receivable stated at </w:t>
      </w:r>
      <w:r w:rsidR="00BC12CF">
        <w:rPr>
          <w:rFonts w:ascii="Arial" w:hAnsi="Arial" w:cs="Arial"/>
          <w:bCs/>
          <w:sz w:val="22"/>
          <w:szCs w:val="22"/>
        </w:rPr>
        <w:t xml:space="preserve">P1.091 billion in CY 2022 and </w:t>
      </w:r>
      <w:r w:rsidR="00360915" w:rsidRPr="009E2955">
        <w:rPr>
          <w:rFonts w:ascii="Arial" w:hAnsi="Arial" w:cs="Arial"/>
          <w:bCs/>
          <w:sz w:val="22"/>
          <w:szCs w:val="22"/>
        </w:rPr>
        <w:t>P1.046 billion in CY</w:t>
      </w:r>
      <w:r w:rsidR="0061441A">
        <w:rPr>
          <w:rFonts w:ascii="Arial" w:hAnsi="Arial" w:cs="Arial"/>
          <w:bCs/>
          <w:sz w:val="22"/>
          <w:szCs w:val="22"/>
        </w:rPr>
        <w:t xml:space="preserve"> </w:t>
      </w:r>
      <w:r w:rsidR="00360915" w:rsidRPr="009E2955">
        <w:rPr>
          <w:rFonts w:ascii="Arial" w:hAnsi="Arial" w:cs="Arial"/>
          <w:bCs/>
          <w:sz w:val="22"/>
          <w:szCs w:val="22"/>
        </w:rPr>
        <w:t xml:space="preserve">2021; Installment Contract Receivable stated at </w:t>
      </w:r>
      <w:r w:rsidR="0061441A">
        <w:rPr>
          <w:rFonts w:ascii="Arial" w:hAnsi="Arial" w:cs="Arial"/>
          <w:bCs/>
          <w:sz w:val="22"/>
          <w:szCs w:val="22"/>
        </w:rPr>
        <w:t>P</w:t>
      </w:r>
      <w:r w:rsidR="00BC12CF">
        <w:rPr>
          <w:rFonts w:ascii="Arial" w:hAnsi="Arial" w:cs="Arial"/>
          <w:bCs/>
          <w:sz w:val="22"/>
          <w:szCs w:val="22"/>
        </w:rPr>
        <w:t>325.778</w:t>
      </w:r>
      <w:r w:rsidR="0061441A">
        <w:rPr>
          <w:rFonts w:ascii="Arial" w:hAnsi="Arial" w:cs="Arial"/>
          <w:bCs/>
          <w:sz w:val="22"/>
          <w:szCs w:val="22"/>
        </w:rPr>
        <w:t xml:space="preserve"> million in CY 2022 and </w:t>
      </w:r>
      <w:r w:rsidR="00360915" w:rsidRPr="009E2955">
        <w:rPr>
          <w:rFonts w:ascii="Arial" w:hAnsi="Arial" w:cs="Arial"/>
          <w:bCs/>
          <w:sz w:val="22"/>
          <w:szCs w:val="22"/>
        </w:rPr>
        <w:t xml:space="preserve">P273.571 million in CY 2021; and Investment in Bonds stated at </w:t>
      </w:r>
      <w:r w:rsidR="0061441A">
        <w:rPr>
          <w:rFonts w:ascii="Arial" w:hAnsi="Arial" w:cs="Arial"/>
          <w:bCs/>
          <w:sz w:val="22"/>
          <w:szCs w:val="22"/>
        </w:rPr>
        <w:t>P</w:t>
      </w:r>
      <w:r w:rsidR="00BC12CF">
        <w:rPr>
          <w:rFonts w:ascii="Arial" w:hAnsi="Arial" w:cs="Arial"/>
          <w:bCs/>
          <w:sz w:val="22"/>
          <w:szCs w:val="22"/>
        </w:rPr>
        <w:t>2.349 billion</w:t>
      </w:r>
      <w:r w:rsidR="0061441A">
        <w:rPr>
          <w:rFonts w:ascii="Arial" w:hAnsi="Arial" w:cs="Arial"/>
          <w:bCs/>
          <w:sz w:val="22"/>
          <w:szCs w:val="22"/>
        </w:rPr>
        <w:t xml:space="preserve"> in CY 2022 and </w:t>
      </w:r>
      <w:r w:rsidR="00360915" w:rsidRPr="009E2955">
        <w:rPr>
          <w:rFonts w:ascii="Arial" w:hAnsi="Arial" w:cs="Arial"/>
          <w:bCs/>
          <w:sz w:val="22"/>
          <w:szCs w:val="22"/>
        </w:rPr>
        <w:t xml:space="preserve">P2.375 billion in  CY 2021.  </w:t>
      </w:r>
    </w:p>
    <w:bookmarkEnd w:id="2"/>
    <w:p w14:paraId="52F82361" w14:textId="77777777" w:rsidR="00256346" w:rsidRPr="009E2955" w:rsidRDefault="00256346" w:rsidP="009E2955">
      <w:pPr>
        <w:pStyle w:val="ListParagraph"/>
        <w:ind w:left="426" w:right="36"/>
        <w:jc w:val="both"/>
        <w:rPr>
          <w:rFonts w:ascii="Arial" w:hAnsi="Arial" w:cs="Arial"/>
          <w:szCs w:val="22"/>
        </w:rPr>
      </w:pPr>
    </w:p>
    <w:p w14:paraId="30F358A7" w14:textId="6CFAAF9A" w:rsidR="006A4DBF" w:rsidRPr="00CA4114" w:rsidRDefault="00CA4114" w:rsidP="006A4DBF">
      <w:pPr>
        <w:pStyle w:val="BodyText"/>
        <w:spacing w:after="0"/>
        <w:jc w:val="both"/>
        <w:rPr>
          <w:rFonts w:ascii="Arial" w:hAnsi="Arial" w:cs="Arial"/>
          <w:bCs/>
          <w:sz w:val="22"/>
          <w:szCs w:val="22"/>
        </w:rPr>
      </w:pPr>
      <w:r w:rsidRPr="00CA4114">
        <w:rPr>
          <w:rFonts w:ascii="Arial" w:hAnsi="Arial" w:cs="Arial"/>
          <w:color w:val="000000" w:themeColor="text1"/>
          <w:sz w:val="22"/>
          <w:szCs w:val="22"/>
        </w:rPr>
        <w:t>T</w:t>
      </w:r>
      <w:r w:rsidR="00256346" w:rsidRPr="00CA4114">
        <w:rPr>
          <w:rFonts w:ascii="Arial" w:hAnsi="Arial" w:cs="Arial"/>
          <w:color w:val="000000" w:themeColor="text1"/>
          <w:sz w:val="22"/>
          <w:szCs w:val="22"/>
        </w:rPr>
        <w:t>he</w:t>
      </w:r>
      <w:r w:rsidR="0061441A" w:rsidRPr="00CA4114">
        <w:rPr>
          <w:rFonts w:ascii="Arial" w:hAnsi="Arial" w:cs="Arial"/>
          <w:color w:val="000000" w:themeColor="text1"/>
          <w:sz w:val="22"/>
          <w:szCs w:val="22"/>
        </w:rPr>
        <w:t xml:space="preserve">re were noted </w:t>
      </w:r>
      <w:r w:rsidR="003E373F" w:rsidRPr="00CA4114">
        <w:rPr>
          <w:rFonts w:ascii="Arial" w:hAnsi="Arial" w:cs="Arial"/>
          <w:color w:val="000000" w:themeColor="text1"/>
          <w:sz w:val="22"/>
          <w:szCs w:val="22"/>
        </w:rPr>
        <w:t xml:space="preserve">variances in some accounts </w:t>
      </w:r>
      <w:r w:rsidR="0061441A" w:rsidRPr="00CA4114">
        <w:rPr>
          <w:rFonts w:ascii="Arial" w:hAnsi="Arial" w:cs="Arial"/>
          <w:color w:val="000000" w:themeColor="text1"/>
          <w:sz w:val="22"/>
          <w:szCs w:val="22"/>
        </w:rPr>
        <w:t>which remain unreconciled.  T</w:t>
      </w:r>
      <w:r w:rsidR="00256346" w:rsidRPr="00CA4114">
        <w:rPr>
          <w:rFonts w:ascii="Arial" w:hAnsi="Arial" w:cs="Arial"/>
          <w:color w:val="000000" w:themeColor="text1"/>
          <w:sz w:val="22"/>
          <w:szCs w:val="22"/>
        </w:rPr>
        <w:t>he</w:t>
      </w:r>
      <w:r w:rsidR="006A4DBF" w:rsidRPr="00CA4114">
        <w:rPr>
          <w:rFonts w:ascii="Arial" w:hAnsi="Arial" w:cs="Arial"/>
          <w:color w:val="000000" w:themeColor="text1"/>
          <w:sz w:val="22"/>
          <w:szCs w:val="22"/>
        </w:rPr>
        <w:t xml:space="preserve">re is a </w:t>
      </w:r>
      <w:r w:rsidR="0061441A" w:rsidRPr="00CA4114">
        <w:rPr>
          <w:rFonts w:ascii="Arial" w:hAnsi="Arial" w:cs="Arial"/>
          <w:color w:val="000000" w:themeColor="text1"/>
          <w:sz w:val="22"/>
          <w:szCs w:val="22"/>
        </w:rPr>
        <w:t xml:space="preserve">variance of </w:t>
      </w:r>
      <w:r w:rsidR="006A4DBF" w:rsidRPr="00CA4114">
        <w:rPr>
          <w:rFonts w:ascii="Arial" w:hAnsi="Arial" w:cs="Arial"/>
          <w:color w:val="000000" w:themeColor="text1"/>
          <w:sz w:val="22"/>
          <w:szCs w:val="22"/>
        </w:rPr>
        <w:t xml:space="preserve">P116.560 million and P596.622 million as </w:t>
      </w:r>
      <w:proofErr w:type="gramStart"/>
      <w:r w:rsidR="006A4DBF" w:rsidRPr="00CA4114">
        <w:rPr>
          <w:rFonts w:ascii="Arial" w:hAnsi="Arial" w:cs="Arial"/>
          <w:color w:val="000000" w:themeColor="text1"/>
          <w:sz w:val="22"/>
          <w:szCs w:val="22"/>
        </w:rPr>
        <w:t>at</w:t>
      </w:r>
      <w:proofErr w:type="gramEnd"/>
      <w:r w:rsidR="006A4DBF" w:rsidRPr="00CA4114">
        <w:rPr>
          <w:rFonts w:ascii="Arial" w:hAnsi="Arial" w:cs="Arial"/>
          <w:color w:val="000000" w:themeColor="text1"/>
          <w:sz w:val="22"/>
          <w:szCs w:val="22"/>
        </w:rPr>
        <w:t xml:space="preserve"> December 31, 2022 and 2021, respectively, between the g</w:t>
      </w:r>
      <w:r w:rsidR="00256346" w:rsidRPr="00CA4114">
        <w:rPr>
          <w:rFonts w:ascii="Arial" w:hAnsi="Arial" w:cs="Arial"/>
          <w:color w:val="000000" w:themeColor="text1"/>
          <w:sz w:val="22"/>
          <w:szCs w:val="22"/>
        </w:rPr>
        <w:t>eneral ledger and Integrated Financial Management System subsidiary ledger</w:t>
      </w:r>
      <w:r w:rsidR="005C6679" w:rsidRPr="00CA4114">
        <w:rPr>
          <w:rFonts w:ascii="Arial" w:hAnsi="Arial" w:cs="Arial"/>
          <w:color w:val="000000" w:themeColor="text1"/>
          <w:sz w:val="22"/>
          <w:szCs w:val="22"/>
        </w:rPr>
        <w:t xml:space="preserve"> balance</w:t>
      </w:r>
      <w:r w:rsidR="00256346" w:rsidRPr="00CA4114">
        <w:rPr>
          <w:rFonts w:ascii="Arial" w:hAnsi="Arial" w:cs="Arial"/>
          <w:color w:val="000000" w:themeColor="text1"/>
          <w:sz w:val="22"/>
          <w:szCs w:val="22"/>
        </w:rPr>
        <w:t>s of the Members’ Contributions (MC) Payable and Estimated Liability on MC Earnings accounts</w:t>
      </w:r>
      <w:r w:rsidR="006A4DBF" w:rsidRPr="00CA4114">
        <w:rPr>
          <w:rFonts w:ascii="Arial" w:hAnsi="Arial" w:cs="Arial"/>
          <w:color w:val="000000" w:themeColor="text1"/>
          <w:sz w:val="22"/>
          <w:szCs w:val="22"/>
        </w:rPr>
        <w:t xml:space="preserve">.  Also, there is a variance of 146,010 square meters of raw lands with equivalent cost of </w:t>
      </w:r>
      <w:r w:rsidR="006A4DBF" w:rsidRPr="00CA4114">
        <w:rPr>
          <w:rFonts w:ascii="Arial" w:hAnsi="Arial" w:cs="Arial"/>
          <w:bCs/>
          <w:sz w:val="22"/>
          <w:szCs w:val="22"/>
        </w:rPr>
        <w:t xml:space="preserve">P84.442 million as </w:t>
      </w:r>
      <w:proofErr w:type="gramStart"/>
      <w:r w:rsidR="006A4DBF" w:rsidRPr="00CA4114">
        <w:rPr>
          <w:rFonts w:ascii="Arial" w:hAnsi="Arial" w:cs="Arial"/>
          <w:bCs/>
          <w:sz w:val="22"/>
          <w:szCs w:val="22"/>
        </w:rPr>
        <w:t>at</w:t>
      </w:r>
      <w:proofErr w:type="gramEnd"/>
      <w:r w:rsidR="006A4DBF" w:rsidRPr="00CA4114">
        <w:rPr>
          <w:rFonts w:ascii="Arial" w:hAnsi="Arial" w:cs="Arial"/>
          <w:bCs/>
          <w:sz w:val="22"/>
          <w:szCs w:val="22"/>
        </w:rPr>
        <w:t xml:space="preserve"> December 31, 2022 and 2,448,871 square meters with equivalent cost of P768.743 million as at December 31, 2021 between </w:t>
      </w:r>
      <w:r w:rsidR="00085ADE" w:rsidRPr="00CA4114">
        <w:rPr>
          <w:rFonts w:ascii="Arial" w:hAnsi="Arial" w:cs="Arial"/>
          <w:sz w:val="22"/>
          <w:szCs w:val="22"/>
        </w:rPr>
        <w:t xml:space="preserve">the total land area per Transfer Certificates of Title and those recorded in the Real Estate Inventories and </w:t>
      </w:r>
      <w:proofErr w:type="spellStart"/>
      <w:r w:rsidR="00085ADE" w:rsidRPr="00CA4114">
        <w:rPr>
          <w:rFonts w:ascii="Arial" w:hAnsi="Arial" w:cs="Arial"/>
          <w:sz w:val="22"/>
          <w:szCs w:val="22"/>
        </w:rPr>
        <w:t>Landbanking</w:t>
      </w:r>
      <w:proofErr w:type="spellEnd"/>
      <w:r w:rsidR="00085ADE" w:rsidRPr="00CA4114">
        <w:rPr>
          <w:rFonts w:ascii="Arial" w:hAnsi="Arial" w:cs="Arial"/>
          <w:sz w:val="22"/>
          <w:szCs w:val="22"/>
        </w:rPr>
        <w:t xml:space="preserve"> Assets accounts</w:t>
      </w:r>
      <w:r w:rsidR="00C71D64" w:rsidRPr="00CA4114">
        <w:rPr>
          <w:rFonts w:ascii="Arial" w:hAnsi="Arial" w:cs="Arial"/>
          <w:bCs/>
          <w:sz w:val="22"/>
          <w:szCs w:val="22"/>
        </w:rPr>
        <w:t>.</w:t>
      </w:r>
      <w:r w:rsidR="006A4DBF" w:rsidRPr="00CA4114">
        <w:rPr>
          <w:rFonts w:ascii="Arial" w:hAnsi="Arial" w:cs="Arial"/>
          <w:color w:val="000000" w:themeColor="text1"/>
          <w:sz w:val="22"/>
          <w:szCs w:val="22"/>
        </w:rPr>
        <w:t xml:space="preserve"> The status of records of the Group did not permit us to apply alternative audit procedures. Consequently, we were unable to determine whether any adjustments on the balances </w:t>
      </w:r>
      <w:r w:rsidR="00001127" w:rsidRPr="00CA4114">
        <w:rPr>
          <w:rFonts w:ascii="Arial" w:hAnsi="Arial" w:cs="Arial"/>
          <w:color w:val="000000" w:themeColor="text1"/>
          <w:sz w:val="22"/>
          <w:szCs w:val="22"/>
        </w:rPr>
        <w:t xml:space="preserve">of the above-mentioned accounts, as </w:t>
      </w:r>
      <w:r w:rsidR="006A4DBF" w:rsidRPr="00CA4114">
        <w:rPr>
          <w:rFonts w:ascii="Arial" w:hAnsi="Arial" w:cs="Arial"/>
          <w:color w:val="000000" w:themeColor="text1"/>
          <w:sz w:val="22"/>
          <w:szCs w:val="22"/>
        </w:rPr>
        <w:t>presented in the consolidated financial statements</w:t>
      </w:r>
      <w:r w:rsidR="00001127" w:rsidRPr="00CA4114">
        <w:rPr>
          <w:rFonts w:ascii="Arial" w:hAnsi="Arial" w:cs="Arial"/>
          <w:color w:val="000000" w:themeColor="text1"/>
          <w:sz w:val="22"/>
          <w:szCs w:val="22"/>
        </w:rPr>
        <w:t>,</w:t>
      </w:r>
      <w:r w:rsidR="006A4DBF" w:rsidRPr="00CA4114">
        <w:rPr>
          <w:rFonts w:ascii="Arial" w:hAnsi="Arial" w:cs="Arial"/>
          <w:color w:val="000000" w:themeColor="text1"/>
          <w:sz w:val="22"/>
          <w:szCs w:val="22"/>
        </w:rPr>
        <w:t xml:space="preserve"> were necessary.  </w:t>
      </w:r>
    </w:p>
    <w:bookmarkEnd w:id="0"/>
    <w:p w14:paraId="4B228E43" w14:textId="4FD159EA" w:rsidR="007D04D2" w:rsidRPr="00143751" w:rsidRDefault="001567BB" w:rsidP="003940F3">
      <w:pPr>
        <w:ind w:right="36"/>
        <w:jc w:val="both"/>
        <w:rPr>
          <w:rFonts w:ascii="Arial" w:hAnsi="Arial" w:cs="Arial"/>
          <w:color w:val="000000" w:themeColor="text1"/>
          <w:sz w:val="22"/>
          <w:szCs w:val="22"/>
        </w:rPr>
      </w:pPr>
      <w:r w:rsidRPr="003940F3">
        <w:rPr>
          <w:rFonts w:ascii="Arial" w:hAnsi="Arial" w:cs="Arial"/>
          <w:color w:val="000000" w:themeColor="text1"/>
          <w:sz w:val="22"/>
          <w:szCs w:val="22"/>
        </w:rPr>
        <w:t xml:space="preserve">  </w:t>
      </w:r>
      <w:bookmarkEnd w:id="1"/>
    </w:p>
    <w:p w14:paraId="15BACC0F" w14:textId="4ACFDC0D" w:rsidR="00EB75C2" w:rsidRPr="006E0003" w:rsidRDefault="00EB75C2" w:rsidP="003940F3">
      <w:pPr>
        <w:jc w:val="both"/>
        <w:rPr>
          <w:rFonts w:ascii="Arial" w:hAnsi="Arial" w:cs="Arial"/>
          <w:color w:val="000000" w:themeColor="text1"/>
          <w:sz w:val="22"/>
          <w:szCs w:val="22"/>
        </w:rPr>
      </w:pPr>
      <w:r w:rsidRPr="00143751">
        <w:rPr>
          <w:rFonts w:ascii="Arial" w:hAnsi="Arial" w:cs="Arial"/>
          <w:color w:val="000000" w:themeColor="text1"/>
          <w:sz w:val="22"/>
          <w:szCs w:val="22"/>
        </w:rPr>
        <w:t>We conducted our audit</w:t>
      </w:r>
      <w:r w:rsidR="00467DFF" w:rsidRPr="00143751">
        <w:rPr>
          <w:rFonts w:ascii="Arial" w:hAnsi="Arial" w:cs="Arial"/>
          <w:color w:val="000000" w:themeColor="text1"/>
          <w:sz w:val="22"/>
          <w:szCs w:val="22"/>
        </w:rPr>
        <w:t>s</w:t>
      </w:r>
      <w:r w:rsidRPr="00143751">
        <w:rPr>
          <w:rFonts w:ascii="Arial" w:hAnsi="Arial" w:cs="Arial"/>
          <w:color w:val="000000" w:themeColor="text1"/>
          <w:sz w:val="22"/>
          <w:szCs w:val="22"/>
        </w:rPr>
        <w:t xml:space="preserve"> in accordance with International Standards of Supreme Audit Institutions (ISSAIs). Our responsibilities under those standards are further described in the </w:t>
      </w:r>
      <w:r w:rsidRPr="00143751">
        <w:rPr>
          <w:rFonts w:ascii="Arial" w:hAnsi="Arial" w:cs="Arial"/>
          <w:i/>
          <w:color w:val="000000" w:themeColor="text1"/>
          <w:sz w:val="22"/>
          <w:szCs w:val="22"/>
        </w:rPr>
        <w:t xml:space="preserve">Auditor’s Responsibilities for the Audit of the </w:t>
      </w:r>
      <w:r w:rsidR="00D6039F" w:rsidRPr="00143751">
        <w:rPr>
          <w:rFonts w:ascii="Arial" w:hAnsi="Arial" w:cs="Arial"/>
          <w:i/>
          <w:color w:val="000000" w:themeColor="text1"/>
          <w:sz w:val="22"/>
          <w:szCs w:val="22"/>
        </w:rPr>
        <w:t xml:space="preserve">Consolidated </w:t>
      </w:r>
      <w:r w:rsidRPr="00143751">
        <w:rPr>
          <w:rFonts w:ascii="Arial" w:hAnsi="Arial" w:cs="Arial"/>
          <w:i/>
          <w:color w:val="000000" w:themeColor="text1"/>
          <w:sz w:val="22"/>
          <w:szCs w:val="22"/>
        </w:rPr>
        <w:t xml:space="preserve">Financial Statements </w:t>
      </w:r>
      <w:r w:rsidRPr="00143751">
        <w:rPr>
          <w:rFonts w:ascii="Arial" w:hAnsi="Arial" w:cs="Arial"/>
          <w:color w:val="000000" w:themeColor="text1"/>
          <w:sz w:val="22"/>
          <w:szCs w:val="22"/>
        </w:rPr>
        <w:t xml:space="preserve">section of our report.  We are independent of the </w:t>
      </w:r>
      <w:r w:rsidR="00442438" w:rsidRPr="00143751">
        <w:rPr>
          <w:rFonts w:ascii="Arial" w:hAnsi="Arial" w:cs="Arial"/>
          <w:color w:val="000000" w:themeColor="text1"/>
          <w:sz w:val="22"/>
          <w:szCs w:val="22"/>
        </w:rPr>
        <w:t>Group</w:t>
      </w:r>
      <w:r w:rsidRPr="00143751">
        <w:rPr>
          <w:rFonts w:ascii="Arial" w:hAnsi="Arial" w:cs="Arial"/>
          <w:color w:val="000000" w:themeColor="text1"/>
          <w:sz w:val="22"/>
          <w:szCs w:val="22"/>
        </w:rPr>
        <w:t xml:space="preserve"> in accordance with the Code of </w:t>
      </w:r>
      <w:r w:rsidR="00467DFF" w:rsidRPr="00143751">
        <w:rPr>
          <w:rFonts w:ascii="Arial" w:hAnsi="Arial" w:cs="Arial"/>
          <w:color w:val="000000" w:themeColor="text1"/>
          <w:sz w:val="22"/>
          <w:szCs w:val="22"/>
        </w:rPr>
        <w:t xml:space="preserve">Conduct and </w:t>
      </w:r>
      <w:r w:rsidRPr="00143751">
        <w:rPr>
          <w:rFonts w:ascii="Arial" w:hAnsi="Arial" w:cs="Arial"/>
          <w:color w:val="000000" w:themeColor="text1"/>
          <w:sz w:val="22"/>
          <w:szCs w:val="22"/>
        </w:rPr>
        <w:t>Ethic</w:t>
      </w:r>
      <w:r w:rsidR="00467DFF" w:rsidRPr="00143751">
        <w:rPr>
          <w:rFonts w:ascii="Arial" w:hAnsi="Arial" w:cs="Arial"/>
          <w:color w:val="000000" w:themeColor="text1"/>
          <w:sz w:val="22"/>
          <w:szCs w:val="22"/>
        </w:rPr>
        <w:t>al</w:t>
      </w:r>
      <w:r w:rsidR="008E6902" w:rsidRPr="00143751">
        <w:rPr>
          <w:rFonts w:ascii="Arial" w:hAnsi="Arial" w:cs="Arial"/>
          <w:color w:val="000000" w:themeColor="text1"/>
          <w:sz w:val="22"/>
          <w:szCs w:val="22"/>
        </w:rPr>
        <w:t xml:space="preserve"> S</w:t>
      </w:r>
      <w:r w:rsidR="00467DFF" w:rsidRPr="00143751">
        <w:rPr>
          <w:rFonts w:ascii="Arial" w:hAnsi="Arial" w:cs="Arial"/>
          <w:color w:val="000000" w:themeColor="text1"/>
          <w:sz w:val="22"/>
          <w:szCs w:val="22"/>
        </w:rPr>
        <w:t>tandards</w:t>
      </w:r>
      <w:r w:rsidRPr="00143751">
        <w:rPr>
          <w:rFonts w:ascii="Arial" w:hAnsi="Arial" w:cs="Arial"/>
          <w:color w:val="000000" w:themeColor="text1"/>
          <w:sz w:val="22"/>
          <w:szCs w:val="22"/>
        </w:rPr>
        <w:t xml:space="preserve"> for </w:t>
      </w:r>
      <w:r w:rsidR="008E6902" w:rsidRPr="00143751">
        <w:rPr>
          <w:rFonts w:ascii="Arial" w:hAnsi="Arial" w:cs="Arial"/>
          <w:color w:val="000000" w:themeColor="text1"/>
          <w:sz w:val="22"/>
          <w:szCs w:val="22"/>
        </w:rPr>
        <w:t>Commission on Audit Officials and Employees</w:t>
      </w:r>
      <w:r w:rsidR="00487985" w:rsidRPr="00143751">
        <w:rPr>
          <w:rFonts w:ascii="Arial" w:hAnsi="Arial" w:cs="Arial"/>
          <w:color w:val="000000" w:themeColor="text1"/>
          <w:sz w:val="22"/>
          <w:szCs w:val="22"/>
        </w:rPr>
        <w:t xml:space="preserve"> </w:t>
      </w:r>
      <w:r w:rsidRPr="00143751">
        <w:rPr>
          <w:rFonts w:ascii="Arial" w:hAnsi="Arial" w:cs="Arial"/>
          <w:color w:val="000000" w:themeColor="text1"/>
          <w:sz w:val="22"/>
          <w:szCs w:val="22"/>
        </w:rPr>
        <w:t xml:space="preserve">(Code of Ethics) together with the ethical requirements that are relevant to our audit of the </w:t>
      </w:r>
      <w:r w:rsidR="00D6039F" w:rsidRPr="00143751">
        <w:rPr>
          <w:rFonts w:ascii="Arial" w:hAnsi="Arial" w:cs="Arial"/>
          <w:color w:val="000000" w:themeColor="text1"/>
          <w:sz w:val="22"/>
          <w:szCs w:val="22"/>
        </w:rPr>
        <w:t xml:space="preserve">consolidated </w:t>
      </w:r>
      <w:r w:rsidRPr="00143751">
        <w:rPr>
          <w:rFonts w:ascii="Arial" w:hAnsi="Arial" w:cs="Arial"/>
          <w:color w:val="000000" w:themeColor="text1"/>
          <w:sz w:val="22"/>
          <w:szCs w:val="22"/>
        </w:rPr>
        <w:t xml:space="preserve">financial statements in the Philippines, and we have fulfilled our other ethical responsibilities in accordance with these requirements and the Code of Ethics.  We believe that the audit evidence we have obtained is sufficient and appropriate to provide a basis </w:t>
      </w:r>
      <w:r w:rsidRPr="006E0003">
        <w:rPr>
          <w:rFonts w:ascii="Arial" w:hAnsi="Arial" w:cs="Arial"/>
          <w:color w:val="000000" w:themeColor="text1"/>
          <w:sz w:val="22"/>
          <w:szCs w:val="22"/>
        </w:rPr>
        <w:t xml:space="preserve">for our </w:t>
      </w:r>
      <w:r w:rsidR="003F7AE5" w:rsidRPr="009E2955">
        <w:rPr>
          <w:rFonts w:ascii="Arial" w:hAnsi="Arial" w:cs="Arial"/>
          <w:color w:val="000000" w:themeColor="text1"/>
          <w:sz w:val="22"/>
          <w:szCs w:val="22"/>
        </w:rPr>
        <w:t>adverse</w:t>
      </w:r>
      <w:r w:rsidRPr="009E2955">
        <w:rPr>
          <w:rFonts w:ascii="Arial" w:hAnsi="Arial" w:cs="Arial"/>
          <w:color w:val="000000" w:themeColor="text1"/>
          <w:sz w:val="22"/>
          <w:szCs w:val="22"/>
        </w:rPr>
        <w:t xml:space="preserve"> opinion</w:t>
      </w:r>
      <w:r w:rsidRPr="006E0003">
        <w:rPr>
          <w:rFonts w:ascii="Arial" w:hAnsi="Arial" w:cs="Arial"/>
          <w:color w:val="000000" w:themeColor="text1"/>
          <w:sz w:val="22"/>
          <w:szCs w:val="22"/>
        </w:rPr>
        <w:t>.</w:t>
      </w:r>
    </w:p>
    <w:p w14:paraId="3332BF21" w14:textId="77777777" w:rsidR="00C7636C" w:rsidRPr="006E0003" w:rsidRDefault="00C7636C" w:rsidP="004267D8">
      <w:pPr>
        <w:shd w:val="clear" w:color="auto" w:fill="FFFFFF" w:themeFill="background1"/>
        <w:ind w:right="36"/>
        <w:jc w:val="both"/>
        <w:rPr>
          <w:rFonts w:ascii="Arial" w:hAnsi="Arial" w:cs="Arial"/>
          <w:i/>
          <w:color w:val="000000" w:themeColor="text1"/>
          <w:sz w:val="22"/>
          <w:szCs w:val="22"/>
        </w:rPr>
      </w:pPr>
    </w:p>
    <w:p w14:paraId="3A330E8D" w14:textId="3CDB2982" w:rsidR="00EB75C2" w:rsidRPr="006E0003" w:rsidRDefault="00EB75C2" w:rsidP="004267D8">
      <w:pPr>
        <w:shd w:val="clear" w:color="auto" w:fill="FFFFFF" w:themeFill="background1"/>
        <w:ind w:right="36"/>
        <w:jc w:val="both"/>
        <w:rPr>
          <w:rFonts w:ascii="Arial" w:hAnsi="Arial" w:cs="Arial"/>
          <w:i/>
          <w:color w:val="000000" w:themeColor="text1"/>
          <w:sz w:val="22"/>
          <w:szCs w:val="22"/>
        </w:rPr>
      </w:pPr>
      <w:bookmarkStart w:id="3" w:name="_Hlk135129784"/>
      <w:r w:rsidRPr="006E0003">
        <w:rPr>
          <w:rFonts w:ascii="Arial" w:hAnsi="Arial" w:cs="Arial"/>
          <w:i/>
          <w:color w:val="000000" w:themeColor="text1"/>
          <w:sz w:val="22"/>
          <w:szCs w:val="22"/>
        </w:rPr>
        <w:t>Emphasis of Matter</w:t>
      </w:r>
    </w:p>
    <w:p w14:paraId="35AF1D37" w14:textId="3AFC9CB8" w:rsidR="00EB75C2" w:rsidRPr="006E0003" w:rsidRDefault="00EB75C2" w:rsidP="004267D8">
      <w:pPr>
        <w:shd w:val="clear" w:color="auto" w:fill="FFFFFF" w:themeFill="background1"/>
        <w:ind w:right="36"/>
        <w:jc w:val="both"/>
        <w:rPr>
          <w:rFonts w:ascii="Arial" w:hAnsi="Arial" w:cs="Arial"/>
          <w:color w:val="000000" w:themeColor="text1"/>
          <w:sz w:val="22"/>
          <w:szCs w:val="22"/>
        </w:rPr>
      </w:pPr>
    </w:p>
    <w:p w14:paraId="67021369" w14:textId="2A04C3D5" w:rsidR="00B606BA" w:rsidRDefault="002547FA" w:rsidP="004267D8">
      <w:pPr>
        <w:widowControl w:val="0"/>
        <w:shd w:val="clear" w:color="auto" w:fill="FFFFFF" w:themeFill="background1"/>
        <w:jc w:val="both"/>
        <w:rPr>
          <w:rFonts w:ascii="Arial" w:hAnsi="Arial" w:cs="Arial"/>
          <w:color w:val="000000" w:themeColor="text1"/>
          <w:sz w:val="22"/>
          <w:szCs w:val="22"/>
        </w:rPr>
      </w:pPr>
      <w:r w:rsidRPr="006E0003">
        <w:rPr>
          <w:rFonts w:ascii="Arial" w:hAnsi="Arial" w:cs="Arial"/>
          <w:color w:val="000000" w:themeColor="text1"/>
          <w:sz w:val="22"/>
          <w:szCs w:val="22"/>
        </w:rPr>
        <w:t xml:space="preserve">We draw attention to </w:t>
      </w:r>
      <w:r w:rsidRPr="009E2955">
        <w:rPr>
          <w:rFonts w:ascii="Arial" w:hAnsi="Arial" w:cs="Arial"/>
          <w:color w:val="000000" w:themeColor="text1"/>
          <w:sz w:val="22"/>
          <w:szCs w:val="22"/>
        </w:rPr>
        <w:t>Note 2</w:t>
      </w:r>
      <w:r w:rsidRPr="006E0003">
        <w:rPr>
          <w:rFonts w:ascii="Arial" w:hAnsi="Arial" w:cs="Arial"/>
          <w:color w:val="000000" w:themeColor="text1"/>
          <w:sz w:val="22"/>
          <w:szCs w:val="22"/>
        </w:rPr>
        <w:t xml:space="preserve"> to the</w:t>
      </w:r>
      <w:r w:rsidR="00442438" w:rsidRPr="006E0003">
        <w:rPr>
          <w:rFonts w:ascii="Arial" w:hAnsi="Arial" w:cs="Arial"/>
          <w:color w:val="000000" w:themeColor="text1"/>
          <w:sz w:val="22"/>
          <w:szCs w:val="22"/>
        </w:rPr>
        <w:t xml:space="preserve"> consolidated</w:t>
      </w:r>
      <w:r w:rsidRPr="006E0003">
        <w:rPr>
          <w:rFonts w:ascii="Arial" w:hAnsi="Arial" w:cs="Arial"/>
          <w:color w:val="000000" w:themeColor="text1"/>
          <w:sz w:val="22"/>
          <w:szCs w:val="22"/>
        </w:rPr>
        <w:t xml:space="preserve"> financial statements </w:t>
      </w:r>
      <w:r w:rsidR="009D5AD1" w:rsidRPr="006E0003">
        <w:rPr>
          <w:rFonts w:ascii="Arial" w:hAnsi="Arial" w:cs="Arial"/>
          <w:color w:val="000000" w:themeColor="text1"/>
          <w:sz w:val="22"/>
          <w:szCs w:val="22"/>
        </w:rPr>
        <w:t xml:space="preserve">in relation to </w:t>
      </w:r>
      <w:r w:rsidR="009F7478" w:rsidRPr="006E0003">
        <w:rPr>
          <w:rFonts w:ascii="Arial" w:hAnsi="Arial" w:cs="Arial"/>
          <w:color w:val="000000" w:themeColor="text1"/>
          <w:sz w:val="22"/>
          <w:szCs w:val="22"/>
        </w:rPr>
        <w:t>Note 13</w:t>
      </w:r>
      <w:r w:rsidR="00EE2308" w:rsidRPr="006E0003">
        <w:rPr>
          <w:rFonts w:ascii="Arial" w:hAnsi="Arial" w:cs="Arial"/>
          <w:color w:val="000000" w:themeColor="text1"/>
          <w:sz w:val="22"/>
          <w:szCs w:val="22"/>
        </w:rPr>
        <w:t>.1</w:t>
      </w:r>
      <w:r w:rsidR="0086512B" w:rsidRPr="006E0003">
        <w:rPr>
          <w:rFonts w:ascii="Arial" w:hAnsi="Arial" w:cs="Arial"/>
          <w:color w:val="000000" w:themeColor="text1"/>
          <w:sz w:val="22"/>
          <w:szCs w:val="22"/>
        </w:rPr>
        <w:t>.</w:t>
      </w:r>
      <w:r w:rsidRPr="006E0003">
        <w:rPr>
          <w:rFonts w:ascii="Arial" w:hAnsi="Arial" w:cs="Arial"/>
          <w:color w:val="000000" w:themeColor="text1"/>
          <w:sz w:val="22"/>
          <w:szCs w:val="22"/>
        </w:rPr>
        <w:t xml:space="preserve"> </w:t>
      </w:r>
      <w:r w:rsidR="009D5AD1" w:rsidRPr="006E0003">
        <w:rPr>
          <w:rFonts w:ascii="Arial" w:hAnsi="Arial" w:cs="Arial"/>
          <w:color w:val="000000" w:themeColor="text1"/>
          <w:sz w:val="22"/>
          <w:szCs w:val="22"/>
        </w:rPr>
        <w:t>On</w:t>
      </w:r>
      <w:r w:rsidR="00442438" w:rsidRPr="006E0003">
        <w:rPr>
          <w:rFonts w:ascii="Arial" w:hAnsi="Arial" w:cs="Arial"/>
          <w:color w:val="000000" w:themeColor="text1"/>
          <w:sz w:val="22"/>
          <w:szCs w:val="22"/>
        </w:rPr>
        <w:t xml:space="preserve"> </w:t>
      </w:r>
      <w:r w:rsidR="009D5AD1" w:rsidRPr="006E0003">
        <w:rPr>
          <w:rFonts w:ascii="Arial" w:hAnsi="Arial" w:cs="Arial"/>
          <w:color w:val="000000" w:themeColor="text1"/>
          <w:sz w:val="22"/>
          <w:szCs w:val="22"/>
        </w:rPr>
        <w:t xml:space="preserve">April 19, 2016, the </w:t>
      </w:r>
      <w:r w:rsidR="00F85920" w:rsidRPr="006E0003">
        <w:rPr>
          <w:rFonts w:ascii="Arial" w:hAnsi="Arial" w:cs="Arial"/>
          <w:color w:val="000000" w:themeColor="text1"/>
          <w:sz w:val="22"/>
          <w:szCs w:val="22"/>
        </w:rPr>
        <w:t>Board of Liquidators (</w:t>
      </w:r>
      <w:r w:rsidR="009D5AD1" w:rsidRPr="006E0003">
        <w:rPr>
          <w:rFonts w:ascii="Arial" w:hAnsi="Arial" w:cs="Arial"/>
          <w:color w:val="000000" w:themeColor="text1"/>
          <w:sz w:val="22"/>
          <w:szCs w:val="22"/>
        </w:rPr>
        <w:t>BOL</w:t>
      </w:r>
      <w:r w:rsidR="00F85920" w:rsidRPr="006E0003">
        <w:rPr>
          <w:rFonts w:ascii="Arial" w:hAnsi="Arial" w:cs="Arial"/>
          <w:color w:val="000000" w:themeColor="text1"/>
          <w:sz w:val="22"/>
          <w:szCs w:val="22"/>
        </w:rPr>
        <w:t>)</w:t>
      </w:r>
      <w:r w:rsidR="009D5AD1" w:rsidRPr="006E0003">
        <w:rPr>
          <w:rFonts w:ascii="Arial" w:hAnsi="Arial" w:cs="Arial"/>
          <w:color w:val="000000" w:themeColor="text1"/>
          <w:sz w:val="22"/>
          <w:szCs w:val="22"/>
        </w:rPr>
        <w:t xml:space="preserve"> approved the stoppa</w:t>
      </w:r>
      <w:r w:rsidR="00442438" w:rsidRPr="006E0003">
        <w:rPr>
          <w:rFonts w:ascii="Arial" w:hAnsi="Arial" w:cs="Arial"/>
          <w:color w:val="000000" w:themeColor="text1"/>
          <w:sz w:val="22"/>
          <w:szCs w:val="22"/>
        </w:rPr>
        <w:t>ge of the collection of five</w:t>
      </w:r>
      <w:r w:rsidR="009D5AD1" w:rsidRPr="006E0003">
        <w:rPr>
          <w:rFonts w:ascii="Arial" w:hAnsi="Arial" w:cs="Arial"/>
          <w:color w:val="000000" w:themeColor="text1"/>
          <w:sz w:val="22"/>
          <w:szCs w:val="22"/>
        </w:rPr>
        <w:t xml:space="preserve"> per cent members’ contributions (MCs) and the accrual of interests thereon effective March 31, </w:t>
      </w:r>
      <w:r w:rsidR="00F82851" w:rsidRPr="006E0003">
        <w:rPr>
          <w:rFonts w:ascii="Arial" w:hAnsi="Arial" w:cs="Arial"/>
          <w:color w:val="000000" w:themeColor="text1"/>
          <w:sz w:val="22"/>
          <w:szCs w:val="22"/>
        </w:rPr>
        <w:t>2016,</w:t>
      </w:r>
      <w:r w:rsidR="009D5AD1" w:rsidRPr="006E0003">
        <w:rPr>
          <w:rFonts w:ascii="Arial" w:hAnsi="Arial" w:cs="Arial"/>
          <w:color w:val="000000" w:themeColor="text1"/>
          <w:sz w:val="22"/>
          <w:szCs w:val="22"/>
        </w:rPr>
        <w:t xml:space="preserve"> as per Board Resolution (BR) No. SPL-01-2016. </w:t>
      </w:r>
      <w:r w:rsidR="00F85920" w:rsidRPr="006E0003">
        <w:rPr>
          <w:rFonts w:ascii="Arial" w:hAnsi="Arial" w:cs="Arial"/>
          <w:color w:val="000000" w:themeColor="text1"/>
          <w:sz w:val="22"/>
          <w:szCs w:val="22"/>
        </w:rPr>
        <w:t xml:space="preserve"> </w:t>
      </w:r>
      <w:r w:rsidR="009D5AD1" w:rsidRPr="006E0003">
        <w:rPr>
          <w:rFonts w:ascii="Arial" w:hAnsi="Arial" w:cs="Arial"/>
          <w:color w:val="000000" w:themeColor="text1"/>
          <w:sz w:val="22"/>
          <w:szCs w:val="22"/>
        </w:rPr>
        <w:t xml:space="preserve">The implementation of Accelerated Refund of MCs was approved by the BOL on </w:t>
      </w:r>
      <w:r w:rsidR="00F85920" w:rsidRPr="006E0003">
        <w:rPr>
          <w:rFonts w:ascii="Arial" w:hAnsi="Arial" w:cs="Arial"/>
          <w:color w:val="000000" w:themeColor="text1"/>
          <w:sz w:val="22"/>
          <w:szCs w:val="22"/>
        </w:rPr>
        <w:t xml:space="preserve">                    </w:t>
      </w:r>
      <w:r w:rsidR="009D5AD1" w:rsidRPr="006E0003">
        <w:rPr>
          <w:rFonts w:ascii="Arial" w:hAnsi="Arial" w:cs="Arial"/>
          <w:color w:val="000000" w:themeColor="text1"/>
          <w:sz w:val="22"/>
          <w:szCs w:val="22"/>
        </w:rPr>
        <w:t xml:space="preserve">June 13, 2018. </w:t>
      </w:r>
      <w:r w:rsidR="00F85920" w:rsidRPr="006E0003">
        <w:rPr>
          <w:rFonts w:ascii="Arial" w:hAnsi="Arial" w:cs="Arial"/>
          <w:color w:val="000000" w:themeColor="text1"/>
          <w:sz w:val="22"/>
          <w:szCs w:val="22"/>
        </w:rPr>
        <w:t xml:space="preserve"> </w:t>
      </w:r>
      <w:r w:rsidR="009D5AD1" w:rsidRPr="006E0003">
        <w:rPr>
          <w:rFonts w:ascii="Arial" w:hAnsi="Arial" w:cs="Arial"/>
          <w:color w:val="000000" w:themeColor="text1"/>
          <w:sz w:val="22"/>
          <w:szCs w:val="22"/>
        </w:rPr>
        <w:t xml:space="preserve">Consequently, it was approved by the GCG En Banc, subject to several conditions, per letter from GCG dated September 7, 2018. </w:t>
      </w:r>
      <w:r w:rsidR="00F85920" w:rsidRPr="006E0003">
        <w:rPr>
          <w:rFonts w:ascii="Arial" w:hAnsi="Arial" w:cs="Arial"/>
          <w:color w:val="000000" w:themeColor="text1"/>
          <w:sz w:val="22"/>
          <w:szCs w:val="22"/>
        </w:rPr>
        <w:t xml:space="preserve"> </w:t>
      </w:r>
      <w:r w:rsidR="009D5AD1" w:rsidRPr="006E0003">
        <w:rPr>
          <w:rFonts w:ascii="Arial" w:hAnsi="Arial" w:cs="Arial"/>
          <w:color w:val="000000" w:themeColor="text1"/>
          <w:sz w:val="22"/>
          <w:szCs w:val="22"/>
        </w:rPr>
        <w:t xml:space="preserve">Policies and procedures for the implementation of the Accelerated Refund Program were established in coordination with AFP Units.  This covers the refund of contribution to an estimated 105,200 members for a period of three (3) years.  The </w:t>
      </w:r>
      <w:r w:rsidR="001A6F89">
        <w:rPr>
          <w:rFonts w:ascii="Arial" w:hAnsi="Arial" w:cs="Arial"/>
          <w:color w:val="000000" w:themeColor="text1"/>
          <w:sz w:val="22"/>
          <w:szCs w:val="22"/>
        </w:rPr>
        <w:t>AFPRSBS</w:t>
      </w:r>
      <w:r w:rsidR="009D5AD1" w:rsidRPr="006E0003">
        <w:rPr>
          <w:rFonts w:ascii="Arial" w:hAnsi="Arial" w:cs="Arial"/>
          <w:color w:val="000000" w:themeColor="text1"/>
          <w:sz w:val="22"/>
          <w:szCs w:val="22"/>
        </w:rPr>
        <w:t xml:space="preserve"> commenced the pay-out of Accelerated Refund in January 2019, thus, effectively stopping the granting of Advance Refund Loans.  As </w:t>
      </w:r>
      <w:proofErr w:type="gramStart"/>
      <w:r w:rsidR="009D5AD1" w:rsidRPr="006E0003">
        <w:rPr>
          <w:rFonts w:ascii="Arial" w:hAnsi="Arial" w:cs="Arial"/>
          <w:color w:val="000000" w:themeColor="text1"/>
          <w:sz w:val="22"/>
          <w:szCs w:val="22"/>
        </w:rPr>
        <w:t>at</w:t>
      </w:r>
      <w:proofErr w:type="gramEnd"/>
      <w:r w:rsidR="009D5AD1" w:rsidRPr="006E0003">
        <w:rPr>
          <w:rFonts w:ascii="Arial" w:hAnsi="Arial" w:cs="Arial"/>
          <w:color w:val="000000" w:themeColor="text1"/>
          <w:sz w:val="22"/>
          <w:szCs w:val="22"/>
        </w:rPr>
        <w:t xml:space="preserve"> D</w:t>
      </w:r>
      <w:r w:rsidR="00442438" w:rsidRPr="006E0003">
        <w:rPr>
          <w:rFonts w:ascii="Arial" w:hAnsi="Arial" w:cs="Arial"/>
          <w:color w:val="000000" w:themeColor="text1"/>
          <w:sz w:val="22"/>
          <w:szCs w:val="22"/>
        </w:rPr>
        <w:t>ecember 31, 202</w:t>
      </w:r>
      <w:r w:rsidR="00EE2308" w:rsidRPr="006E0003">
        <w:rPr>
          <w:rFonts w:ascii="Arial" w:hAnsi="Arial" w:cs="Arial"/>
          <w:color w:val="000000" w:themeColor="text1"/>
          <w:sz w:val="22"/>
          <w:szCs w:val="22"/>
        </w:rPr>
        <w:t>2</w:t>
      </w:r>
      <w:r w:rsidR="00442438" w:rsidRPr="006E0003">
        <w:rPr>
          <w:rFonts w:ascii="Arial" w:hAnsi="Arial" w:cs="Arial"/>
          <w:color w:val="000000" w:themeColor="text1"/>
          <w:sz w:val="22"/>
          <w:szCs w:val="22"/>
        </w:rPr>
        <w:t>, a total of P12.39</w:t>
      </w:r>
      <w:r w:rsidR="009D5AD1" w:rsidRPr="006E0003">
        <w:rPr>
          <w:rFonts w:ascii="Arial" w:hAnsi="Arial" w:cs="Arial"/>
          <w:color w:val="000000" w:themeColor="text1"/>
          <w:sz w:val="22"/>
          <w:szCs w:val="22"/>
        </w:rPr>
        <w:t xml:space="preserve">5 billion in principal and </w:t>
      </w:r>
      <w:r w:rsidR="00442438" w:rsidRPr="006E0003">
        <w:rPr>
          <w:rFonts w:ascii="Arial" w:hAnsi="Arial" w:cs="Arial"/>
          <w:color w:val="000000" w:themeColor="text1"/>
          <w:sz w:val="22"/>
          <w:szCs w:val="22"/>
        </w:rPr>
        <w:t>interests was refunded to 114,000</w:t>
      </w:r>
      <w:r w:rsidR="009D5AD1" w:rsidRPr="006E0003">
        <w:rPr>
          <w:rFonts w:ascii="Arial" w:hAnsi="Arial" w:cs="Arial"/>
          <w:color w:val="000000" w:themeColor="text1"/>
          <w:sz w:val="22"/>
          <w:szCs w:val="22"/>
        </w:rPr>
        <w:t xml:space="preserve"> members/claimants. </w:t>
      </w:r>
    </w:p>
    <w:p w14:paraId="63F1B0DC" w14:textId="77777777" w:rsidR="00B606BA" w:rsidRDefault="00B606BA" w:rsidP="004267D8">
      <w:pPr>
        <w:widowControl w:val="0"/>
        <w:shd w:val="clear" w:color="auto" w:fill="FFFFFF" w:themeFill="background1"/>
        <w:jc w:val="both"/>
        <w:rPr>
          <w:rFonts w:ascii="Arial" w:hAnsi="Arial" w:cs="Arial"/>
          <w:color w:val="000000" w:themeColor="text1"/>
          <w:sz w:val="22"/>
          <w:szCs w:val="22"/>
        </w:rPr>
      </w:pPr>
    </w:p>
    <w:p w14:paraId="3795025F" w14:textId="3CE6CEEB" w:rsidR="00106876" w:rsidRPr="00143751" w:rsidRDefault="0086512B" w:rsidP="004267D8">
      <w:pPr>
        <w:widowControl w:val="0"/>
        <w:shd w:val="clear" w:color="auto" w:fill="FFFFFF" w:themeFill="background1"/>
        <w:jc w:val="both"/>
        <w:rPr>
          <w:rFonts w:ascii="Arial" w:hAnsi="Arial" w:cs="Arial"/>
          <w:sz w:val="22"/>
          <w:szCs w:val="22"/>
          <w:lang w:val="en-PH"/>
        </w:rPr>
      </w:pPr>
      <w:r w:rsidRPr="006E0003">
        <w:rPr>
          <w:rFonts w:ascii="Arial" w:hAnsi="Arial" w:cs="Arial"/>
          <w:color w:val="000000" w:themeColor="text1"/>
          <w:sz w:val="22"/>
          <w:szCs w:val="22"/>
        </w:rPr>
        <w:t xml:space="preserve">We further draw attention to </w:t>
      </w:r>
      <w:r w:rsidRPr="009E2955">
        <w:rPr>
          <w:rFonts w:ascii="Arial" w:hAnsi="Arial" w:cs="Arial"/>
          <w:color w:val="000000" w:themeColor="text1"/>
          <w:sz w:val="22"/>
          <w:szCs w:val="22"/>
        </w:rPr>
        <w:t>Note 2</w:t>
      </w:r>
      <w:r w:rsidRPr="006E0003">
        <w:rPr>
          <w:rFonts w:ascii="Arial" w:hAnsi="Arial" w:cs="Arial"/>
          <w:color w:val="000000" w:themeColor="text1"/>
          <w:sz w:val="22"/>
          <w:szCs w:val="22"/>
        </w:rPr>
        <w:t xml:space="preserve"> </w:t>
      </w:r>
      <w:proofErr w:type="gramStart"/>
      <w:r w:rsidRPr="006E0003">
        <w:rPr>
          <w:rFonts w:ascii="Arial" w:hAnsi="Arial" w:cs="Arial"/>
          <w:color w:val="000000" w:themeColor="text1"/>
          <w:sz w:val="22"/>
          <w:szCs w:val="22"/>
        </w:rPr>
        <w:t>to</w:t>
      </w:r>
      <w:proofErr w:type="gramEnd"/>
      <w:r w:rsidRPr="006E0003">
        <w:rPr>
          <w:rFonts w:ascii="Arial" w:hAnsi="Arial" w:cs="Arial"/>
          <w:color w:val="000000" w:themeColor="text1"/>
          <w:sz w:val="22"/>
          <w:szCs w:val="22"/>
        </w:rPr>
        <w:t xml:space="preserve"> the </w:t>
      </w:r>
      <w:r w:rsidR="00442438" w:rsidRPr="006E0003">
        <w:rPr>
          <w:rFonts w:ascii="Arial" w:hAnsi="Arial" w:cs="Arial"/>
          <w:color w:val="000000" w:themeColor="text1"/>
          <w:sz w:val="22"/>
          <w:szCs w:val="22"/>
        </w:rPr>
        <w:t>consolidated</w:t>
      </w:r>
      <w:r w:rsidR="00442438" w:rsidRPr="00143751">
        <w:rPr>
          <w:rFonts w:ascii="Arial" w:hAnsi="Arial" w:cs="Arial"/>
          <w:color w:val="000000" w:themeColor="text1"/>
          <w:sz w:val="22"/>
          <w:szCs w:val="22"/>
        </w:rPr>
        <w:t xml:space="preserve"> </w:t>
      </w:r>
      <w:r w:rsidRPr="00143751">
        <w:rPr>
          <w:rFonts w:ascii="Arial" w:hAnsi="Arial" w:cs="Arial"/>
          <w:color w:val="000000" w:themeColor="text1"/>
          <w:sz w:val="22"/>
          <w:szCs w:val="22"/>
        </w:rPr>
        <w:t xml:space="preserve">financial statements which describes that </w:t>
      </w:r>
      <w:r w:rsidR="002547FA" w:rsidRPr="00143751">
        <w:rPr>
          <w:rFonts w:ascii="Arial" w:hAnsi="Arial" w:cs="Arial"/>
          <w:color w:val="000000" w:themeColor="text1"/>
          <w:sz w:val="22"/>
          <w:szCs w:val="22"/>
        </w:rPr>
        <w:t>pursuant to</w:t>
      </w:r>
      <w:r w:rsidR="000A11B2">
        <w:rPr>
          <w:rFonts w:ascii="Arial" w:hAnsi="Arial" w:cs="Arial"/>
          <w:color w:val="000000" w:themeColor="text1"/>
          <w:sz w:val="22"/>
          <w:szCs w:val="22"/>
        </w:rPr>
        <w:t xml:space="preserve"> </w:t>
      </w:r>
      <w:r w:rsidR="002547FA" w:rsidRPr="00143751">
        <w:rPr>
          <w:rFonts w:ascii="Arial" w:hAnsi="Arial" w:cs="Arial"/>
          <w:color w:val="000000" w:themeColor="text1"/>
          <w:sz w:val="22"/>
          <w:szCs w:val="22"/>
        </w:rPr>
        <w:t xml:space="preserve">MO No. 90, </w:t>
      </w:r>
      <w:r w:rsidR="001A6F89">
        <w:rPr>
          <w:rFonts w:ascii="Arial" w:hAnsi="Arial" w:cs="Arial"/>
          <w:color w:val="000000" w:themeColor="text1"/>
          <w:sz w:val="22"/>
          <w:szCs w:val="22"/>
        </w:rPr>
        <w:t>AFPRSBS</w:t>
      </w:r>
      <w:r w:rsidR="002547FA" w:rsidRPr="00143751">
        <w:rPr>
          <w:rFonts w:ascii="Arial" w:hAnsi="Arial" w:cs="Arial"/>
          <w:color w:val="000000" w:themeColor="text1"/>
          <w:sz w:val="22"/>
          <w:szCs w:val="22"/>
        </w:rPr>
        <w:t xml:space="preserve"> continuously engages itself in various business operations necessary to wind down its operations. These include the management of funds and investments in real estate projects and foreclosed assets. </w:t>
      </w:r>
      <w:r w:rsidR="00F85920" w:rsidRPr="00143751">
        <w:rPr>
          <w:rFonts w:ascii="Arial" w:hAnsi="Arial" w:cs="Arial"/>
          <w:color w:val="000000" w:themeColor="text1"/>
          <w:sz w:val="22"/>
          <w:szCs w:val="22"/>
        </w:rPr>
        <w:t xml:space="preserve"> </w:t>
      </w:r>
      <w:r w:rsidR="002547FA" w:rsidRPr="00143751">
        <w:rPr>
          <w:rFonts w:ascii="Arial" w:hAnsi="Arial" w:cs="Arial"/>
          <w:color w:val="000000" w:themeColor="text1"/>
          <w:sz w:val="22"/>
          <w:szCs w:val="22"/>
        </w:rPr>
        <w:t xml:space="preserve">In </w:t>
      </w:r>
      <w:r w:rsidR="002547FA" w:rsidRPr="00143751">
        <w:rPr>
          <w:rFonts w:ascii="Arial" w:hAnsi="Arial" w:cs="Arial"/>
          <w:color w:val="000000" w:themeColor="text1"/>
          <w:sz w:val="22"/>
          <w:szCs w:val="22"/>
        </w:rPr>
        <w:lastRenderedPageBreak/>
        <w:t xml:space="preserve">late 2016, </w:t>
      </w:r>
      <w:r w:rsidR="001A6F89">
        <w:rPr>
          <w:rFonts w:ascii="Arial" w:hAnsi="Arial" w:cs="Arial"/>
          <w:color w:val="000000" w:themeColor="text1"/>
          <w:sz w:val="22"/>
          <w:szCs w:val="22"/>
        </w:rPr>
        <w:t>AFPRSBS</w:t>
      </w:r>
      <w:r w:rsidR="002547FA" w:rsidRPr="00143751">
        <w:rPr>
          <w:rFonts w:ascii="Arial" w:hAnsi="Arial" w:cs="Arial"/>
          <w:color w:val="000000" w:themeColor="text1"/>
          <w:sz w:val="22"/>
          <w:szCs w:val="22"/>
        </w:rPr>
        <w:t xml:space="preserve"> submitted its Winding Down Plan to the Governance Commission for GOCCs (GCG) which states that the primary objective of the same is to raise P16 billion to refund all the MCs </w:t>
      </w:r>
      <w:r w:rsidRPr="00143751">
        <w:rPr>
          <w:rFonts w:ascii="Arial" w:hAnsi="Arial" w:cs="Arial"/>
          <w:color w:val="000000" w:themeColor="text1"/>
          <w:sz w:val="22"/>
          <w:szCs w:val="22"/>
        </w:rPr>
        <w:t xml:space="preserve">within three years or </w:t>
      </w:r>
      <w:r w:rsidR="002547FA" w:rsidRPr="00143751">
        <w:rPr>
          <w:rFonts w:ascii="Arial" w:hAnsi="Arial" w:cs="Arial"/>
          <w:color w:val="000000" w:themeColor="text1"/>
          <w:sz w:val="22"/>
          <w:szCs w:val="22"/>
        </w:rPr>
        <w:t xml:space="preserve">by December 31, 2019.  </w:t>
      </w:r>
      <w:r w:rsidRPr="00143751">
        <w:rPr>
          <w:rFonts w:ascii="Arial" w:hAnsi="Arial" w:cs="Arial"/>
          <w:color w:val="000000" w:themeColor="text1"/>
          <w:sz w:val="22"/>
          <w:szCs w:val="22"/>
        </w:rPr>
        <w:t>However, t</w:t>
      </w:r>
      <w:r w:rsidR="002547FA" w:rsidRPr="00143751">
        <w:rPr>
          <w:rFonts w:ascii="Arial" w:hAnsi="Arial" w:cs="Arial"/>
          <w:color w:val="000000" w:themeColor="text1"/>
          <w:sz w:val="22"/>
          <w:szCs w:val="22"/>
        </w:rPr>
        <w:t xml:space="preserve">he GCG clarified in its letter dated March 29, </w:t>
      </w:r>
      <w:r w:rsidR="00252372" w:rsidRPr="00143751">
        <w:rPr>
          <w:rFonts w:ascii="Arial" w:hAnsi="Arial" w:cs="Arial"/>
          <w:color w:val="000000" w:themeColor="text1"/>
          <w:sz w:val="22"/>
          <w:szCs w:val="22"/>
        </w:rPr>
        <w:t>2019,</w:t>
      </w:r>
      <w:r w:rsidR="002547FA" w:rsidRPr="00143751">
        <w:rPr>
          <w:rFonts w:ascii="Arial" w:hAnsi="Arial" w:cs="Arial"/>
          <w:color w:val="000000" w:themeColor="text1"/>
          <w:sz w:val="22"/>
          <w:szCs w:val="22"/>
        </w:rPr>
        <w:t xml:space="preserve"> that the three-year period to liquidate a dissolved corporation can be extended until the liquidation is fully completed. </w:t>
      </w:r>
    </w:p>
    <w:p w14:paraId="05976E4C" w14:textId="5C3BFF5E" w:rsidR="004655E0" w:rsidRPr="00143751" w:rsidRDefault="004655E0" w:rsidP="003940F3">
      <w:pPr>
        <w:widowControl w:val="0"/>
        <w:jc w:val="both"/>
        <w:rPr>
          <w:rFonts w:ascii="Arial" w:hAnsi="Arial" w:cs="Arial"/>
          <w:color w:val="000000" w:themeColor="text1"/>
          <w:sz w:val="22"/>
          <w:szCs w:val="22"/>
        </w:rPr>
      </w:pPr>
    </w:p>
    <w:p w14:paraId="61A63D22" w14:textId="0A506EF2" w:rsidR="00987FF9" w:rsidRDefault="003C4609" w:rsidP="003940F3">
      <w:pPr>
        <w:widowControl w:val="0"/>
        <w:jc w:val="both"/>
        <w:rPr>
          <w:rFonts w:ascii="Arial" w:hAnsi="Arial" w:cs="Arial"/>
          <w:color w:val="000000" w:themeColor="text1"/>
          <w:sz w:val="22"/>
          <w:szCs w:val="22"/>
        </w:rPr>
      </w:pPr>
      <w:r w:rsidRPr="006E0003">
        <w:rPr>
          <w:rFonts w:ascii="Arial" w:hAnsi="Arial" w:cs="Arial"/>
          <w:color w:val="000000" w:themeColor="text1"/>
          <w:sz w:val="22"/>
          <w:szCs w:val="22"/>
        </w:rPr>
        <w:t>W</w:t>
      </w:r>
      <w:r w:rsidR="00E1417F" w:rsidRPr="006E0003">
        <w:rPr>
          <w:rFonts w:ascii="Arial" w:hAnsi="Arial" w:cs="Arial"/>
          <w:color w:val="000000" w:themeColor="text1"/>
          <w:sz w:val="22"/>
          <w:szCs w:val="22"/>
        </w:rPr>
        <w:t xml:space="preserve">e </w:t>
      </w:r>
      <w:r w:rsidR="00B606BA">
        <w:rPr>
          <w:rFonts w:ascii="Arial" w:hAnsi="Arial" w:cs="Arial"/>
          <w:color w:val="000000" w:themeColor="text1"/>
          <w:sz w:val="22"/>
          <w:szCs w:val="22"/>
        </w:rPr>
        <w:t>likewise</w:t>
      </w:r>
      <w:r w:rsidR="002547FA" w:rsidRPr="006E0003">
        <w:rPr>
          <w:rFonts w:ascii="Arial" w:hAnsi="Arial" w:cs="Arial"/>
          <w:color w:val="000000" w:themeColor="text1"/>
          <w:sz w:val="22"/>
          <w:szCs w:val="22"/>
        </w:rPr>
        <w:t xml:space="preserve"> </w:t>
      </w:r>
      <w:r w:rsidR="00E1417F" w:rsidRPr="006E0003">
        <w:rPr>
          <w:rFonts w:ascii="Arial" w:hAnsi="Arial" w:cs="Arial"/>
          <w:color w:val="000000" w:themeColor="text1"/>
          <w:sz w:val="22"/>
          <w:szCs w:val="22"/>
        </w:rPr>
        <w:t xml:space="preserve">draw attention to </w:t>
      </w:r>
      <w:r w:rsidR="00E1417F" w:rsidRPr="009E2955">
        <w:rPr>
          <w:rFonts w:ascii="Arial" w:hAnsi="Arial" w:cs="Arial"/>
          <w:color w:val="000000" w:themeColor="text1"/>
          <w:sz w:val="22"/>
          <w:szCs w:val="22"/>
        </w:rPr>
        <w:t xml:space="preserve">Note </w:t>
      </w:r>
      <w:r w:rsidR="00997A19" w:rsidRPr="009E2955">
        <w:rPr>
          <w:rFonts w:ascii="Arial" w:hAnsi="Arial" w:cs="Arial"/>
          <w:color w:val="000000" w:themeColor="text1"/>
          <w:sz w:val="22"/>
          <w:szCs w:val="22"/>
        </w:rPr>
        <w:t>29</w:t>
      </w:r>
      <w:r w:rsidR="00E1417F" w:rsidRPr="006E0003">
        <w:rPr>
          <w:rFonts w:ascii="Arial" w:hAnsi="Arial" w:cs="Arial"/>
          <w:color w:val="000000" w:themeColor="text1"/>
          <w:sz w:val="22"/>
          <w:szCs w:val="22"/>
        </w:rPr>
        <w:t xml:space="preserve"> to the </w:t>
      </w:r>
      <w:r w:rsidR="00D6039F" w:rsidRPr="006E0003">
        <w:rPr>
          <w:rFonts w:ascii="Arial" w:hAnsi="Arial" w:cs="Arial"/>
          <w:color w:val="000000" w:themeColor="text1"/>
          <w:sz w:val="22"/>
          <w:szCs w:val="22"/>
        </w:rPr>
        <w:t xml:space="preserve">consolidated </w:t>
      </w:r>
      <w:r w:rsidR="00E1417F" w:rsidRPr="006E0003">
        <w:rPr>
          <w:rFonts w:ascii="Arial" w:hAnsi="Arial" w:cs="Arial"/>
          <w:color w:val="000000" w:themeColor="text1"/>
          <w:sz w:val="22"/>
          <w:szCs w:val="22"/>
        </w:rPr>
        <w:t xml:space="preserve">financial statements which </w:t>
      </w:r>
      <w:r w:rsidR="00101D84" w:rsidRPr="006E0003">
        <w:rPr>
          <w:rFonts w:ascii="Arial" w:hAnsi="Arial" w:cs="Arial"/>
          <w:color w:val="000000" w:themeColor="text1"/>
          <w:sz w:val="22"/>
          <w:szCs w:val="22"/>
        </w:rPr>
        <w:t>describe</w:t>
      </w:r>
      <w:r w:rsidR="00E1417F" w:rsidRPr="006E0003">
        <w:rPr>
          <w:rFonts w:ascii="Arial" w:hAnsi="Arial" w:cs="Arial"/>
          <w:color w:val="000000" w:themeColor="text1"/>
          <w:sz w:val="22"/>
          <w:szCs w:val="22"/>
        </w:rPr>
        <w:t xml:space="preserve"> the uncertainties related to pending cases in several courts involving various claims against the </w:t>
      </w:r>
      <w:r w:rsidR="00106876" w:rsidRPr="006E0003">
        <w:rPr>
          <w:rFonts w:ascii="Arial" w:hAnsi="Arial" w:cs="Arial"/>
          <w:color w:val="000000" w:themeColor="text1"/>
          <w:sz w:val="22"/>
          <w:szCs w:val="22"/>
        </w:rPr>
        <w:t>Group</w:t>
      </w:r>
      <w:r w:rsidR="00982C54" w:rsidRPr="006E0003">
        <w:rPr>
          <w:rFonts w:ascii="Arial" w:hAnsi="Arial" w:cs="Arial"/>
          <w:color w:val="000000" w:themeColor="text1"/>
          <w:sz w:val="22"/>
          <w:szCs w:val="22"/>
        </w:rPr>
        <w:t xml:space="preserve">.  </w:t>
      </w:r>
    </w:p>
    <w:p w14:paraId="0DC89382" w14:textId="77777777" w:rsidR="00987FF9" w:rsidRPr="009E2955" w:rsidRDefault="00987FF9" w:rsidP="003940F3">
      <w:pPr>
        <w:widowControl w:val="0"/>
        <w:jc w:val="both"/>
        <w:rPr>
          <w:rFonts w:ascii="Arial" w:hAnsi="Arial" w:cs="Arial"/>
          <w:color w:val="000000" w:themeColor="text1"/>
          <w:szCs w:val="22"/>
        </w:rPr>
      </w:pPr>
    </w:p>
    <w:p w14:paraId="7926F32D" w14:textId="36FF6702" w:rsidR="00EB583F" w:rsidRPr="00143751" w:rsidRDefault="00CA7726" w:rsidP="003940F3">
      <w:pPr>
        <w:widowControl w:val="0"/>
        <w:jc w:val="both"/>
        <w:rPr>
          <w:rFonts w:ascii="Arial" w:hAnsi="Arial" w:cs="Arial"/>
          <w:color w:val="000000" w:themeColor="text1"/>
          <w:sz w:val="22"/>
          <w:szCs w:val="22"/>
        </w:rPr>
      </w:pPr>
      <w:r w:rsidRPr="006E0003">
        <w:rPr>
          <w:rFonts w:ascii="Arial" w:hAnsi="Arial" w:cs="Arial"/>
          <w:color w:val="000000" w:themeColor="text1"/>
          <w:sz w:val="22"/>
          <w:szCs w:val="22"/>
        </w:rPr>
        <w:t>Our opinion is not modified</w:t>
      </w:r>
      <w:r w:rsidR="00987FF9">
        <w:rPr>
          <w:rFonts w:ascii="Arial" w:hAnsi="Arial" w:cs="Arial"/>
          <w:color w:val="000000" w:themeColor="text1"/>
          <w:sz w:val="22"/>
          <w:szCs w:val="22"/>
        </w:rPr>
        <w:t xml:space="preserve"> concerning</w:t>
      </w:r>
      <w:r w:rsidRPr="006E0003">
        <w:rPr>
          <w:rFonts w:ascii="Arial" w:hAnsi="Arial" w:cs="Arial"/>
          <w:color w:val="000000" w:themeColor="text1"/>
          <w:sz w:val="22"/>
          <w:szCs w:val="22"/>
        </w:rPr>
        <w:t xml:space="preserve"> the matters</w:t>
      </w:r>
      <w:r w:rsidR="00987FF9">
        <w:rPr>
          <w:rFonts w:ascii="Arial" w:hAnsi="Arial" w:cs="Arial"/>
          <w:color w:val="000000" w:themeColor="text1"/>
          <w:sz w:val="22"/>
          <w:szCs w:val="22"/>
        </w:rPr>
        <w:t xml:space="preserve"> discussed in the preceding paragraphs</w:t>
      </w:r>
      <w:r w:rsidRPr="006E0003">
        <w:rPr>
          <w:rFonts w:ascii="Arial" w:hAnsi="Arial" w:cs="Arial"/>
          <w:color w:val="000000" w:themeColor="text1"/>
          <w:sz w:val="22"/>
          <w:szCs w:val="22"/>
        </w:rPr>
        <w:t>.</w:t>
      </w:r>
    </w:p>
    <w:bookmarkEnd w:id="3"/>
    <w:p w14:paraId="08CD1FA2" w14:textId="77777777" w:rsidR="00983ED4" w:rsidRDefault="00983ED4" w:rsidP="00347780">
      <w:pPr>
        <w:rPr>
          <w:rFonts w:ascii="Arial" w:hAnsi="Arial" w:cs="Arial"/>
          <w:color w:val="000000" w:themeColor="text1"/>
          <w:sz w:val="22"/>
          <w:szCs w:val="22"/>
        </w:rPr>
      </w:pPr>
    </w:p>
    <w:p w14:paraId="0CA94C9F" w14:textId="3309AC28" w:rsidR="00EB75C2" w:rsidRPr="00143751" w:rsidRDefault="00EB75C2" w:rsidP="003940F3">
      <w:pPr>
        <w:ind w:right="36"/>
        <w:jc w:val="both"/>
        <w:rPr>
          <w:rFonts w:ascii="Arial" w:hAnsi="Arial" w:cs="Arial"/>
          <w:i/>
          <w:color w:val="000000" w:themeColor="text1"/>
          <w:sz w:val="22"/>
          <w:szCs w:val="22"/>
        </w:rPr>
      </w:pPr>
      <w:r w:rsidRPr="00143751">
        <w:rPr>
          <w:rFonts w:ascii="Arial" w:hAnsi="Arial" w:cs="Arial"/>
          <w:i/>
          <w:color w:val="000000" w:themeColor="text1"/>
          <w:sz w:val="22"/>
          <w:szCs w:val="22"/>
        </w:rPr>
        <w:t xml:space="preserve">Responsibilities of Management and Those Charged with Governance for the </w:t>
      </w:r>
      <w:r w:rsidR="00D6039F" w:rsidRPr="00143751">
        <w:rPr>
          <w:rFonts w:ascii="Arial" w:hAnsi="Arial" w:cs="Arial"/>
          <w:i/>
          <w:color w:val="000000" w:themeColor="text1"/>
          <w:sz w:val="22"/>
          <w:szCs w:val="22"/>
        </w:rPr>
        <w:t xml:space="preserve">Consolidated </w:t>
      </w:r>
      <w:r w:rsidRPr="00143751">
        <w:rPr>
          <w:rFonts w:ascii="Arial" w:hAnsi="Arial" w:cs="Arial"/>
          <w:i/>
          <w:color w:val="000000" w:themeColor="text1"/>
          <w:sz w:val="22"/>
          <w:szCs w:val="22"/>
        </w:rPr>
        <w:t>Financial Statements</w:t>
      </w:r>
    </w:p>
    <w:p w14:paraId="55ED293B" w14:textId="77777777" w:rsidR="00EB75C2" w:rsidRPr="009E2955" w:rsidRDefault="00EB75C2" w:rsidP="003940F3">
      <w:pPr>
        <w:ind w:right="36"/>
        <w:jc w:val="both"/>
        <w:rPr>
          <w:rFonts w:ascii="Arial" w:hAnsi="Arial" w:cs="Arial"/>
          <w:b/>
          <w:color w:val="000000" w:themeColor="text1"/>
          <w:szCs w:val="22"/>
        </w:rPr>
      </w:pPr>
    </w:p>
    <w:p w14:paraId="0653A27D" w14:textId="6FE062A3" w:rsidR="00EB75C2" w:rsidRPr="00143751" w:rsidRDefault="00EB75C2" w:rsidP="003940F3">
      <w:pPr>
        <w:ind w:right="36"/>
        <w:jc w:val="both"/>
        <w:rPr>
          <w:rFonts w:ascii="Arial" w:hAnsi="Arial" w:cs="Arial"/>
          <w:color w:val="000000" w:themeColor="text1"/>
          <w:sz w:val="22"/>
          <w:szCs w:val="22"/>
        </w:rPr>
      </w:pPr>
      <w:r w:rsidRPr="00143751">
        <w:rPr>
          <w:rFonts w:ascii="Arial" w:hAnsi="Arial" w:cs="Arial"/>
          <w:color w:val="000000" w:themeColor="text1"/>
          <w:sz w:val="22"/>
          <w:szCs w:val="22"/>
        </w:rPr>
        <w:t>Management is responsible for the preparation and fair presentation of the</w:t>
      </w:r>
      <w:r w:rsidR="00442438" w:rsidRPr="00143751">
        <w:rPr>
          <w:rFonts w:ascii="Arial" w:hAnsi="Arial" w:cs="Arial"/>
          <w:color w:val="000000" w:themeColor="text1"/>
          <w:sz w:val="22"/>
          <w:szCs w:val="22"/>
        </w:rPr>
        <w:t xml:space="preserve"> consolidated</w:t>
      </w:r>
      <w:r w:rsidRPr="00143751">
        <w:rPr>
          <w:rFonts w:ascii="Arial" w:hAnsi="Arial" w:cs="Arial"/>
          <w:color w:val="000000" w:themeColor="text1"/>
          <w:sz w:val="22"/>
          <w:szCs w:val="22"/>
        </w:rPr>
        <w:t xml:space="preserve"> financial statements in accordance with PFRSs, and for such internal control as management determines is necessary to enable the preparation of </w:t>
      </w:r>
      <w:r w:rsidR="00442438" w:rsidRPr="00143751">
        <w:rPr>
          <w:rFonts w:ascii="Arial" w:hAnsi="Arial" w:cs="Arial"/>
          <w:color w:val="000000" w:themeColor="text1"/>
          <w:sz w:val="22"/>
          <w:szCs w:val="22"/>
        </w:rPr>
        <w:t xml:space="preserve">consolidated </w:t>
      </w:r>
      <w:r w:rsidRPr="00143751">
        <w:rPr>
          <w:rFonts w:ascii="Arial" w:hAnsi="Arial" w:cs="Arial"/>
          <w:color w:val="000000" w:themeColor="text1"/>
          <w:sz w:val="22"/>
          <w:szCs w:val="22"/>
        </w:rPr>
        <w:t>financial statements that are free from material misstatement, whether due to fraud or error.</w:t>
      </w:r>
    </w:p>
    <w:p w14:paraId="036502F9" w14:textId="77777777" w:rsidR="00C7636C" w:rsidRPr="009E2955" w:rsidRDefault="00C7636C" w:rsidP="003940F3">
      <w:pPr>
        <w:ind w:right="36"/>
        <w:jc w:val="both"/>
        <w:rPr>
          <w:rFonts w:ascii="Arial" w:hAnsi="Arial" w:cs="Arial"/>
          <w:color w:val="000000" w:themeColor="text1"/>
          <w:szCs w:val="22"/>
        </w:rPr>
      </w:pPr>
    </w:p>
    <w:p w14:paraId="3676A404" w14:textId="317E0566" w:rsidR="00EB75C2" w:rsidRPr="00143751" w:rsidRDefault="00EB75C2" w:rsidP="003940F3">
      <w:pPr>
        <w:ind w:right="36"/>
        <w:jc w:val="both"/>
        <w:rPr>
          <w:rFonts w:ascii="Arial" w:hAnsi="Arial" w:cs="Arial"/>
          <w:color w:val="000000" w:themeColor="text1"/>
          <w:sz w:val="22"/>
          <w:szCs w:val="22"/>
        </w:rPr>
      </w:pPr>
      <w:r w:rsidRPr="00143751">
        <w:rPr>
          <w:rFonts w:ascii="Arial" w:hAnsi="Arial" w:cs="Arial"/>
          <w:color w:val="000000" w:themeColor="text1"/>
          <w:sz w:val="22"/>
          <w:szCs w:val="22"/>
        </w:rPr>
        <w:t>In preparing the</w:t>
      </w:r>
      <w:r w:rsidR="00442438" w:rsidRPr="00143751">
        <w:rPr>
          <w:rFonts w:ascii="Arial" w:hAnsi="Arial" w:cs="Arial"/>
          <w:color w:val="000000" w:themeColor="text1"/>
          <w:sz w:val="22"/>
          <w:szCs w:val="22"/>
        </w:rPr>
        <w:t xml:space="preserve"> consolidated</w:t>
      </w:r>
      <w:r w:rsidRPr="00143751">
        <w:rPr>
          <w:rFonts w:ascii="Arial" w:hAnsi="Arial" w:cs="Arial"/>
          <w:color w:val="000000" w:themeColor="text1"/>
          <w:sz w:val="22"/>
          <w:szCs w:val="22"/>
        </w:rPr>
        <w:t xml:space="preserve"> financial statements, management is responsible for assessing the </w:t>
      </w:r>
      <w:r w:rsidR="002575D3">
        <w:rPr>
          <w:rFonts w:ascii="Arial" w:hAnsi="Arial" w:cs="Arial"/>
          <w:color w:val="000000" w:themeColor="text1"/>
          <w:sz w:val="22"/>
          <w:szCs w:val="22"/>
        </w:rPr>
        <w:t>Group</w:t>
      </w:r>
      <w:r w:rsidRPr="00143751">
        <w:rPr>
          <w:rFonts w:ascii="Arial" w:hAnsi="Arial" w:cs="Arial"/>
          <w:color w:val="000000" w:themeColor="text1"/>
          <w:sz w:val="22"/>
          <w:szCs w:val="22"/>
        </w:rPr>
        <w:t xml:space="preserve">’s ability to continue as a going concern, disclosing, as applicable, matters related to going concern and using the going concern basis of accounting unless management either intends to liquidate the </w:t>
      </w:r>
      <w:r w:rsidR="0032372F">
        <w:rPr>
          <w:rFonts w:ascii="Arial" w:hAnsi="Arial" w:cs="Arial"/>
          <w:color w:val="000000" w:themeColor="text1"/>
          <w:sz w:val="22"/>
          <w:szCs w:val="22"/>
        </w:rPr>
        <w:t>Group</w:t>
      </w:r>
      <w:r w:rsidRPr="00143751">
        <w:rPr>
          <w:rFonts w:ascii="Arial" w:hAnsi="Arial" w:cs="Arial"/>
          <w:color w:val="000000" w:themeColor="text1"/>
          <w:sz w:val="22"/>
          <w:szCs w:val="22"/>
        </w:rPr>
        <w:t xml:space="preserve"> or to cease operations, or has no realistic alternative but to do so.</w:t>
      </w:r>
    </w:p>
    <w:p w14:paraId="007EEC06" w14:textId="77777777" w:rsidR="00EB75C2" w:rsidRPr="00143751" w:rsidRDefault="00EB75C2" w:rsidP="003940F3">
      <w:pPr>
        <w:ind w:right="36"/>
        <w:jc w:val="both"/>
        <w:rPr>
          <w:rFonts w:ascii="Arial" w:hAnsi="Arial" w:cs="Arial"/>
          <w:color w:val="000000" w:themeColor="text1"/>
          <w:sz w:val="22"/>
          <w:szCs w:val="22"/>
        </w:rPr>
      </w:pPr>
    </w:p>
    <w:p w14:paraId="203148FF" w14:textId="31EC2974" w:rsidR="00EB75C2" w:rsidRPr="00143751" w:rsidRDefault="00EB75C2" w:rsidP="003940F3">
      <w:pPr>
        <w:ind w:right="36"/>
        <w:jc w:val="both"/>
        <w:rPr>
          <w:rFonts w:ascii="Arial" w:hAnsi="Arial" w:cs="Arial"/>
          <w:color w:val="000000" w:themeColor="text1"/>
          <w:sz w:val="22"/>
          <w:szCs w:val="22"/>
        </w:rPr>
      </w:pPr>
      <w:r w:rsidRPr="00143751">
        <w:rPr>
          <w:rFonts w:ascii="Arial" w:hAnsi="Arial" w:cs="Arial"/>
          <w:color w:val="000000" w:themeColor="text1"/>
          <w:sz w:val="22"/>
          <w:szCs w:val="22"/>
        </w:rPr>
        <w:t xml:space="preserve">Those charged with governance are responsible for overseeing the </w:t>
      </w:r>
      <w:r w:rsidR="0032372F">
        <w:rPr>
          <w:rFonts w:ascii="Arial" w:hAnsi="Arial" w:cs="Arial"/>
          <w:color w:val="000000" w:themeColor="text1"/>
          <w:sz w:val="22"/>
          <w:szCs w:val="22"/>
        </w:rPr>
        <w:t>Group</w:t>
      </w:r>
      <w:r w:rsidRPr="00143751">
        <w:rPr>
          <w:rFonts w:ascii="Arial" w:hAnsi="Arial" w:cs="Arial"/>
          <w:color w:val="000000" w:themeColor="text1"/>
          <w:sz w:val="22"/>
          <w:szCs w:val="22"/>
        </w:rPr>
        <w:t>’s financial reporting process.</w:t>
      </w:r>
    </w:p>
    <w:p w14:paraId="1DCA1590" w14:textId="29BF95C6" w:rsidR="00EB75C2" w:rsidRDefault="00EB75C2" w:rsidP="003940F3">
      <w:pPr>
        <w:ind w:right="36"/>
        <w:jc w:val="both"/>
        <w:rPr>
          <w:rFonts w:ascii="Arial" w:hAnsi="Arial" w:cs="Arial"/>
          <w:i/>
          <w:color w:val="000000" w:themeColor="text1"/>
          <w:sz w:val="22"/>
          <w:szCs w:val="22"/>
        </w:rPr>
      </w:pPr>
    </w:p>
    <w:p w14:paraId="6CA9F9C2" w14:textId="7E420EB9" w:rsidR="00EB75C2" w:rsidRPr="00143751" w:rsidRDefault="00EB75C2" w:rsidP="003940F3">
      <w:pPr>
        <w:ind w:right="36"/>
        <w:jc w:val="both"/>
        <w:rPr>
          <w:rFonts w:ascii="Arial" w:hAnsi="Arial" w:cs="Arial"/>
          <w:i/>
          <w:color w:val="000000" w:themeColor="text1"/>
          <w:sz w:val="22"/>
          <w:szCs w:val="22"/>
        </w:rPr>
      </w:pPr>
      <w:r w:rsidRPr="00143751">
        <w:rPr>
          <w:rFonts w:ascii="Arial" w:hAnsi="Arial" w:cs="Arial"/>
          <w:i/>
          <w:color w:val="000000" w:themeColor="text1"/>
          <w:sz w:val="22"/>
          <w:szCs w:val="22"/>
        </w:rPr>
        <w:t>Auditors’ Respo</w:t>
      </w:r>
      <w:r w:rsidR="00442438" w:rsidRPr="00143751">
        <w:rPr>
          <w:rFonts w:ascii="Arial" w:hAnsi="Arial" w:cs="Arial"/>
          <w:i/>
          <w:color w:val="000000" w:themeColor="text1"/>
          <w:sz w:val="22"/>
          <w:szCs w:val="22"/>
        </w:rPr>
        <w:t>nsibilities for the Audit of the Consolidated</w:t>
      </w:r>
      <w:r w:rsidRPr="00143751">
        <w:rPr>
          <w:rFonts w:ascii="Arial" w:hAnsi="Arial" w:cs="Arial"/>
          <w:i/>
          <w:color w:val="000000" w:themeColor="text1"/>
          <w:sz w:val="22"/>
          <w:szCs w:val="22"/>
        </w:rPr>
        <w:t xml:space="preserve"> Financial Statements</w:t>
      </w:r>
    </w:p>
    <w:p w14:paraId="4FDF71C3" w14:textId="77777777" w:rsidR="00EB75C2" w:rsidRPr="009E2955" w:rsidRDefault="00EB75C2" w:rsidP="003940F3">
      <w:pPr>
        <w:ind w:right="36"/>
        <w:jc w:val="both"/>
        <w:rPr>
          <w:rFonts w:ascii="Arial" w:hAnsi="Arial" w:cs="Arial"/>
          <w:color w:val="000000" w:themeColor="text1"/>
          <w:szCs w:val="22"/>
        </w:rPr>
      </w:pPr>
    </w:p>
    <w:p w14:paraId="4A1C25D3" w14:textId="5A598216" w:rsidR="00EB75C2" w:rsidRPr="00143751" w:rsidRDefault="00EB75C2" w:rsidP="003940F3">
      <w:pPr>
        <w:ind w:right="36"/>
        <w:jc w:val="both"/>
        <w:rPr>
          <w:rFonts w:ascii="Arial" w:hAnsi="Arial" w:cs="Arial"/>
          <w:color w:val="000000" w:themeColor="text1"/>
          <w:sz w:val="22"/>
          <w:szCs w:val="22"/>
          <w:lang w:val="en-PH"/>
        </w:rPr>
      </w:pPr>
      <w:r w:rsidRPr="00143751">
        <w:rPr>
          <w:rFonts w:ascii="Arial" w:hAnsi="Arial" w:cs="Arial"/>
          <w:color w:val="000000" w:themeColor="text1"/>
          <w:sz w:val="22"/>
          <w:szCs w:val="22"/>
          <w:lang w:val="en-PH"/>
        </w:rPr>
        <w:t>Our objectives</w:t>
      </w:r>
      <w:r w:rsidR="00CA7726" w:rsidRPr="00143751">
        <w:rPr>
          <w:rFonts w:ascii="Arial" w:hAnsi="Arial" w:cs="Arial"/>
          <w:color w:val="000000" w:themeColor="text1"/>
          <w:sz w:val="22"/>
          <w:szCs w:val="22"/>
          <w:lang w:val="en-PH"/>
        </w:rPr>
        <w:t xml:space="preserve"> </w:t>
      </w:r>
      <w:r w:rsidRPr="00143751">
        <w:rPr>
          <w:rFonts w:ascii="Arial" w:hAnsi="Arial" w:cs="Arial"/>
          <w:color w:val="000000" w:themeColor="text1"/>
          <w:sz w:val="22"/>
          <w:szCs w:val="22"/>
          <w:lang w:val="en-PH"/>
        </w:rPr>
        <w:t>are to obtain reasonable assurance about whether the</w:t>
      </w:r>
      <w:r w:rsidR="00442438" w:rsidRPr="00143751">
        <w:rPr>
          <w:rFonts w:ascii="Arial" w:hAnsi="Arial" w:cs="Arial"/>
          <w:color w:val="000000" w:themeColor="text1"/>
          <w:sz w:val="22"/>
          <w:szCs w:val="22"/>
          <w:lang w:val="en-PH"/>
        </w:rPr>
        <w:t xml:space="preserve"> consolidated</w:t>
      </w:r>
      <w:r w:rsidRPr="00143751">
        <w:rPr>
          <w:rFonts w:ascii="Arial" w:hAnsi="Arial" w:cs="Arial"/>
          <w:color w:val="000000" w:themeColor="text1"/>
          <w:sz w:val="22"/>
          <w:szCs w:val="22"/>
          <w:lang w:val="en-PH"/>
        </w:rPr>
        <w:t xml:space="preserve"> financial statements </w:t>
      </w:r>
      <w:proofErr w:type="gramStart"/>
      <w:r w:rsidRPr="00143751">
        <w:rPr>
          <w:rFonts w:ascii="Arial" w:hAnsi="Arial" w:cs="Arial"/>
          <w:color w:val="000000" w:themeColor="text1"/>
          <w:sz w:val="22"/>
          <w:szCs w:val="22"/>
          <w:lang w:val="en-PH"/>
        </w:rPr>
        <w:t>as a whole are</w:t>
      </w:r>
      <w:proofErr w:type="gramEnd"/>
      <w:r w:rsidRPr="00143751">
        <w:rPr>
          <w:rFonts w:ascii="Arial" w:hAnsi="Arial" w:cs="Arial"/>
          <w:color w:val="000000" w:themeColor="text1"/>
          <w:sz w:val="22"/>
          <w:szCs w:val="22"/>
          <w:lang w:val="en-PH"/>
        </w:rPr>
        <w:t xml:space="preserve"> free from material misstatement, whether due to fraud or error, and to issue an auditor’s report that includes our opinion. </w:t>
      </w:r>
      <w:r w:rsidR="00F85920" w:rsidRPr="00143751">
        <w:rPr>
          <w:rFonts w:ascii="Arial" w:hAnsi="Arial" w:cs="Arial"/>
          <w:color w:val="000000" w:themeColor="text1"/>
          <w:sz w:val="22"/>
          <w:szCs w:val="22"/>
          <w:lang w:val="en-PH"/>
        </w:rPr>
        <w:t xml:space="preserve"> </w:t>
      </w:r>
      <w:r w:rsidRPr="00143751">
        <w:rPr>
          <w:rFonts w:ascii="Arial" w:hAnsi="Arial" w:cs="Arial"/>
          <w:color w:val="000000" w:themeColor="text1"/>
          <w:sz w:val="22"/>
          <w:szCs w:val="22"/>
          <w:lang w:val="en-PH"/>
        </w:rPr>
        <w:t xml:space="preserve">Reasonable assurance is a high level of </w:t>
      </w:r>
      <w:proofErr w:type="gramStart"/>
      <w:r w:rsidRPr="00143751">
        <w:rPr>
          <w:rFonts w:ascii="Arial" w:hAnsi="Arial" w:cs="Arial"/>
          <w:color w:val="000000" w:themeColor="text1"/>
          <w:sz w:val="22"/>
          <w:szCs w:val="22"/>
          <w:lang w:val="en-PH"/>
        </w:rPr>
        <w:t>assurance, but</w:t>
      </w:r>
      <w:proofErr w:type="gramEnd"/>
      <w:r w:rsidRPr="00143751">
        <w:rPr>
          <w:rFonts w:ascii="Arial" w:hAnsi="Arial" w:cs="Arial"/>
          <w:color w:val="000000" w:themeColor="text1"/>
          <w:sz w:val="22"/>
          <w:szCs w:val="22"/>
          <w:lang w:val="en-PH"/>
        </w:rPr>
        <w:t xml:space="preserve"> is not a guarantee that an audit conducted in accordance with ISSAIs will always detect a material misstatement when it exists.</w:t>
      </w:r>
      <w:r w:rsidR="00F85920" w:rsidRPr="00143751">
        <w:rPr>
          <w:rFonts w:ascii="Arial" w:hAnsi="Arial" w:cs="Arial"/>
          <w:color w:val="000000" w:themeColor="text1"/>
          <w:sz w:val="22"/>
          <w:szCs w:val="22"/>
          <w:lang w:val="en-PH"/>
        </w:rPr>
        <w:t xml:space="preserve"> </w:t>
      </w:r>
      <w:r w:rsidRPr="00143751">
        <w:rPr>
          <w:rFonts w:ascii="Arial" w:hAnsi="Arial" w:cs="Arial"/>
          <w:color w:val="000000" w:themeColor="text1"/>
          <w:sz w:val="22"/>
          <w:szCs w:val="22"/>
          <w:lang w:val="en-PH"/>
        </w:rPr>
        <w:t xml:space="preserve"> Misstatements can arise from fraud or error and are considered material if, individually or in the aggregate, they could reasonably be expected to influence the economic decisions of users taken </w:t>
      </w:r>
      <w:proofErr w:type="gramStart"/>
      <w:r w:rsidRPr="00143751">
        <w:rPr>
          <w:rFonts w:ascii="Arial" w:hAnsi="Arial" w:cs="Arial"/>
          <w:color w:val="000000" w:themeColor="text1"/>
          <w:sz w:val="22"/>
          <w:szCs w:val="22"/>
          <w:lang w:val="en-PH"/>
        </w:rPr>
        <w:t>on the basis of</w:t>
      </w:r>
      <w:proofErr w:type="gramEnd"/>
      <w:r w:rsidRPr="00143751">
        <w:rPr>
          <w:rFonts w:ascii="Arial" w:hAnsi="Arial" w:cs="Arial"/>
          <w:color w:val="000000" w:themeColor="text1"/>
          <w:sz w:val="22"/>
          <w:szCs w:val="22"/>
          <w:lang w:val="en-PH"/>
        </w:rPr>
        <w:t xml:space="preserve"> these </w:t>
      </w:r>
      <w:r w:rsidR="00D6039F" w:rsidRPr="00143751">
        <w:rPr>
          <w:rFonts w:ascii="Arial" w:hAnsi="Arial" w:cs="Arial"/>
          <w:color w:val="000000" w:themeColor="text1"/>
          <w:sz w:val="22"/>
          <w:szCs w:val="22"/>
          <w:lang w:val="en-PH"/>
        </w:rPr>
        <w:t xml:space="preserve">consolidated </w:t>
      </w:r>
      <w:r w:rsidRPr="00143751">
        <w:rPr>
          <w:rFonts w:ascii="Arial" w:hAnsi="Arial" w:cs="Arial"/>
          <w:color w:val="000000" w:themeColor="text1"/>
          <w:sz w:val="22"/>
          <w:szCs w:val="22"/>
          <w:lang w:val="en-PH"/>
        </w:rPr>
        <w:t>financial statements.</w:t>
      </w:r>
    </w:p>
    <w:p w14:paraId="34E3DD47" w14:textId="77777777" w:rsidR="00EB75C2" w:rsidRPr="009E2955" w:rsidRDefault="00EB75C2" w:rsidP="003940F3">
      <w:pPr>
        <w:ind w:right="36"/>
        <w:jc w:val="both"/>
        <w:rPr>
          <w:rFonts w:ascii="Arial" w:hAnsi="Arial" w:cs="Arial"/>
          <w:color w:val="000000" w:themeColor="text1"/>
          <w:szCs w:val="22"/>
        </w:rPr>
      </w:pPr>
    </w:p>
    <w:p w14:paraId="24ACCD87" w14:textId="2972AB45" w:rsidR="00EB75C2" w:rsidRPr="00143751" w:rsidRDefault="00EB75C2" w:rsidP="003940F3">
      <w:pPr>
        <w:ind w:right="36"/>
        <w:jc w:val="both"/>
        <w:rPr>
          <w:rFonts w:ascii="Arial" w:hAnsi="Arial" w:cs="Arial"/>
          <w:color w:val="000000" w:themeColor="text1"/>
          <w:sz w:val="22"/>
          <w:szCs w:val="22"/>
        </w:rPr>
      </w:pPr>
      <w:r w:rsidRPr="00143751">
        <w:rPr>
          <w:rFonts w:ascii="Arial" w:hAnsi="Arial" w:cs="Arial"/>
          <w:color w:val="000000" w:themeColor="text1"/>
          <w:sz w:val="22"/>
          <w:szCs w:val="22"/>
        </w:rPr>
        <w:t xml:space="preserve">As part of an audit in accordance with ISSAIs, we exercise professional judgment and maintain professional skepticism throughout the audit. </w:t>
      </w:r>
      <w:proofErr w:type="gramStart"/>
      <w:r w:rsidRPr="00143751">
        <w:rPr>
          <w:rFonts w:ascii="Arial" w:hAnsi="Arial" w:cs="Arial"/>
          <w:color w:val="000000" w:themeColor="text1"/>
          <w:sz w:val="22"/>
          <w:szCs w:val="22"/>
        </w:rPr>
        <w:t>We</w:t>
      </w:r>
      <w:proofErr w:type="gramEnd"/>
      <w:r w:rsidRPr="00143751">
        <w:rPr>
          <w:rFonts w:ascii="Arial" w:hAnsi="Arial" w:cs="Arial"/>
          <w:color w:val="000000" w:themeColor="text1"/>
          <w:sz w:val="22"/>
          <w:szCs w:val="22"/>
        </w:rPr>
        <w:t xml:space="preserve"> also:</w:t>
      </w:r>
    </w:p>
    <w:p w14:paraId="14557AA1" w14:textId="77777777" w:rsidR="00EB75C2" w:rsidRPr="00143751" w:rsidRDefault="00EB75C2" w:rsidP="003940F3">
      <w:pPr>
        <w:ind w:right="36"/>
        <w:jc w:val="both"/>
        <w:rPr>
          <w:rFonts w:ascii="Arial" w:hAnsi="Arial" w:cs="Arial"/>
          <w:color w:val="000000" w:themeColor="text1"/>
          <w:sz w:val="22"/>
          <w:szCs w:val="22"/>
        </w:rPr>
      </w:pPr>
    </w:p>
    <w:p w14:paraId="2E4E2A03" w14:textId="6D8A97D3" w:rsidR="00EB75C2" w:rsidRPr="00143751" w:rsidRDefault="00EB75C2" w:rsidP="003940F3">
      <w:pPr>
        <w:numPr>
          <w:ilvl w:val="0"/>
          <w:numId w:val="1"/>
        </w:numPr>
        <w:ind w:left="540" w:right="36" w:hanging="540"/>
        <w:jc w:val="both"/>
        <w:rPr>
          <w:rFonts w:ascii="Arial" w:hAnsi="Arial" w:cs="Arial"/>
          <w:color w:val="000000" w:themeColor="text1"/>
          <w:sz w:val="22"/>
          <w:szCs w:val="22"/>
        </w:rPr>
      </w:pPr>
      <w:r w:rsidRPr="00143751">
        <w:rPr>
          <w:rFonts w:ascii="Arial" w:hAnsi="Arial" w:cs="Arial"/>
          <w:color w:val="000000" w:themeColor="text1"/>
          <w:sz w:val="22"/>
          <w:szCs w:val="22"/>
        </w:rPr>
        <w:t>Identify and assess the risks of material misstatement of the</w:t>
      </w:r>
      <w:r w:rsidR="00442438" w:rsidRPr="00143751">
        <w:rPr>
          <w:rFonts w:ascii="Arial" w:hAnsi="Arial" w:cs="Arial"/>
          <w:color w:val="000000" w:themeColor="text1"/>
          <w:sz w:val="22"/>
          <w:szCs w:val="22"/>
        </w:rPr>
        <w:t xml:space="preserve"> consolidated</w:t>
      </w:r>
      <w:r w:rsidRPr="00143751">
        <w:rPr>
          <w:rFonts w:ascii="Arial" w:hAnsi="Arial" w:cs="Arial"/>
          <w:color w:val="000000" w:themeColor="text1"/>
          <w:sz w:val="22"/>
          <w:szCs w:val="22"/>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w:t>
      </w:r>
      <w:proofErr w:type="gramStart"/>
      <w:r w:rsidRPr="00143751">
        <w:rPr>
          <w:rFonts w:ascii="Arial" w:hAnsi="Arial" w:cs="Arial"/>
          <w:color w:val="000000" w:themeColor="text1"/>
          <w:sz w:val="22"/>
          <w:szCs w:val="22"/>
        </w:rPr>
        <w:t>control;</w:t>
      </w:r>
      <w:proofErr w:type="gramEnd"/>
    </w:p>
    <w:p w14:paraId="07AE7F6C" w14:textId="0D99287F" w:rsidR="00EB75C2" w:rsidRDefault="00EB75C2" w:rsidP="003940F3">
      <w:pPr>
        <w:ind w:left="540" w:right="36"/>
        <w:jc w:val="both"/>
        <w:rPr>
          <w:rFonts w:ascii="Arial" w:hAnsi="Arial" w:cs="Arial"/>
          <w:color w:val="000000" w:themeColor="text1"/>
          <w:sz w:val="22"/>
          <w:szCs w:val="22"/>
        </w:rPr>
      </w:pPr>
    </w:p>
    <w:p w14:paraId="47B35179" w14:textId="454977C8" w:rsidR="0053009C" w:rsidRDefault="0053009C" w:rsidP="003940F3">
      <w:pPr>
        <w:ind w:left="540" w:right="36"/>
        <w:jc w:val="both"/>
        <w:rPr>
          <w:rFonts w:ascii="Arial" w:hAnsi="Arial" w:cs="Arial"/>
          <w:color w:val="000000" w:themeColor="text1"/>
          <w:sz w:val="22"/>
          <w:szCs w:val="22"/>
        </w:rPr>
      </w:pPr>
    </w:p>
    <w:p w14:paraId="2E8511EB" w14:textId="61E7702B" w:rsidR="0053009C" w:rsidRPr="00324534" w:rsidRDefault="0053009C" w:rsidP="003940F3">
      <w:pPr>
        <w:ind w:left="540" w:right="36"/>
        <w:jc w:val="both"/>
        <w:rPr>
          <w:rFonts w:ascii="Arial" w:hAnsi="Arial" w:cs="Arial"/>
          <w:color w:val="000000" w:themeColor="text1"/>
          <w:sz w:val="22"/>
          <w:szCs w:val="22"/>
        </w:rPr>
      </w:pPr>
      <w:r>
        <w:rPr>
          <w:noProof/>
          <w:lang w:val="en-PH" w:eastAsia="en-PH"/>
        </w:rPr>
        <w:lastRenderedPageBreak/>
        <w:drawing>
          <wp:anchor distT="0" distB="0" distL="114300" distR="114300" simplePos="0" relativeHeight="251660288" behindDoc="1" locked="0" layoutInCell="1" allowOverlap="1" wp14:anchorId="2FE9F30E" wp14:editId="70D43238">
            <wp:simplePos x="0" y="0"/>
            <wp:positionH relativeFrom="column">
              <wp:posOffset>-1303361</wp:posOffset>
            </wp:positionH>
            <wp:positionV relativeFrom="paragraph">
              <wp:posOffset>-873457</wp:posOffset>
            </wp:positionV>
            <wp:extent cx="7710805" cy="960802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447"/>
                    <a:stretch/>
                  </pic:blipFill>
                  <pic:spPr bwMode="auto">
                    <a:xfrm>
                      <a:off x="0" y="0"/>
                      <a:ext cx="7713899" cy="96118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3009C" w:rsidRPr="00324534" w:rsidSect="00324534">
      <w:pgSz w:w="12240" w:h="15840" w:code="1"/>
      <w:pgMar w:top="1440" w:right="1440" w:bottom="1008"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598A" w14:textId="77777777" w:rsidR="00062A38" w:rsidRDefault="00062A38" w:rsidP="00923641">
      <w:r>
        <w:separator/>
      </w:r>
    </w:p>
  </w:endnote>
  <w:endnote w:type="continuationSeparator" w:id="0">
    <w:p w14:paraId="3DB941F9" w14:textId="77777777" w:rsidR="00062A38" w:rsidRDefault="00062A38" w:rsidP="009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68E4" w14:textId="77777777" w:rsidR="00062A38" w:rsidRDefault="00062A38" w:rsidP="00923641">
      <w:r>
        <w:separator/>
      </w:r>
    </w:p>
  </w:footnote>
  <w:footnote w:type="continuationSeparator" w:id="0">
    <w:p w14:paraId="5DDF0C5A" w14:textId="77777777" w:rsidR="00062A38" w:rsidRDefault="00062A38" w:rsidP="0092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572"/>
    <w:multiLevelType w:val="hybridMultilevel"/>
    <w:tmpl w:val="2456533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5D0454E"/>
    <w:multiLevelType w:val="multilevel"/>
    <w:tmpl w:val="25D0454E"/>
    <w:lvl w:ilvl="0">
      <w:start w:val="1"/>
      <w:numFmt w:val="decimal"/>
      <w:lvlText w:val="%1."/>
      <w:lvlJc w:val="left"/>
      <w:pPr>
        <w:ind w:left="360" w:hanging="360"/>
      </w:pPr>
      <w:rPr>
        <w:rFonts w:hint="default"/>
        <w:b/>
        <w:i w:val="0"/>
        <w:sz w:val="22"/>
        <w:szCs w:val="22"/>
      </w:rPr>
    </w:lvl>
    <w:lvl w:ilvl="1">
      <w:start w:val="1"/>
      <w:numFmt w:val="decimal"/>
      <w:lvlText w:val="%1.%2"/>
      <w:lvlJc w:val="left"/>
      <w:pPr>
        <w:ind w:left="4260"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B00C21"/>
    <w:multiLevelType w:val="hybridMultilevel"/>
    <w:tmpl w:val="E478949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2EB209C"/>
    <w:multiLevelType w:val="hybridMultilevel"/>
    <w:tmpl w:val="D07A634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759767A"/>
    <w:multiLevelType w:val="hybridMultilevel"/>
    <w:tmpl w:val="0436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57373"/>
    <w:multiLevelType w:val="hybridMultilevel"/>
    <w:tmpl w:val="C5DE4D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DA938E5"/>
    <w:multiLevelType w:val="hybridMultilevel"/>
    <w:tmpl w:val="14AC61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F0E16F9"/>
    <w:multiLevelType w:val="hybridMultilevel"/>
    <w:tmpl w:val="ECA047F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98180912">
    <w:abstractNumId w:val="5"/>
  </w:num>
  <w:num w:numId="2" w16cid:durableId="701630184">
    <w:abstractNumId w:val="4"/>
  </w:num>
  <w:num w:numId="3" w16cid:durableId="657538743">
    <w:abstractNumId w:val="2"/>
  </w:num>
  <w:num w:numId="4" w16cid:durableId="733892890">
    <w:abstractNumId w:val="1"/>
  </w:num>
  <w:num w:numId="5" w16cid:durableId="462700973">
    <w:abstractNumId w:val="7"/>
  </w:num>
  <w:num w:numId="6" w16cid:durableId="1203129493">
    <w:abstractNumId w:val="0"/>
  </w:num>
  <w:num w:numId="7" w16cid:durableId="1989552285">
    <w:abstractNumId w:val="3"/>
  </w:num>
  <w:num w:numId="8" w16cid:durableId="1976834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rigwxNlaUAIFTic4Qz1Octg9oajsK89L9IvKQw0ghOuJAAevF/tUGtNJi+GoCz2Ii0aLBvUGAs6nVhB1j9cuA==" w:salt="IBHQr5k1Wy9MikvD2ZN6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C2"/>
    <w:rsid w:val="00001127"/>
    <w:rsid w:val="000102E4"/>
    <w:rsid w:val="0001657A"/>
    <w:rsid w:val="000222EA"/>
    <w:rsid w:val="0002541D"/>
    <w:rsid w:val="000330F5"/>
    <w:rsid w:val="00034B60"/>
    <w:rsid w:val="00036DF2"/>
    <w:rsid w:val="00043145"/>
    <w:rsid w:val="00062A38"/>
    <w:rsid w:val="00064A09"/>
    <w:rsid w:val="00085ADE"/>
    <w:rsid w:val="00096EB4"/>
    <w:rsid w:val="000A11B2"/>
    <w:rsid w:val="000B2048"/>
    <w:rsid w:val="000B38D0"/>
    <w:rsid w:val="000B4548"/>
    <w:rsid w:val="000C13E4"/>
    <w:rsid w:val="000C4147"/>
    <w:rsid w:val="000E03D8"/>
    <w:rsid w:val="000E17D3"/>
    <w:rsid w:val="000E1A4F"/>
    <w:rsid w:val="000E4059"/>
    <w:rsid w:val="000F09B0"/>
    <w:rsid w:val="000F0A2A"/>
    <w:rsid w:val="000F500B"/>
    <w:rsid w:val="00101D84"/>
    <w:rsid w:val="00104817"/>
    <w:rsid w:val="00106876"/>
    <w:rsid w:val="00113961"/>
    <w:rsid w:val="0011626E"/>
    <w:rsid w:val="00116752"/>
    <w:rsid w:val="0012181D"/>
    <w:rsid w:val="00124EDF"/>
    <w:rsid w:val="00142884"/>
    <w:rsid w:val="00143751"/>
    <w:rsid w:val="00147E18"/>
    <w:rsid w:val="00150F7C"/>
    <w:rsid w:val="00152DE2"/>
    <w:rsid w:val="001567BB"/>
    <w:rsid w:val="001659E4"/>
    <w:rsid w:val="001712C6"/>
    <w:rsid w:val="001736E2"/>
    <w:rsid w:val="00174F2C"/>
    <w:rsid w:val="00177C08"/>
    <w:rsid w:val="00180C0F"/>
    <w:rsid w:val="00196116"/>
    <w:rsid w:val="00197967"/>
    <w:rsid w:val="001A6F89"/>
    <w:rsid w:val="001B6683"/>
    <w:rsid w:val="001B6EFA"/>
    <w:rsid w:val="001C4070"/>
    <w:rsid w:val="001C51C4"/>
    <w:rsid w:val="001E69B3"/>
    <w:rsid w:val="001F77B8"/>
    <w:rsid w:val="002228B1"/>
    <w:rsid w:val="002230A0"/>
    <w:rsid w:val="002267B9"/>
    <w:rsid w:val="0022765C"/>
    <w:rsid w:val="002277A9"/>
    <w:rsid w:val="00233DAA"/>
    <w:rsid w:val="00235F95"/>
    <w:rsid w:val="00243819"/>
    <w:rsid w:val="00243DEF"/>
    <w:rsid w:val="002447C8"/>
    <w:rsid w:val="00245CAE"/>
    <w:rsid w:val="00252372"/>
    <w:rsid w:val="002547FA"/>
    <w:rsid w:val="00256346"/>
    <w:rsid w:val="002575D3"/>
    <w:rsid w:val="00267B37"/>
    <w:rsid w:val="00277767"/>
    <w:rsid w:val="002835DE"/>
    <w:rsid w:val="002915A5"/>
    <w:rsid w:val="002A0C0E"/>
    <w:rsid w:val="002B1E5F"/>
    <w:rsid w:val="002B4926"/>
    <w:rsid w:val="002C012B"/>
    <w:rsid w:val="002C3D17"/>
    <w:rsid w:val="002C526C"/>
    <w:rsid w:val="002D2F90"/>
    <w:rsid w:val="002E4616"/>
    <w:rsid w:val="0030102C"/>
    <w:rsid w:val="00303D45"/>
    <w:rsid w:val="00313A3B"/>
    <w:rsid w:val="0032372F"/>
    <w:rsid w:val="00324534"/>
    <w:rsid w:val="00325760"/>
    <w:rsid w:val="00326C06"/>
    <w:rsid w:val="0033482E"/>
    <w:rsid w:val="00345207"/>
    <w:rsid w:val="00347780"/>
    <w:rsid w:val="00355FAE"/>
    <w:rsid w:val="00356CFB"/>
    <w:rsid w:val="00360915"/>
    <w:rsid w:val="00372357"/>
    <w:rsid w:val="00372B29"/>
    <w:rsid w:val="0037567A"/>
    <w:rsid w:val="00382BA8"/>
    <w:rsid w:val="00390BB6"/>
    <w:rsid w:val="003940F3"/>
    <w:rsid w:val="003B5969"/>
    <w:rsid w:val="003B7C6B"/>
    <w:rsid w:val="003C4609"/>
    <w:rsid w:val="003C77CC"/>
    <w:rsid w:val="003E0398"/>
    <w:rsid w:val="003E14FC"/>
    <w:rsid w:val="003E373F"/>
    <w:rsid w:val="003F6AD3"/>
    <w:rsid w:val="003F7AE5"/>
    <w:rsid w:val="00403041"/>
    <w:rsid w:val="0041166C"/>
    <w:rsid w:val="00413B4F"/>
    <w:rsid w:val="00415A5F"/>
    <w:rsid w:val="004267D8"/>
    <w:rsid w:val="0043082D"/>
    <w:rsid w:val="00431470"/>
    <w:rsid w:val="004355EE"/>
    <w:rsid w:val="00442438"/>
    <w:rsid w:val="0044487D"/>
    <w:rsid w:val="00446D69"/>
    <w:rsid w:val="004655E0"/>
    <w:rsid w:val="004679ED"/>
    <w:rsid w:val="00467DFF"/>
    <w:rsid w:val="00470549"/>
    <w:rsid w:val="00473D5D"/>
    <w:rsid w:val="00482566"/>
    <w:rsid w:val="0048778E"/>
    <w:rsid w:val="00487985"/>
    <w:rsid w:val="00492252"/>
    <w:rsid w:val="00494C5C"/>
    <w:rsid w:val="00495E62"/>
    <w:rsid w:val="004A2E96"/>
    <w:rsid w:val="004B0E2C"/>
    <w:rsid w:val="004B7026"/>
    <w:rsid w:val="004B7AD5"/>
    <w:rsid w:val="004C02D3"/>
    <w:rsid w:val="004C1C01"/>
    <w:rsid w:val="004C395A"/>
    <w:rsid w:val="004E7581"/>
    <w:rsid w:val="005020D4"/>
    <w:rsid w:val="00514173"/>
    <w:rsid w:val="0052314D"/>
    <w:rsid w:val="0053009C"/>
    <w:rsid w:val="005331E1"/>
    <w:rsid w:val="0053459E"/>
    <w:rsid w:val="00537A17"/>
    <w:rsid w:val="00540A1A"/>
    <w:rsid w:val="00547587"/>
    <w:rsid w:val="00561DA1"/>
    <w:rsid w:val="00563F7E"/>
    <w:rsid w:val="00565D69"/>
    <w:rsid w:val="00572E5F"/>
    <w:rsid w:val="00585DE7"/>
    <w:rsid w:val="0058745B"/>
    <w:rsid w:val="00590D63"/>
    <w:rsid w:val="005C1BFE"/>
    <w:rsid w:val="005C4748"/>
    <w:rsid w:val="005C6679"/>
    <w:rsid w:val="005C6AF2"/>
    <w:rsid w:val="005C76C3"/>
    <w:rsid w:val="005D0DED"/>
    <w:rsid w:val="005D4CB6"/>
    <w:rsid w:val="005F3B5D"/>
    <w:rsid w:val="005F73DF"/>
    <w:rsid w:val="005F77C7"/>
    <w:rsid w:val="0060032A"/>
    <w:rsid w:val="00601F92"/>
    <w:rsid w:val="00603542"/>
    <w:rsid w:val="00605BE8"/>
    <w:rsid w:val="0061441A"/>
    <w:rsid w:val="0062311D"/>
    <w:rsid w:val="00623AF6"/>
    <w:rsid w:val="00634B99"/>
    <w:rsid w:val="00636B6D"/>
    <w:rsid w:val="00652357"/>
    <w:rsid w:val="00660497"/>
    <w:rsid w:val="00676C24"/>
    <w:rsid w:val="00686302"/>
    <w:rsid w:val="00693030"/>
    <w:rsid w:val="00695FAF"/>
    <w:rsid w:val="006A4DBF"/>
    <w:rsid w:val="006A529D"/>
    <w:rsid w:val="006C7F61"/>
    <w:rsid w:val="006E0003"/>
    <w:rsid w:val="006E1050"/>
    <w:rsid w:val="006F0CF2"/>
    <w:rsid w:val="006F494B"/>
    <w:rsid w:val="00703BBE"/>
    <w:rsid w:val="00704711"/>
    <w:rsid w:val="00705623"/>
    <w:rsid w:val="0071178F"/>
    <w:rsid w:val="00712E63"/>
    <w:rsid w:val="007221AD"/>
    <w:rsid w:val="00730EB9"/>
    <w:rsid w:val="007311E4"/>
    <w:rsid w:val="0073267B"/>
    <w:rsid w:val="00732F71"/>
    <w:rsid w:val="007354F7"/>
    <w:rsid w:val="00735CF6"/>
    <w:rsid w:val="007379CF"/>
    <w:rsid w:val="00743346"/>
    <w:rsid w:val="007445D6"/>
    <w:rsid w:val="00750306"/>
    <w:rsid w:val="007626C3"/>
    <w:rsid w:val="00763BA3"/>
    <w:rsid w:val="00766A27"/>
    <w:rsid w:val="0076777C"/>
    <w:rsid w:val="007825AE"/>
    <w:rsid w:val="00783564"/>
    <w:rsid w:val="007A4C47"/>
    <w:rsid w:val="007A6587"/>
    <w:rsid w:val="007B0E45"/>
    <w:rsid w:val="007C0016"/>
    <w:rsid w:val="007C2CC5"/>
    <w:rsid w:val="007C73B7"/>
    <w:rsid w:val="007D04D2"/>
    <w:rsid w:val="007E1E90"/>
    <w:rsid w:val="007E7270"/>
    <w:rsid w:val="007F6D3B"/>
    <w:rsid w:val="00811762"/>
    <w:rsid w:val="00813B7F"/>
    <w:rsid w:val="00825356"/>
    <w:rsid w:val="008314C5"/>
    <w:rsid w:val="008431D4"/>
    <w:rsid w:val="00862BBE"/>
    <w:rsid w:val="0086512B"/>
    <w:rsid w:val="00871B14"/>
    <w:rsid w:val="00871E02"/>
    <w:rsid w:val="008738F0"/>
    <w:rsid w:val="00873D50"/>
    <w:rsid w:val="00874AE8"/>
    <w:rsid w:val="00875A3E"/>
    <w:rsid w:val="00877AE9"/>
    <w:rsid w:val="00887375"/>
    <w:rsid w:val="00892183"/>
    <w:rsid w:val="008A1C57"/>
    <w:rsid w:val="008B2BF9"/>
    <w:rsid w:val="008B75D5"/>
    <w:rsid w:val="008E6902"/>
    <w:rsid w:val="008F31D8"/>
    <w:rsid w:val="009009B7"/>
    <w:rsid w:val="00903883"/>
    <w:rsid w:val="00923641"/>
    <w:rsid w:val="00930B53"/>
    <w:rsid w:val="00935940"/>
    <w:rsid w:val="00942D2C"/>
    <w:rsid w:val="009440BB"/>
    <w:rsid w:val="00963110"/>
    <w:rsid w:val="00963672"/>
    <w:rsid w:val="00970EF8"/>
    <w:rsid w:val="00971980"/>
    <w:rsid w:val="00973474"/>
    <w:rsid w:val="009737DE"/>
    <w:rsid w:val="00973CF1"/>
    <w:rsid w:val="00975A8D"/>
    <w:rsid w:val="00982C54"/>
    <w:rsid w:val="00983ED4"/>
    <w:rsid w:val="00985C98"/>
    <w:rsid w:val="0098702A"/>
    <w:rsid w:val="00987FF9"/>
    <w:rsid w:val="0099231A"/>
    <w:rsid w:val="00992EE8"/>
    <w:rsid w:val="00997A19"/>
    <w:rsid w:val="00997D9C"/>
    <w:rsid w:val="009A0A2E"/>
    <w:rsid w:val="009A1641"/>
    <w:rsid w:val="009C475A"/>
    <w:rsid w:val="009C7E01"/>
    <w:rsid w:val="009D5AD1"/>
    <w:rsid w:val="009D5E5F"/>
    <w:rsid w:val="009E2955"/>
    <w:rsid w:val="009E2F0E"/>
    <w:rsid w:val="009F7478"/>
    <w:rsid w:val="009F7970"/>
    <w:rsid w:val="00A0634F"/>
    <w:rsid w:val="00A0669B"/>
    <w:rsid w:val="00A1055F"/>
    <w:rsid w:val="00A12D37"/>
    <w:rsid w:val="00A13D06"/>
    <w:rsid w:val="00A25497"/>
    <w:rsid w:val="00A3418D"/>
    <w:rsid w:val="00A42606"/>
    <w:rsid w:val="00A471FA"/>
    <w:rsid w:val="00A50898"/>
    <w:rsid w:val="00A56BB4"/>
    <w:rsid w:val="00A62233"/>
    <w:rsid w:val="00A626BF"/>
    <w:rsid w:val="00A64A14"/>
    <w:rsid w:val="00A732C5"/>
    <w:rsid w:val="00A91FAA"/>
    <w:rsid w:val="00A95EEA"/>
    <w:rsid w:val="00AD154F"/>
    <w:rsid w:val="00AE02E2"/>
    <w:rsid w:val="00AE30A7"/>
    <w:rsid w:val="00AF17E1"/>
    <w:rsid w:val="00B01ED9"/>
    <w:rsid w:val="00B04197"/>
    <w:rsid w:val="00B07C93"/>
    <w:rsid w:val="00B30E09"/>
    <w:rsid w:val="00B3377B"/>
    <w:rsid w:val="00B36E1B"/>
    <w:rsid w:val="00B5538E"/>
    <w:rsid w:val="00B55636"/>
    <w:rsid w:val="00B56EE5"/>
    <w:rsid w:val="00B606BA"/>
    <w:rsid w:val="00B61F3B"/>
    <w:rsid w:val="00B64609"/>
    <w:rsid w:val="00B7769F"/>
    <w:rsid w:val="00B87F71"/>
    <w:rsid w:val="00BA36C6"/>
    <w:rsid w:val="00BB4873"/>
    <w:rsid w:val="00BB61D5"/>
    <w:rsid w:val="00BB7248"/>
    <w:rsid w:val="00BC0514"/>
    <w:rsid w:val="00BC12CF"/>
    <w:rsid w:val="00BC1D0F"/>
    <w:rsid w:val="00BD04AE"/>
    <w:rsid w:val="00BD1FEE"/>
    <w:rsid w:val="00BD2B87"/>
    <w:rsid w:val="00BE0D15"/>
    <w:rsid w:val="00BE747F"/>
    <w:rsid w:val="00BE7D81"/>
    <w:rsid w:val="00BF0606"/>
    <w:rsid w:val="00C00EAA"/>
    <w:rsid w:val="00C11B3F"/>
    <w:rsid w:val="00C13167"/>
    <w:rsid w:val="00C134E1"/>
    <w:rsid w:val="00C13C75"/>
    <w:rsid w:val="00C20D3E"/>
    <w:rsid w:val="00C21C2E"/>
    <w:rsid w:val="00C26281"/>
    <w:rsid w:val="00C2781A"/>
    <w:rsid w:val="00C4243A"/>
    <w:rsid w:val="00C4396C"/>
    <w:rsid w:val="00C51D0C"/>
    <w:rsid w:val="00C55683"/>
    <w:rsid w:val="00C5697F"/>
    <w:rsid w:val="00C56D17"/>
    <w:rsid w:val="00C57C36"/>
    <w:rsid w:val="00C650D7"/>
    <w:rsid w:val="00C71D64"/>
    <w:rsid w:val="00C7636C"/>
    <w:rsid w:val="00C82FBA"/>
    <w:rsid w:val="00C92A02"/>
    <w:rsid w:val="00CA0043"/>
    <w:rsid w:val="00CA4114"/>
    <w:rsid w:val="00CA7726"/>
    <w:rsid w:val="00CB210E"/>
    <w:rsid w:val="00CB75AE"/>
    <w:rsid w:val="00CC6E50"/>
    <w:rsid w:val="00CC7AAD"/>
    <w:rsid w:val="00CD1104"/>
    <w:rsid w:val="00CD1E68"/>
    <w:rsid w:val="00CF668F"/>
    <w:rsid w:val="00CF7561"/>
    <w:rsid w:val="00D04B8B"/>
    <w:rsid w:val="00D06C86"/>
    <w:rsid w:val="00D115A6"/>
    <w:rsid w:val="00D124F5"/>
    <w:rsid w:val="00D22CBB"/>
    <w:rsid w:val="00D23318"/>
    <w:rsid w:val="00D43175"/>
    <w:rsid w:val="00D455EB"/>
    <w:rsid w:val="00D47942"/>
    <w:rsid w:val="00D6039F"/>
    <w:rsid w:val="00D64298"/>
    <w:rsid w:val="00D87C65"/>
    <w:rsid w:val="00DA7BCE"/>
    <w:rsid w:val="00DB04A4"/>
    <w:rsid w:val="00DC2152"/>
    <w:rsid w:val="00DC27EE"/>
    <w:rsid w:val="00DC42DB"/>
    <w:rsid w:val="00DC58A1"/>
    <w:rsid w:val="00DD5865"/>
    <w:rsid w:val="00DF15FC"/>
    <w:rsid w:val="00DF3201"/>
    <w:rsid w:val="00E00542"/>
    <w:rsid w:val="00E1417F"/>
    <w:rsid w:val="00E15017"/>
    <w:rsid w:val="00E26666"/>
    <w:rsid w:val="00E44987"/>
    <w:rsid w:val="00E46846"/>
    <w:rsid w:val="00E473DA"/>
    <w:rsid w:val="00E5131F"/>
    <w:rsid w:val="00E6070B"/>
    <w:rsid w:val="00E63479"/>
    <w:rsid w:val="00E63AAC"/>
    <w:rsid w:val="00E77B9D"/>
    <w:rsid w:val="00E77D97"/>
    <w:rsid w:val="00E863C2"/>
    <w:rsid w:val="00E94150"/>
    <w:rsid w:val="00E959AE"/>
    <w:rsid w:val="00EB583F"/>
    <w:rsid w:val="00EB75C2"/>
    <w:rsid w:val="00EC0486"/>
    <w:rsid w:val="00EC4BF1"/>
    <w:rsid w:val="00EC5854"/>
    <w:rsid w:val="00EC5B00"/>
    <w:rsid w:val="00EE2308"/>
    <w:rsid w:val="00EE50BA"/>
    <w:rsid w:val="00EE780C"/>
    <w:rsid w:val="00EF045C"/>
    <w:rsid w:val="00F153E6"/>
    <w:rsid w:val="00F1638B"/>
    <w:rsid w:val="00F16504"/>
    <w:rsid w:val="00F27636"/>
    <w:rsid w:val="00F27703"/>
    <w:rsid w:val="00F344B1"/>
    <w:rsid w:val="00F34B8A"/>
    <w:rsid w:val="00F52F3E"/>
    <w:rsid w:val="00F71A57"/>
    <w:rsid w:val="00F80FE0"/>
    <w:rsid w:val="00F82851"/>
    <w:rsid w:val="00F85920"/>
    <w:rsid w:val="00F91581"/>
    <w:rsid w:val="00F9462C"/>
    <w:rsid w:val="00F94824"/>
    <w:rsid w:val="00F94AD8"/>
    <w:rsid w:val="00F96FA4"/>
    <w:rsid w:val="00FA68F1"/>
    <w:rsid w:val="00FC3F14"/>
    <w:rsid w:val="00FD2C41"/>
    <w:rsid w:val="00FD6B09"/>
    <w:rsid w:val="00FE624D"/>
    <w:rsid w:val="00FE6344"/>
    <w:rsid w:val="00FF02B7"/>
    <w:rsid w:val="00FF1CCB"/>
    <w:rsid w:val="00FF3DD2"/>
    <w:rsid w:val="00FF5B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CFC78"/>
  <w15:docId w15:val="{9DA33F88-D4A0-43B9-94BB-AF04E896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2"/>
    <w:rPr>
      <w:rFonts w:ascii="Times New Roman" w:eastAsia="Times New Roman" w:hAnsi="Times New Roman" w:cs="Times New Roman"/>
      <w:lang w:val="en-US"/>
    </w:rPr>
  </w:style>
  <w:style w:type="paragraph" w:styleId="Heading1">
    <w:name w:val="heading 1"/>
    <w:basedOn w:val="Normal"/>
    <w:next w:val="Normal"/>
    <w:link w:val="Heading1Char"/>
    <w:qFormat/>
    <w:rsid w:val="00EB75C2"/>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5C2"/>
    <w:rPr>
      <w:rFonts w:ascii="Times New Roman" w:eastAsia="Times New Roman" w:hAnsi="Times New Roman" w:cs="Times New Roman"/>
      <w:b/>
      <w:bCs/>
      <w:sz w:val="18"/>
      <w:lang w:val="en-US"/>
    </w:rPr>
  </w:style>
  <w:style w:type="paragraph" w:styleId="ListParagraph">
    <w:name w:val="List Paragraph"/>
    <w:aliases w:val="Resume Title"/>
    <w:basedOn w:val="Normal"/>
    <w:link w:val="ListParagraphChar"/>
    <w:uiPriority w:val="34"/>
    <w:qFormat/>
    <w:rsid w:val="00EB75C2"/>
    <w:pPr>
      <w:ind w:left="720"/>
    </w:pPr>
  </w:style>
  <w:style w:type="paragraph" w:styleId="Title">
    <w:name w:val="Title"/>
    <w:basedOn w:val="Normal"/>
    <w:link w:val="TitleChar"/>
    <w:qFormat/>
    <w:rsid w:val="00EB75C2"/>
    <w:pPr>
      <w:jc w:val="center"/>
    </w:pPr>
    <w:rPr>
      <w:b/>
      <w:bCs/>
    </w:rPr>
  </w:style>
  <w:style w:type="character" w:customStyle="1" w:styleId="TitleChar">
    <w:name w:val="Title Char"/>
    <w:basedOn w:val="DefaultParagraphFont"/>
    <w:link w:val="Title"/>
    <w:rsid w:val="00EB75C2"/>
    <w:rPr>
      <w:rFonts w:ascii="Times New Roman" w:eastAsia="Times New Roman" w:hAnsi="Times New Roman" w:cs="Times New Roman"/>
      <w:b/>
      <w:bCs/>
      <w:lang w:val="en-US"/>
    </w:rPr>
  </w:style>
  <w:style w:type="paragraph" w:styleId="Footer">
    <w:name w:val="footer"/>
    <w:basedOn w:val="Normal"/>
    <w:link w:val="FooterChar"/>
    <w:uiPriority w:val="99"/>
    <w:rsid w:val="00EB75C2"/>
    <w:pPr>
      <w:tabs>
        <w:tab w:val="center" w:pos="4320"/>
        <w:tab w:val="right" w:pos="8640"/>
      </w:tabs>
      <w:spacing w:after="200" w:line="276" w:lineRule="auto"/>
    </w:pPr>
    <w:rPr>
      <w:rFonts w:ascii="Calibri" w:eastAsia="Calibri" w:hAnsi="Calibri"/>
      <w:sz w:val="20"/>
      <w:szCs w:val="20"/>
    </w:rPr>
  </w:style>
  <w:style w:type="character" w:customStyle="1" w:styleId="FooterChar">
    <w:name w:val="Footer Char"/>
    <w:basedOn w:val="DefaultParagraphFont"/>
    <w:link w:val="Footer"/>
    <w:uiPriority w:val="99"/>
    <w:rsid w:val="00EB75C2"/>
    <w:rPr>
      <w:rFonts w:ascii="Calibri" w:eastAsia="Calibri" w:hAnsi="Calibri" w:cs="Times New Roman"/>
      <w:sz w:val="20"/>
      <w:szCs w:val="20"/>
      <w:lang w:val="en-US"/>
    </w:rPr>
  </w:style>
  <w:style w:type="character" w:styleId="CommentReference">
    <w:name w:val="annotation reference"/>
    <w:basedOn w:val="DefaultParagraphFont"/>
    <w:uiPriority w:val="99"/>
    <w:unhideWhenUsed/>
    <w:qFormat/>
    <w:rsid w:val="001E69B3"/>
    <w:rPr>
      <w:sz w:val="16"/>
      <w:szCs w:val="16"/>
    </w:rPr>
  </w:style>
  <w:style w:type="paragraph" w:styleId="CommentText">
    <w:name w:val="annotation text"/>
    <w:basedOn w:val="Normal"/>
    <w:link w:val="CommentTextChar"/>
    <w:uiPriority w:val="99"/>
    <w:unhideWhenUsed/>
    <w:qFormat/>
    <w:rsid w:val="001E69B3"/>
    <w:rPr>
      <w:sz w:val="20"/>
      <w:szCs w:val="20"/>
    </w:rPr>
  </w:style>
  <w:style w:type="character" w:customStyle="1" w:styleId="CommentTextChar">
    <w:name w:val="Comment Text Char"/>
    <w:basedOn w:val="DefaultParagraphFont"/>
    <w:link w:val="CommentText"/>
    <w:uiPriority w:val="99"/>
    <w:qFormat/>
    <w:rsid w:val="001E69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69B3"/>
    <w:rPr>
      <w:b/>
      <w:bCs/>
    </w:rPr>
  </w:style>
  <w:style w:type="character" w:customStyle="1" w:styleId="CommentSubjectChar">
    <w:name w:val="Comment Subject Char"/>
    <w:basedOn w:val="CommentTextChar"/>
    <w:link w:val="CommentSubject"/>
    <w:uiPriority w:val="99"/>
    <w:semiHidden/>
    <w:rsid w:val="001E69B3"/>
    <w:rPr>
      <w:rFonts w:ascii="Times New Roman" w:eastAsia="Times New Roman" w:hAnsi="Times New Roman" w:cs="Times New Roman"/>
      <w:b/>
      <w:bCs/>
      <w:sz w:val="20"/>
      <w:szCs w:val="20"/>
      <w:lang w:val="en-US"/>
    </w:rPr>
  </w:style>
  <w:style w:type="character" w:customStyle="1" w:styleId="ListParagraphChar">
    <w:name w:val="List Paragraph Char"/>
    <w:aliases w:val="Resume Title Char"/>
    <w:link w:val="ListParagraph"/>
    <w:uiPriority w:val="34"/>
    <w:rsid w:val="00A1055F"/>
    <w:rPr>
      <w:rFonts w:ascii="Times New Roman" w:eastAsia="Times New Roman" w:hAnsi="Times New Roman" w:cs="Times New Roman"/>
      <w:lang w:val="en-US"/>
    </w:rPr>
  </w:style>
  <w:style w:type="paragraph" w:styleId="BodyTextIndent3">
    <w:name w:val="Body Text Indent 3"/>
    <w:basedOn w:val="Normal"/>
    <w:link w:val="BodyTextIndent3Char"/>
    <w:rsid w:val="001B6683"/>
    <w:pPr>
      <w:tabs>
        <w:tab w:val="left" w:pos="360"/>
        <w:tab w:val="left" w:pos="864"/>
      </w:tabs>
      <w:overflowPunct w:val="0"/>
      <w:autoSpaceDE w:val="0"/>
      <w:autoSpaceDN w:val="0"/>
      <w:adjustRightInd w:val="0"/>
      <w:ind w:left="360" w:hanging="360"/>
      <w:textAlignment w:val="baseline"/>
    </w:pPr>
    <w:rPr>
      <w:sz w:val="22"/>
      <w:szCs w:val="20"/>
    </w:rPr>
  </w:style>
  <w:style w:type="character" w:customStyle="1" w:styleId="BodyTextIndent3Char">
    <w:name w:val="Body Text Indent 3 Char"/>
    <w:basedOn w:val="DefaultParagraphFont"/>
    <w:link w:val="BodyTextIndent3"/>
    <w:rsid w:val="001B6683"/>
    <w:rPr>
      <w:rFonts w:ascii="Times New Roman" w:eastAsia="Times New Roman" w:hAnsi="Times New Roman" w:cs="Times New Roman"/>
      <w:sz w:val="22"/>
      <w:szCs w:val="20"/>
      <w:lang w:val="en-US"/>
    </w:rPr>
  </w:style>
  <w:style w:type="paragraph" w:styleId="NoSpacing">
    <w:name w:val="No Spacing"/>
    <w:uiPriority w:val="1"/>
    <w:qFormat/>
    <w:rsid w:val="00705623"/>
    <w:pPr>
      <w:suppressAutoHyphens/>
    </w:pPr>
    <w:rPr>
      <w:rFonts w:ascii="Times New Roman" w:eastAsia="Times New Roman" w:hAnsi="Times New Roman" w:cs="Times New Roman"/>
      <w:lang w:val="en-US" w:eastAsia="ar-SA"/>
    </w:rPr>
  </w:style>
  <w:style w:type="paragraph" w:styleId="BalloonText">
    <w:name w:val="Balloon Text"/>
    <w:basedOn w:val="Normal"/>
    <w:link w:val="BalloonTextChar"/>
    <w:uiPriority w:val="99"/>
    <w:semiHidden/>
    <w:unhideWhenUsed/>
    <w:rsid w:val="00B01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D9"/>
    <w:rPr>
      <w:rFonts w:ascii="Segoe UI" w:eastAsia="Times New Roman" w:hAnsi="Segoe UI" w:cs="Segoe UI"/>
      <w:sz w:val="18"/>
      <w:szCs w:val="18"/>
      <w:lang w:val="en-US"/>
    </w:rPr>
  </w:style>
  <w:style w:type="paragraph" w:styleId="Header">
    <w:name w:val="header"/>
    <w:basedOn w:val="Normal"/>
    <w:link w:val="HeaderChar"/>
    <w:uiPriority w:val="99"/>
    <w:unhideWhenUsed/>
    <w:rsid w:val="00923641"/>
    <w:pPr>
      <w:tabs>
        <w:tab w:val="center" w:pos="4680"/>
        <w:tab w:val="right" w:pos="9360"/>
      </w:tabs>
    </w:pPr>
  </w:style>
  <w:style w:type="character" w:customStyle="1" w:styleId="HeaderChar">
    <w:name w:val="Header Char"/>
    <w:basedOn w:val="DefaultParagraphFont"/>
    <w:link w:val="Header"/>
    <w:uiPriority w:val="99"/>
    <w:rsid w:val="00923641"/>
    <w:rPr>
      <w:rFonts w:ascii="Times New Roman" w:eastAsia="Times New Roman" w:hAnsi="Times New Roman" w:cs="Times New Roman"/>
      <w:lang w:val="en-US"/>
    </w:rPr>
  </w:style>
  <w:style w:type="paragraph" w:styleId="BodyText">
    <w:name w:val="Body Text"/>
    <w:basedOn w:val="Normal"/>
    <w:link w:val="BodyTextChar"/>
    <w:uiPriority w:val="99"/>
    <w:unhideWhenUsed/>
    <w:rsid w:val="00431470"/>
    <w:pPr>
      <w:spacing w:after="120"/>
    </w:pPr>
  </w:style>
  <w:style w:type="character" w:customStyle="1" w:styleId="BodyTextChar">
    <w:name w:val="Body Text Char"/>
    <w:basedOn w:val="DefaultParagraphFont"/>
    <w:link w:val="BodyText"/>
    <w:uiPriority w:val="99"/>
    <w:rsid w:val="00431470"/>
    <w:rPr>
      <w:rFonts w:ascii="Times New Roman" w:eastAsia="Times New Roman" w:hAnsi="Times New Roman" w:cs="Times New Roman"/>
      <w:lang w:val="en-US"/>
    </w:rPr>
  </w:style>
  <w:style w:type="paragraph" w:styleId="Revision">
    <w:name w:val="Revision"/>
    <w:hidden/>
    <w:uiPriority w:val="99"/>
    <w:semiHidden/>
    <w:rsid w:val="00B07C93"/>
    <w:rPr>
      <w:rFonts w:ascii="Times New Roman" w:eastAsia="Times New Roman" w:hAnsi="Times New Roman" w:cs="Times New Roman"/>
      <w:lang w:val="en-US"/>
    </w:rPr>
  </w:style>
  <w:style w:type="paragraph" w:styleId="NormalWeb">
    <w:name w:val="Normal (Web)"/>
    <w:basedOn w:val="Normal"/>
    <w:uiPriority w:val="99"/>
    <w:unhideWhenUsed/>
    <w:qFormat/>
    <w:rsid w:val="00165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32200">
      <w:bodyDiv w:val="1"/>
      <w:marLeft w:val="0"/>
      <w:marRight w:val="0"/>
      <w:marTop w:val="0"/>
      <w:marBottom w:val="0"/>
      <w:divBdr>
        <w:top w:val="none" w:sz="0" w:space="0" w:color="auto"/>
        <w:left w:val="none" w:sz="0" w:space="0" w:color="auto"/>
        <w:bottom w:val="none" w:sz="0" w:space="0" w:color="auto"/>
        <w:right w:val="none" w:sz="0" w:space="0" w:color="auto"/>
      </w:divBdr>
    </w:div>
    <w:div w:id="19421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Independent Auditor's Report</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dc:title>
  <dc:creator>COA - AFP Retirement and Separation Benefits System</dc:creator>
  <cp:keywords/>
  <cp:lastModifiedBy>Evy Rose L. Lacanlale</cp:lastModifiedBy>
  <cp:revision>4</cp:revision>
  <cp:lastPrinted>2023-05-18T05:38:00Z</cp:lastPrinted>
  <dcterms:created xsi:type="dcterms:W3CDTF">2023-05-23T06:49:00Z</dcterms:created>
  <dcterms:modified xsi:type="dcterms:W3CDTF">2023-05-25T05:32:00Z</dcterms:modified>
</cp:coreProperties>
</file>