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7CF83" w14:textId="77777777" w:rsidR="00132627" w:rsidRPr="00C6771F" w:rsidRDefault="00132627">
      <w:pPr>
        <w:tabs>
          <w:tab w:val="left" w:pos="3600"/>
        </w:tabs>
        <w:jc w:val="center"/>
        <w:rPr>
          <w:rFonts w:ascii="Arial" w:hAnsi="Arial" w:cs="Arial"/>
          <w:b/>
          <w:sz w:val="22"/>
          <w:szCs w:val="22"/>
        </w:rPr>
      </w:pPr>
      <w:r w:rsidRPr="00C6771F">
        <w:rPr>
          <w:rFonts w:ascii="Arial" w:hAnsi="Arial" w:cs="Arial"/>
          <w:b/>
          <w:sz w:val="22"/>
          <w:szCs w:val="22"/>
        </w:rPr>
        <w:t>EXECUTIVE SUMMARY</w:t>
      </w:r>
    </w:p>
    <w:p w14:paraId="2F308359" w14:textId="77777777" w:rsidR="00132627" w:rsidRPr="00C6771F" w:rsidRDefault="00132627">
      <w:pPr>
        <w:rPr>
          <w:rFonts w:ascii="Arial" w:hAnsi="Arial" w:cs="Arial"/>
          <w:b/>
          <w:sz w:val="22"/>
          <w:szCs w:val="22"/>
        </w:rPr>
      </w:pPr>
    </w:p>
    <w:p w14:paraId="732BADFF" w14:textId="77777777" w:rsidR="000541D9" w:rsidRPr="00C6771F" w:rsidRDefault="000541D9">
      <w:pPr>
        <w:rPr>
          <w:rFonts w:ascii="Arial" w:hAnsi="Arial" w:cs="Arial"/>
          <w:b/>
          <w:sz w:val="22"/>
          <w:szCs w:val="22"/>
        </w:rPr>
      </w:pPr>
    </w:p>
    <w:p w14:paraId="6DBEF71C" w14:textId="77777777" w:rsidR="00132627" w:rsidRPr="00C6771F" w:rsidRDefault="00132627">
      <w:pPr>
        <w:rPr>
          <w:rFonts w:ascii="Arial" w:hAnsi="Arial" w:cs="Arial"/>
          <w:b/>
          <w:sz w:val="22"/>
          <w:szCs w:val="22"/>
        </w:rPr>
      </w:pPr>
      <w:r w:rsidRPr="00C6771F">
        <w:rPr>
          <w:rFonts w:ascii="Arial" w:hAnsi="Arial" w:cs="Arial"/>
          <w:b/>
          <w:sz w:val="22"/>
          <w:szCs w:val="22"/>
        </w:rPr>
        <w:t>INTRODUCTION</w:t>
      </w:r>
    </w:p>
    <w:p w14:paraId="521AE787" w14:textId="77777777" w:rsidR="00132627" w:rsidRPr="00C6771F" w:rsidRDefault="00132627">
      <w:pPr>
        <w:rPr>
          <w:rFonts w:ascii="Arial" w:hAnsi="Arial" w:cs="Arial"/>
          <w:b/>
          <w:sz w:val="22"/>
          <w:szCs w:val="22"/>
        </w:rPr>
      </w:pPr>
    </w:p>
    <w:p w14:paraId="6D3117B5" w14:textId="1B707126" w:rsidR="00132627" w:rsidRPr="00C6771F" w:rsidRDefault="00F45988" w:rsidP="00AD6772">
      <w:pPr>
        <w:pStyle w:val="NoSpacing"/>
        <w:jc w:val="both"/>
        <w:rPr>
          <w:rFonts w:ascii="Arial" w:hAnsi="Arial" w:cs="Arial"/>
          <w:sz w:val="22"/>
          <w:szCs w:val="22"/>
        </w:rPr>
      </w:pPr>
      <w:r w:rsidRPr="00C6771F">
        <w:rPr>
          <w:rFonts w:ascii="Arial" w:hAnsi="Arial" w:cs="Arial"/>
          <w:sz w:val="22"/>
          <w:szCs w:val="22"/>
        </w:rPr>
        <w:t xml:space="preserve">The Armed Forces of the Philippines Retirement </w:t>
      </w:r>
      <w:r w:rsidR="00132627" w:rsidRPr="00C6771F">
        <w:rPr>
          <w:rFonts w:ascii="Arial" w:hAnsi="Arial" w:cs="Arial"/>
          <w:sz w:val="22"/>
          <w:szCs w:val="22"/>
        </w:rPr>
        <w:t>and Separ</w:t>
      </w:r>
      <w:r w:rsidRPr="00C6771F">
        <w:rPr>
          <w:rFonts w:ascii="Arial" w:hAnsi="Arial" w:cs="Arial"/>
          <w:sz w:val="22"/>
          <w:szCs w:val="22"/>
        </w:rPr>
        <w:t>ation Benefits System (AFPRSBS</w:t>
      </w:r>
      <w:r w:rsidR="00973467" w:rsidRPr="00C6771F">
        <w:rPr>
          <w:rFonts w:ascii="Arial" w:hAnsi="Arial" w:cs="Arial"/>
          <w:sz w:val="22"/>
          <w:szCs w:val="22"/>
        </w:rPr>
        <w:t xml:space="preserve"> or the “System” for brevity</w:t>
      </w:r>
      <w:r w:rsidRPr="00C6771F">
        <w:rPr>
          <w:rFonts w:ascii="Arial" w:hAnsi="Arial" w:cs="Arial"/>
          <w:sz w:val="22"/>
          <w:szCs w:val="22"/>
        </w:rPr>
        <w:t xml:space="preserve">) </w:t>
      </w:r>
      <w:r w:rsidR="00132627" w:rsidRPr="00C6771F">
        <w:rPr>
          <w:rFonts w:ascii="Arial" w:hAnsi="Arial" w:cs="Arial"/>
          <w:sz w:val="22"/>
          <w:szCs w:val="22"/>
        </w:rPr>
        <w:t>was created by virtue of P</w:t>
      </w:r>
      <w:r w:rsidRPr="00C6771F">
        <w:rPr>
          <w:rFonts w:ascii="Arial" w:hAnsi="Arial" w:cs="Arial"/>
          <w:sz w:val="22"/>
          <w:szCs w:val="22"/>
        </w:rPr>
        <w:t>residential Decree (PD) No. 361</w:t>
      </w:r>
      <w:r w:rsidR="00132627" w:rsidRPr="00C6771F">
        <w:rPr>
          <w:rFonts w:ascii="Arial" w:hAnsi="Arial" w:cs="Arial"/>
          <w:sz w:val="22"/>
          <w:szCs w:val="22"/>
        </w:rPr>
        <w:t xml:space="preserve"> </w:t>
      </w:r>
      <w:r w:rsidRPr="00C6771F">
        <w:rPr>
          <w:rFonts w:ascii="Arial" w:hAnsi="Arial" w:cs="Arial"/>
          <w:sz w:val="22"/>
          <w:szCs w:val="22"/>
        </w:rPr>
        <w:t>dated</w:t>
      </w:r>
      <w:r w:rsidR="00132627" w:rsidRPr="00C6771F">
        <w:rPr>
          <w:rFonts w:ascii="Arial" w:hAnsi="Arial" w:cs="Arial"/>
          <w:sz w:val="22"/>
          <w:szCs w:val="22"/>
        </w:rPr>
        <w:t xml:space="preserve"> December 30, 1973</w:t>
      </w:r>
      <w:r w:rsidRPr="00C6771F">
        <w:rPr>
          <w:rFonts w:ascii="Arial" w:hAnsi="Arial" w:cs="Arial"/>
          <w:sz w:val="22"/>
          <w:szCs w:val="22"/>
        </w:rPr>
        <w:t xml:space="preserve"> and started </w:t>
      </w:r>
      <w:r w:rsidR="00DC20E2" w:rsidRPr="00C6771F">
        <w:rPr>
          <w:rFonts w:ascii="Arial" w:hAnsi="Arial" w:cs="Arial"/>
          <w:sz w:val="22"/>
          <w:szCs w:val="22"/>
        </w:rPr>
        <w:t xml:space="preserve">its </w:t>
      </w:r>
      <w:r w:rsidRPr="00C6771F">
        <w:rPr>
          <w:rFonts w:ascii="Arial" w:hAnsi="Arial" w:cs="Arial"/>
          <w:sz w:val="22"/>
          <w:szCs w:val="22"/>
        </w:rPr>
        <w:t xml:space="preserve">operations in 1976. </w:t>
      </w:r>
      <w:r w:rsidR="00FE14B7" w:rsidRPr="00C6771F">
        <w:rPr>
          <w:rFonts w:ascii="Arial" w:hAnsi="Arial" w:cs="Arial"/>
          <w:sz w:val="22"/>
          <w:szCs w:val="22"/>
        </w:rPr>
        <w:t xml:space="preserve"> </w:t>
      </w:r>
      <w:r w:rsidR="0008464A" w:rsidRPr="00C6771F">
        <w:rPr>
          <w:rFonts w:ascii="Arial" w:hAnsi="Arial" w:cs="Arial"/>
          <w:sz w:val="22"/>
          <w:szCs w:val="22"/>
        </w:rPr>
        <w:t xml:space="preserve">The </w:t>
      </w:r>
      <w:r w:rsidR="00D478A5" w:rsidRPr="00C6771F">
        <w:rPr>
          <w:rFonts w:ascii="Arial" w:hAnsi="Arial" w:cs="Arial"/>
          <w:sz w:val="22"/>
          <w:szCs w:val="22"/>
        </w:rPr>
        <w:t>System</w:t>
      </w:r>
      <w:r w:rsidR="00132627" w:rsidRPr="00C6771F">
        <w:rPr>
          <w:rFonts w:ascii="Arial" w:hAnsi="Arial" w:cs="Arial"/>
          <w:sz w:val="22"/>
          <w:szCs w:val="22"/>
        </w:rPr>
        <w:t xml:space="preserve"> was established as a funding mechanism to ensure the continuous payment of retirement and separation benefits to the members of the </w:t>
      </w:r>
      <w:r w:rsidRPr="00C6771F">
        <w:rPr>
          <w:rFonts w:ascii="Arial" w:hAnsi="Arial" w:cs="Arial"/>
          <w:sz w:val="22"/>
          <w:szCs w:val="22"/>
        </w:rPr>
        <w:t xml:space="preserve">AFP. </w:t>
      </w:r>
      <w:r w:rsidR="00FE14B7" w:rsidRPr="00C6771F">
        <w:rPr>
          <w:rFonts w:ascii="Arial" w:hAnsi="Arial" w:cs="Arial"/>
          <w:sz w:val="22"/>
          <w:szCs w:val="22"/>
        </w:rPr>
        <w:t xml:space="preserve"> </w:t>
      </w:r>
      <w:r w:rsidRPr="00C6771F">
        <w:rPr>
          <w:rFonts w:ascii="Arial" w:hAnsi="Arial" w:cs="Arial"/>
          <w:sz w:val="22"/>
          <w:szCs w:val="22"/>
        </w:rPr>
        <w:t xml:space="preserve">To strengthen </w:t>
      </w:r>
      <w:r w:rsidR="0008464A" w:rsidRPr="00C6771F">
        <w:rPr>
          <w:rFonts w:ascii="Arial" w:hAnsi="Arial" w:cs="Arial"/>
          <w:sz w:val="22"/>
          <w:szCs w:val="22"/>
        </w:rPr>
        <w:t xml:space="preserve">the </w:t>
      </w:r>
      <w:r w:rsidR="00D478A5" w:rsidRPr="00C6771F">
        <w:rPr>
          <w:rFonts w:ascii="Arial" w:hAnsi="Arial" w:cs="Arial"/>
          <w:sz w:val="22"/>
          <w:szCs w:val="22"/>
        </w:rPr>
        <w:t>System</w:t>
      </w:r>
      <w:r w:rsidRPr="00C6771F">
        <w:rPr>
          <w:rFonts w:ascii="Arial" w:hAnsi="Arial" w:cs="Arial"/>
          <w:sz w:val="22"/>
          <w:szCs w:val="22"/>
        </w:rPr>
        <w:t>, c</w:t>
      </w:r>
      <w:r w:rsidR="00132627" w:rsidRPr="00C6771F">
        <w:rPr>
          <w:rFonts w:ascii="Arial" w:hAnsi="Arial" w:cs="Arial"/>
          <w:sz w:val="22"/>
          <w:szCs w:val="22"/>
        </w:rPr>
        <w:t xml:space="preserve">ertain provisions of PD </w:t>
      </w:r>
      <w:r w:rsidRPr="00C6771F">
        <w:rPr>
          <w:rFonts w:ascii="Arial" w:hAnsi="Arial" w:cs="Arial"/>
          <w:sz w:val="22"/>
          <w:szCs w:val="22"/>
        </w:rPr>
        <w:t xml:space="preserve">No. </w:t>
      </w:r>
      <w:r w:rsidR="00132627" w:rsidRPr="00C6771F">
        <w:rPr>
          <w:rFonts w:ascii="Arial" w:hAnsi="Arial" w:cs="Arial"/>
          <w:sz w:val="22"/>
          <w:szCs w:val="22"/>
        </w:rPr>
        <w:t>361 pertaining to membership and rate of contributions were amended by PD</w:t>
      </w:r>
      <w:r w:rsidR="007A2B7F" w:rsidRPr="00C6771F">
        <w:rPr>
          <w:rFonts w:ascii="Arial" w:hAnsi="Arial" w:cs="Arial"/>
          <w:sz w:val="22"/>
          <w:szCs w:val="22"/>
        </w:rPr>
        <w:t xml:space="preserve"> No.</w:t>
      </w:r>
      <w:r w:rsidR="0049159A" w:rsidRPr="00C6771F">
        <w:rPr>
          <w:rFonts w:ascii="Arial" w:hAnsi="Arial" w:cs="Arial"/>
          <w:sz w:val="22"/>
          <w:szCs w:val="22"/>
        </w:rPr>
        <w:t xml:space="preserve"> </w:t>
      </w:r>
      <w:r w:rsidR="00132627" w:rsidRPr="00C6771F">
        <w:rPr>
          <w:rFonts w:ascii="Arial" w:hAnsi="Arial" w:cs="Arial"/>
          <w:sz w:val="22"/>
          <w:szCs w:val="22"/>
        </w:rPr>
        <w:t xml:space="preserve">1656 dated December 21, 1979 and PD </w:t>
      </w:r>
      <w:r w:rsidR="007A2B7F" w:rsidRPr="00C6771F">
        <w:rPr>
          <w:rFonts w:ascii="Arial" w:hAnsi="Arial" w:cs="Arial"/>
          <w:sz w:val="22"/>
          <w:szCs w:val="22"/>
        </w:rPr>
        <w:t xml:space="preserve">No. </w:t>
      </w:r>
      <w:r w:rsidRPr="00C6771F">
        <w:rPr>
          <w:rFonts w:ascii="Arial" w:hAnsi="Arial" w:cs="Arial"/>
          <w:sz w:val="22"/>
          <w:szCs w:val="22"/>
        </w:rPr>
        <w:t>1909 dated March 22, 1984.</w:t>
      </w:r>
    </w:p>
    <w:p w14:paraId="0F6769A7" w14:textId="77777777" w:rsidR="00132627" w:rsidRPr="00C6771F" w:rsidRDefault="00132627" w:rsidP="00AD6772">
      <w:pPr>
        <w:pStyle w:val="NoSpacing"/>
        <w:jc w:val="both"/>
        <w:rPr>
          <w:rFonts w:ascii="Arial" w:hAnsi="Arial" w:cs="Arial"/>
          <w:sz w:val="22"/>
          <w:szCs w:val="22"/>
        </w:rPr>
      </w:pPr>
    </w:p>
    <w:p w14:paraId="0D4CD88E" w14:textId="49AD8B13" w:rsidR="00132627" w:rsidRPr="00C6771F" w:rsidRDefault="00F45988" w:rsidP="00AD6772">
      <w:pPr>
        <w:pStyle w:val="NoSpacing"/>
        <w:jc w:val="both"/>
        <w:rPr>
          <w:rFonts w:ascii="Arial" w:hAnsi="Arial" w:cs="Arial"/>
          <w:sz w:val="22"/>
          <w:szCs w:val="22"/>
        </w:rPr>
      </w:pPr>
      <w:r w:rsidRPr="00C6771F">
        <w:rPr>
          <w:rFonts w:ascii="Arial" w:hAnsi="Arial" w:cs="Arial"/>
          <w:sz w:val="22"/>
          <w:szCs w:val="22"/>
        </w:rPr>
        <w:t xml:space="preserve">The </w:t>
      </w:r>
      <w:r w:rsidR="00D478A5" w:rsidRPr="00C6771F">
        <w:rPr>
          <w:rFonts w:ascii="Arial" w:hAnsi="Arial" w:cs="Arial"/>
          <w:sz w:val="22"/>
          <w:szCs w:val="22"/>
        </w:rPr>
        <w:t>System</w:t>
      </w:r>
      <w:r w:rsidR="00132627" w:rsidRPr="00C6771F">
        <w:rPr>
          <w:rFonts w:ascii="Arial" w:hAnsi="Arial" w:cs="Arial"/>
          <w:sz w:val="22"/>
          <w:szCs w:val="22"/>
        </w:rPr>
        <w:t xml:space="preserve"> is engaged in various business operations which include the management of funds invested in the stock market, money market, government bonds, corporate loans</w:t>
      </w:r>
      <w:r w:rsidR="00363178" w:rsidRPr="00C6771F">
        <w:rPr>
          <w:rFonts w:ascii="Arial" w:hAnsi="Arial" w:cs="Arial"/>
          <w:sz w:val="22"/>
          <w:szCs w:val="22"/>
        </w:rPr>
        <w:t>, consumer/member loans</w:t>
      </w:r>
      <w:r w:rsidR="00132627" w:rsidRPr="00C6771F">
        <w:rPr>
          <w:rFonts w:ascii="Arial" w:hAnsi="Arial" w:cs="Arial"/>
          <w:sz w:val="22"/>
          <w:szCs w:val="22"/>
        </w:rPr>
        <w:t xml:space="preserve">, real estate properties and equity holdings in subsidiaries and associates.  It also has interests and participation in real estate projects involving the development and construction of commercial and subdivision projects, memorial parks, golf courses, and, for some, in partnership with reputable real estate developers.  In the course of </w:t>
      </w:r>
      <w:r w:rsidRPr="00C6771F">
        <w:rPr>
          <w:rFonts w:ascii="Arial" w:hAnsi="Arial" w:cs="Arial"/>
          <w:sz w:val="22"/>
          <w:szCs w:val="22"/>
        </w:rPr>
        <w:t>its</w:t>
      </w:r>
      <w:r w:rsidR="00132627" w:rsidRPr="00C6771F">
        <w:rPr>
          <w:rFonts w:ascii="Arial" w:hAnsi="Arial" w:cs="Arial"/>
          <w:sz w:val="22"/>
          <w:szCs w:val="22"/>
        </w:rPr>
        <w:t xml:space="preserve"> lending operations, </w:t>
      </w:r>
      <w:r w:rsidR="0008464A" w:rsidRPr="00C6771F">
        <w:rPr>
          <w:rFonts w:ascii="Arial" w:hAnsi="Arial" w:cs="Arial"/>
          <w:sz w:val="22"/>
          <w:szCs w:val="22"/>
        </w:rPr>
        <w:t xml:space="preserve">the </w:t>
      </w:r>
      <w:r w:rsidR="000541D9" w:rsidRPr="00C6771F">
        <w:rPr>
          <w:rFonts w:ascii="Arial" w:hAnsi="Arial" w:cs="Arial"/>
          <w:sz w:val="22"/>
          <w:szCs w:val="22"/>
        </w:rPr>
        <w:t>System</w:t>
      </w:r>
      <w:r w:rsidR="00132627" w:rsidRPr="00C6771F">
        <w:rPr>
          <w:rFonts w:ascii="Arial" w:hAnsi="Arial" w:cs="Arial"/>
          <w:sz w:val="22"/>
          <w:szCs w:val="22"/>
        </w:rPr>
        <w:t xml:space="preserve"> also acquires through foreclosure proceedings and </w:t>
      </w:r>
      <w:r w:rsidR="00132627" w:rsidRPr="00FA2C69">
        <w:rPr>
          <w:rFonts w:ascii="Arial" w:hAnsi="Arial" w:cs="Arial"/>
          <w:i/>
          <w:sz w:val="22"/>
          <w:szCs w:val="22"/>
        </w:rPr>
        <w:t>dacion en pago</w:t>
      </w:r>
      <w:r w:rsidR="00132627" w:rsidRPr="00C6771F">
        <w:rPr>
          <w:rFonts w:ascii="Arial" w:hAnsi="Arial" w:cs="Arial"/>
          <w:sz w:val="22"/>
          <w:szCs w:val="22"/>
        </w:rPr>
        <w:t xml:space="preserve"> arrangements, mortgaged real estate properties as payment for the full or partial settlement</w:t>
      </w:r>
      <w:r w:rsidRPr="00C6771F">
        <w:rPr>
          <w:rFonts w:ascii="Arial" w:hAnsi="Arial" w:cs="Arial"/>
          <w:sz w:val="22"/>
          <w:szCs w:val="22"/>
        </w:rPr>
        <w:t xml:space="preserve"> of the loan obligations of its</w:t>
      </w:r>
      <w:r w:rsidR="00132627" w:rsidRPr="00C6771F">
        <w:rPr>
          <w:rFonts w:ascii="Arial" w:hAnsi="Arial" w:cs="Arial"/>
          <w:sz w:val="22"/>
          <w:szCs w:val="22"/>
        </w:rPr>
        <w:t xml:space="preserve"> borrowers.  The inventory of developed lots, condominium units and acquired assets are being offered for sale to the military personnel and to t</w:t>
      </w:r>
      <w:r w:rsidRPr="00C6771F">
        <w:rPr>
          <w:rFonts w:ascii="Arial" w:hAnsi="Arial" w:cs="Arial"/>
          <w:sz w:val="22"/>
          <w:szCs w:val="22"/>
        </w:rPr>
        <w:t>he public as well to recoup its</w:t>
      </w:r>
      <w:r w:rsidR="00132627" w:rsidRPr="00C6771F">
        <w:rPr>
          <w:rFonts w:ascii="Arial" w:hAnsi="Arial" w:cs="Arial"/>
          <w:sz w:val="22"/>
          <w:szCs w:val="22"/>
        </w:rPr>
        <w:t xml:space="preserve"> principal investments.</w:t>
      </w:r>
    </w:p>
    <w:p w14:paraId="581C6B7E" w14:textId="77777777" w:rsidR="00132627" w:rsidRPr="00C6771F" w:rsidRDefault="00132627" w:rsidP="00AD6772">
      <w:pPr>
        <w:pStyle w:val="NoSpacing"/>
        <w:jc w:val="both"/>
        <w:rPr>
          <w:rFonts w:ascii="Arial" w:hAnsi="Arial" w:cs="Arial"/>
          <w:sz w:val="22"/>
          <w:szCs w:val="22"/>
        </w:rPr>
      </w:pPr>
    </w:p>
    <w:p w14:paraId="5554AB8C" w14:textId="543597C5" w:rsidR="00132627" w:rsidRPr="00C6771F" w:rsidRDefault="003E10D7" w:rsidP="00AD6772">
      <w:pPr>
        <w:pStyle w:val="NoSpacing"/>
        <w:jc w:val="both"/>
        <w:rPr>
          <w:rFonts w:ascii="Arial" w:hAnsi="Arial" w:cs="Arial"/>
          <w:sz w:val="22"/>
          <w:szCs w:val="22"/>
        </w:rPr>
      </w:pPr>
      <w:r w:rsidRPr="00C6771F">
        <w:rPr>
          <w:rFonts w:ascii="Arial" w:hAnsi="Arial" w:cs="Arial"/>
          <w:sz w:val="22"/>
          <w:szCs w:val="22"/>
        </w:rPr>
        <w:t>The System was not able to discharge its mandate origin</w:t>
      </w:r>
      <w:r w:rsidR="004F07E2">
        <w:rPr>
          <w:rFonts w:ascii="Arial" w:hAnsi="Arial" w:cs="Arial"/>
          <w:sz w:val="22"/>
          <w:szCs w:val="22"/>
        </w:rPr>
        <w:t>ally set out in PD</w:t>
      </w:r>
      <w:r w:rsidRPr="00C6771F">
        <w:rPr>
          <w:rFonts w:ascii="Arial" w:hAnsi="Arial" w:cs="Arial"/>
          <w:sz w:val="22"/>
          <w:szCs w:val="22"/>
        </w:rPr>
        <w:t xml:space="preserve"> No. 361 because it has not paid a single peso for retirement benefits of the retiring AFP personnel.  All payments of retirement benefits to AFP military personnel, before and after the promulgation of its Charter, have been made from the regular annual appropriation of AFP as set out in the General Appropriation Act (GAA).  Thus, </w:t>
      </w:r>
      <w:r w:rsidR="004F07E2">
        <w:rPr>
          <w:rFonts w:ascii="Arial" w:hAnsi="Arial" w:cs="Arial"/>
          <w:sz w:val="22"/>
          <w:szCs w:val="22"/>
        </w:rPr>
        <w:t>Executive Order (EO</w:t>
      </w:r>
      <w:r w:rsidR="00D13164" w:rsidRPr="00C6771F">
        <w:rPr>
          <w:rFonts w:ascii="Arial" w:hAnsi="Arial" w:cs="Arial"/>
          <w:sz w:val="22"/>
          <w:szCs w:val="22"/>
        </w:rPr>
        <w:t>)</w:t>
      </w:r>
      <w:r w:rsidRPr="00C6771F">
        <w:rPr>
          <w:rFonts w:ascii="Arial" w:hAnsi="Arial" w:cs="Arial"/>
          <w:sz w:val="22"/>
          <w:szCs w:val="22"/>
        </w:rPr>
        <w:t xml:space="preserve"> Nos. 590 and 590A were issued in December 15, 2006 and January 31, 2007, respectively, mandating the deactivation of the AFPRSBS and directing the transfer of its assets in trust to a government financial institution (GFI).</w:t>
      </w:r>
    </w:p>
    <w:p w14:paraId="2C45ED7B" w14:textId="77777777" w:rsidR="00E50DD5" w:rsidRPr="00C6771F" w:rsidRDefault="00E50DD5" w:rsidP="00AD6772">
      <w:pPr>
        <w:pStyle w:val="NoSpacing"/>
        <w:jc w:val="both"/>
        <w:rPr>
          <w:rFonts w:ascii="Arial" w:hAnsi="Arial" w:cs="Arial"/>
          <w:sz w:val="22"/>
          <w:szCs w:val="22"/>
        </w:rPr>
      </w:pPr>
    </w:p>
    <w:p w14:paraId="09A55BFB" w14:textId="630CC94E" w:rsidR="00363178" w:rsidRPr="00C6771F" w:rsidRDefault="00363178" w:rsidP="00DC20E2">
      <w:pPr>
        <w:pStyle w:val="ListParagraph"/>
        <w:widowControl w:val="0"/>
        <w:tabs>
          <w:tab w:val="left" w:pos="720"/>
        </w:tabs>
        <w:ind w:left="0"/>
        <w:jc w:val="both"/>
        <w:rPr>
          <w:rFonts w:ascii="Arial" w:hAnsi="Arial" w:cs="Arial"/>
          <w:sz w:val="22"/>
          <w:szCs w:val="22"/>
        </w:rPr>
      </w:pPr>
      <w:r w:rsidRPr="00C6771F">
        <w:rPr>
          <w:rFonts w:ascii="Arial" w:hAnsi="Arial" w:cs="Arial"/>
          <w:sz w:val="22"/>
          <w:szCs w:val="22"/>
        </w:rPr>
        <w:t>On Apr</w:t>
      </w:r>
      <w:r w:rsidR="004F07E2">
        <w:rPr>
          <w:rFonts w:ascii="Arial" w:hAnsi="Arial" w:cs="Arial"/>
          <w:sz w:val="22"/>
          <w:szCs w:val="22"/>
        </w:rPr>
        <w:t>il 8, 2016, Memorandum Order (MO</w:t>
      </w:r>
      <w:r w:rsidRPr="00C6771F">
        <w:rPr>
          <w:rFonts w:ascii="Arial" w:hAnsi="Arial" w:cs="Arial"/>
          <w:sz w:val="22"/>
          <w:szCs w:val="22"/>
        </w:rPr>
        <w:t>) No. 90, s. 2016 was issued by the Office of the President of the Philippines directing the abolition of the System, privatization of its subsidiaries, and for other purposes.  The System was directe</w:t>
      </w:r>
      <w:r w:rsidR="004F07E2">
        <w:rPr>
          <w:rFonts w:ascii="Arial" w:hAnsi="Arial" w:cs="Arial"/>
          <w:sz w:val="22"/>
          <w:szCs w:val="22"/>
        </w:rPr>
        <w:t>d under Section 3 of the said MO</w:t>
      </w:r>
      <w:r w:rsidRPr="00C6771F">
        <w:rPr>
          <w:rFonts w:ascii="Arial" w:hAnsi="Arial" w:cs="Arial"/>
          <w:sz w:val="22"/>
          <w:szCs w:val="22"/>
        </w:rPr>
        <w:t xml:space="preserve"> to: (a) cease collecting members’ contributions and accrual of interest thereon upon effectivity of the Order; (b) maintain such number of personnel necessary to wind-down its corporate affairs and cease the hiring of new personnel unless approved by the Governance Commission for Government Owned and Controlled Corporations (GCG); (c) collect all indebtedness due to the System; (d) continue a Corporate Operating Budget; (e) for its Board of Trustees (BOT) to act as </w:t>
      </w:r>
      <w:r w:rsidR="00C657D2" w:rsidRPr="00C6771F">
        <w:rPr>
          <w:rFonts w:ascii="Arial" w:hAnsi="Arial" w:cs="Arial"/>
          <w:sz w:val="22"/>
          <w:szCs w:val="22"/>
        </w:rPr>
        <w:t>Board of Liquidators (</w:t>
      </w:r>
      <w:r w:rsidRPr="00C6771F">
        <w:rPr>
          <w:rFonts w:ascii="Arial" w:hAnsi="Arial" w:cs="Arial"/>
          <w:sz w:val="22"/>
          <w:szCs w:val="22"/>
        </w:rPr>
        <w:t>BOL</w:t>
      </w:r>
      <w:r w:rsidR="00C657D2" w:rsidRPr="00C6771F">
        <w:rPr>
          <w:rFonts w:ascii="Arial" w:hAnsi="Arial" w:cs="Arial"/>
          <w:sz w:val="22"/>
          <w:szCs w:val="22"/>
        </w:rPr>
        <w:t>)</w:t>
      </w:r>
      <w:r w:rsidRPr="00C6771F">
        <w:rPr>
          <w:rFonts w:ascii="Arial" w:hAnsi="Arial" w:cs="Arial"/>
          <w:sz w:val="22"/>
          <w:szCs w:val="22"/>
        </w:rPr>
        <w:t xml:space="preserve">; (f) enter into contracts for the purpose of selling all its real estate assets, golf and country club shares; manage, preserve and maintain its buildings, facilities and equipment in line with the winding down activities; complete deliverables to subdivisions; turn over completed subdivisions, and maintenance and preservation of existing projects and properties; (g) pursue activities necessary to perfect ownership of its real estate assets; (h) continue, </w:t>
      </w:r>
      <w:r w:rsidRPr="00C6771F">
        <w:rPr>
          <w:rFonts w:ascii="Arial" w:hAnsi="Arial" w:cs="Arial"/>
          <w:sz w:val="22"/>
          <w:szCs w:val="22"/>
        </w:rPr>
        <w:lastRenderedPageBreak/>
        <w:t>abrogate, and/or re-negotiate existing Joint Venture (JV) Agreements/Contracts, subject to the revised National Economic and Development Authority (NEDA) JV Guidelines; and (i) maintain full power to sue and file complaints for the protection of the rights and interests of the corporation.</w:t>
      </w:r>
    </w:p>
    <w:p w14:paraId="02A96D0B" w14:textId="77777777" w:rsidR="00363178" w:rsidRPr="00C6771F" w:rsidRDefault="00363178" w:rsidP="00DC20E2">
      <w:pPr>
        <w:pStyle w:val="ListParagraph"/>
        <w:widowControl w:val="0"/>
        <w:tabs>
          <w:tab w:val="left" w:pos="720"/>
        </w:tabs>
        <w:ind w:left="0"/>
        <w:jc w:val="both"/>
        <w:rPr>
          <w:rFonts w:ascii="Arial" w:hAnsi="Arial" w:cs="Arial"/>
          <w:sz w:val="22"/>
          <w:szCs w:val="22"/>
        </w:rPr>
      </w:pPr>
    </w:p>
    <w:p w14:paraId="4C932A05" w14:textId="47F01CB6" w:rsidR="00363178" w:rsidRPr="00C6771F" w:rsidRDefault="00363178" w:rsidP="00363178">
      <w:pPr>
        <w:pStyle w:val="ListParagraph"/>
        <w:widowControl w:val="0"/>
        <w:tabs>
          <w:tab w:val="left" w:pos="720"/>
        </w:tabs>
        <w:ind w:left="0"/>
        <w:jc w:val="both"/>
        <w:rPr>
          <w:rFonts w:ascii="Arial" w:hAnsi="Arial" w:cs="Arial"/>
          <w:sz w:val="22"/>
          <w:szCs w:val="22"/>
        </w:rPr>
      </w:pPr>
      <w:r w:rsidRPr="00C6771F">
        <w:rPr>
          <w:rFonts w:ascii="Arial" w:hAnsi="Arial" w:cs="Arial"/>
          <w:sz w:val="22"/>
          <w:szCs w:val="22"/>
        </w:rPr>
        <w:t>T</w:t>
      </w:r>
      <w:r w:rsidR="001037D0">
        <w:rPr>
          <w:rFonts w:ascii="Arial" w:hAnsi="Arial" w:cs="Arial"/>
          <w:sz w:val="22"/>
          <w:szCs w:val="22"/>
        </w:rPr>
        <w:t>o implement the provisions of MO</w:t>
      </w:r>
      <w:r w:rsidRPr="00C6771F">
        <w:rPr>
          <w:rFonts w:ascii="Arial" w:hAnsi="Arial" w:cs="Arial"/>
          <w:sz w:val="22"/>
          <w:szCs w:val="22"/>
        </w:rPr>
        <w:t xml:space="preserve"> No. 90, the GCG shall be assisted by a Technical Working Group (TWG) composed of representatives from the Department of National Defense (DND), Department of Finance (DOF), Department of Budget and Management (DBM), Privatization Management Office (PMO), the System, and the AFP.</w:t>
      </w:r>
    </w:p>
    <w:p w14:paraId="44BFEB2A" w14:textId="77777777" w:rsidR="00363178" w:rsidRPr="00C6771F" w:rsidRDefault="00363178" w:rsidP="00363178">
      <w:pPr>
        <w:pStyle w:val="ListParagraph"/>
        <w:widowControl w:val="0"/>
        <w:tabs>
          <w:tab w:val="left" w:pos="720"/>
        </w:tabs>
        <w:jc w:val="both"/>
        <w:rPr>
          <w:rFonts w:ascii="Arial" w:hAnsi="Arial" w:cs="Arial"/>
          <w:sz w:val="22"/>
          <w:szCs w:val="22"/>
        </w:rPr>
      </w:pPr>
    </w:p>
    <w:p w14:paraId="5C377535" w14:textId="0240FA6B" w:rsidR="00973467" w:rsidRPr="00C6771F" w:rsidRDefault="00363178" w:rsidP="00363178">
      <w:pPr>
        <w:pStyle w:val="ListParagraph"/>
        <w:widowControl w:val="0"/>
        <w:tabs>
          <w:tab w:val="left" w:pos="720"/>
        </w:tabs>
        <w:ind w:left="0"/>
        <w:jc w:val="both"/>
        <w:rPr>
          <w:rFonts w:ascii="Arial" w:hAnsi="Arial" w:cs="Arial"/>
          <w:sz w:val="22"/>
          <w:szCs w:val="22"/>
        </w:rPr>
      </w:pPr>
      <w:r w:rsidRPr="00C6771F">
        <w:rPr>
          <w:rFonts w:ascii="Arial" w:hAnsi="Arial" w:cs="Arial"/>
          <w:sz w:val="22"/>
          <w:szCs w:val="22"/>
        </w:rPr>
        <w:t>On April 19</w:t>
      </w:r>
      <w:r w:rsidR="004F07E2">
        <w:rPr>
          <w:rFonts w:ascii="Arial" w:hAnsi="Arial" w:cs="Arial"/>
          <w:sz w:val="22"/>
          <w:szCs w:val="22"/>
        </w:rPr>
        <w:t>, 2016, pursuant to the above MO</w:t>
      </w:r>
      <w:r w:rsidRPr="00C6771F">
        <w:rPr>
          <w:rFonts w:ascii="Arial" w:hAnsi="Arial" w:cs="Arial"/>
          <w:sz w:val="22"/>
          <w:szCs w:val="22"/>
        </w:rPr>
        <w:t xml:space="preserve">, the System’s BOT already convened as BOL.  The BOL approved in that meeting the stoppage of the collection of five per cent members’ contributions and the accrual of interest on members’ contributions effective March 31, </w:t>
      </w:r>
      <w:r w:rsidR="004F07E2">
        <w:rPr>
          <w:rFonts w:ascii="Arial" w:hAnsi="Arial" w:cs="Arial"/>
          <w:sz w:val="22"/>
          <w:szCs w:val="22"/>
        </w:rPr>
        <w:t>2016 as per Board Resolution (BR</w:t>
      </w:r>
      <w:r w:rsidRPr="00C6771F">
        <w:rPr>
          <w:rFonts w:ascii="Arial" w:hAnsi="Arial" w:cs="Arial"/>
          <w:sz w:val="22"/>
          <w:szCs w:val="22"/>
        </w:rPr>
        <w:t>) No. SPL-01-2016.  In the same meeting, the BOL also approved the continuance of the implementation of the Advance Refund Program to retiring military personnel with approved Order of Retirement from the AFP until the final closure of the System.</w:t>
      </w:r>
      <w:r w:rsidR="00973467" w:rsidRPr="00C6771F">
        <w:rPr>
          <w:rFonts w:ascii="Arial" w:hAnsi="Arial" w:cs="Arial"/>
          <w:sz w:val="22"/>
          <w:szCs w:val="22"/>
        </w:rPr>
        <w:t xml:space="preserve"> </w:t>
      </w:r>
    </w:p>
    <w:p w14:paraId="6CA96F2A" w14:textId="77777777" w:rsidR="00363178" w:rsidRPr="00C6771F" w:rsidRDefault="00363178" w:rsidP="00AD6772">
      <w:pPr>
        <w:pStyle w:val="NoSpacing"/>
        <w:jc w:val="both"/>
        <w:rPr>
          <w:rFonts w:ascii="Arial" w:hAnsi="Arial" w:cs="Arial"/>
          <w:sz w:val="22"/>
          <w:szCs w:val="22"/>
        </w:rPr>
      </w:pPr>
    </w:p>
    <w:p w14:paraId="2CEDF7E8" w14:textId="77777777" w:rsidR="003F0B55" w:rsidRPr="00C6771F" w:rsidRDefault="003F0B55" w:rsidP="003F0B55">
      <w:pPr>
        <w:pStyle w:val="NoSpacing"/>
        <w:jc w:val="both"/>
        <w:rPr>
          <w:rFonts w:ascii="Arial" w:hAnsi="Arial" w:cs="Arial"/>
          <w:sz w:val="22"/>
          <w:szCs w:val="22"/>
        </w:rPr>
      </w:pPr>
      <w:r w:rsidRPr="00C6771F">
        <w:rPr>
          <w:rFonts w:ascii="Arial" w:hAnsi="Arial" w:cs="Arial"/>
          <w:sz w:val="22"/>
          <w:szCs w:val="22"/>
        </w:rPr>
        <w:t xml:space="preserve">The registered business and office address of the </w:t>
      </w:r>
      <w:r w:rsidR="00C05010" w:rsidRPr="00C6771F">
        <w:rPr>
          <w:rFonts w:ascii="Arial" w:hAnsi="Arial" w:cs="Arial"/>
          <w:sz w:val="22"/>
          <w:szCs w:val="22"/>
        </w:rPr>
        <w:t>System</w:t>
      </w:r>
      <w:r w:rsidRPr="00C6771F">
        <w:rPr>
          <w:rFonts w:ascii="Arial" w:hAnsi="Arial" w:cs="Arial"/>
          <w:sz w:val="22"/>
          <w:szCs w:val="22"/>
        </w:rPr>
        <w:t xml:space="preserve"> is at No. 424 Capinpin Avenue, Camp General Emilio Aguinaldo, Quezon City, Metro Manila, Philippines.  It has no other offices within and outside the Philippines, excep</w:t>
      </w:r>
      <w:r w:rsidR="00825EE8" w:rsidRPr="00C6771F">
        <w:rPr>
          <w:rFonts w:ascii="Arial" w:hAnsi="Arial" w:cs="Arial"/>
          <w:sz w:val="22"/>
          <w:szCs w:val="22"/>
        </w:rPr>
        <w:t>t for a Satellite Office in Iloi</w:t>
      </w:r>
      <w:r w:rsidRPr="00C6771F">
        <w:rPr>
          <w:rFonts w:ascii="Arial" w:hAnsi="Arial" w:cs="Arial"/>
          <w:sz w:val="22"/>
          <w:szCs w:val="22"/>
        </w:rPr>
        <w:t>lo City.</w:t>
      </w:r>
    </w:p>
    <w:p w14:paraId="675CC3AA" w14:textId="77777777" w:rsidR="00E153C9" w:rsidRPr="00C6771F" w:rsidRDefault="00E153C9" w:rsidP="003F0B55">
      <w:pPr>
        <w:pStyle w:val="NoSpacing"/>
        <w:jc w:val="both"/>
        <w:rPr>
          <w:rFonts w:ascii="Arial" w:hAnsi="Arial" w:cs="Arial"/>
          <w:sz w:val="22"/>
          <w:szCs w:val="22"/>
        </w:rPr>
      </w:pPr>
    </w:p>
    <w:p w14:paraId="636844EF" w14:textId="77777777" w:rsidR="00F25E8C" w:rsidRPr="00C6771F" w:rsidRDefault="00E153C9" w:rsidP="003F0B55">
      <w:pPr>
        <w:pStyle w:val="NoSpacing"/>
        <w:jc w:val="both"/>
        <w:rPr>
          <w:rFonts w:ascii="Arial" w:hAnsi="Arial" w:cs="Arial"/>
          <w:sz w:val="22"/>
          <w:szCs w:val="22"/>
        </w:rPr>
      </w:pPr>
      <w:r w:rsidRPr="00C6771F">
        <w:rPr>
          <w:rFonts w:ascii="Arial" w:hAnsi="Arial" w:cs="Arial"/>
          <w:sz w:val="22"/>
          <w:szCs w:val="22"/>
        </w:rPr>
        <w:t>The</w:t>
      </w:r>
      <w:r w:rsidR="00C657D2" w:rsidRPr="00C6771F">
        <w:rPr>
          <w:rFonts w:ascii="Arial" w:hAnsi="Arial" w:cs="Arial"/>
          <w:sz w:val="22"/>
          <w:szCs w:val="22"/>
        </w:rPr>
        <w:t xml:space="preserve"> BOL</w:t>
      </w:r>
      <w:r w:rsidRPr="00C6771F">
        <w:rPr>
          <w:rFonts w:ascii="Arial" w:hAnsi="Arial" w:cs="Arial"/>
          <w:sz w:val="22"/>
          <w:szCs w:val="22"/>
        </w:rPr>
        <w:t xml:space="preserve">, originally consisting of 11 </w:t>
      </w:r>
      <w:r w:rsidR="005C26C9" w:rsidRPr="00C6771F">
        <w:rPr>
          <w:rFonts w:ascii="Arial" w:hAnsi="Arial" w:cs="Arial"/>
          <w:sz w:val="22"/>
          <w:szCs w:val="22"/>
        </w:rPr>
        <w:t xml:space="preserve">active or retired </w:t>
      </w:r>
      <w:r w:rsidRPr="00C6771F">
        <w:rPr>
          <w:rFonts w:ascii="Arial" w:hAnsi="Arial" w:cs="Arial"/>
          <w:sz w:val="22"/>
          <w:szCs w:val="22"/>
        </w:rPr>
        <w:t>members but currently having nine members and two seats vacancy</w:t>
      </w:r>
      <w:r w:rsidR="00BB78C7" w:rsidRPr="00C6771F">
        <w:rPr>
          <w:rFonts w:ascii="Arial" w:hAnsi="Arial" w:cs="Arial"/>
          <w:sz w:val="22"/>
          <w:szCs w:val="22"/>
        </w:rPr>
        <w:t xml:space="preserve"> due to resignation</w:t>
      </w:r>
      <w:r w:rsidRPr="00C6771F">
        <w:rPr>
          <w:rFonts w:ascii="Arial" w:hAnsi="Arial" w:cs="Arial"/>
          <w:sz w:val="22"/>
          <w:szCs w:val="22"/>
        </w:rPr>
        <w:t xml:space="preserve">, is the policy making body of the System. </w:t>
      </w:r>
      <w:r w:rsidR="00CB51AE" w:rsidRPr="00C6771F">
        <w:rPr>
          <w:rFonts w:ascii="Arial" w:hAnsi="Arial" w:cs="Arial"/>
          <w:sz w:val="22"/>
          <w:szCs w:val="22"/>
        </w:rPr>
        <w:t xml:space="preserve"> </w:t>
      </w:r>
      <w:r w:rsidR="00BC2054" w:rsidRPr="00C6771F">
        <w:rPr>
          <w:rFonts w:ascii="Arial" w:hAnsi="Arial" w:cs="Arial"/>
          <w:sz w:val="22"/>
          <w:szCs w:val="22"/>
        </w:rPr>
        <w:t>Each was appointed by the A</w:t>
      </w:r>
      <w:r w:rsidR="00C657D2" w:rsidRPr="00C6771F">
        <w:rPr>
          <w:rFonts w:ascii="Arial" w:hAnsi="Arial" w:cs="Arial"/>
          <w:sz w:val="22"/>
          <w:szCs w:val="22"/>
        </w:rPr>
        <w:t>F</w:t>
      </w:r>
      <w:r w:rsidR="00BC2054" w:rsidRPr="00C6771F">
        <w:rPr>
          <w:rFonts w:ascii="Arial" w:hAnsi="Arial" w:cs="Arial"/>
          <w:sz w:val="22"/>
          <w:szCs w:val="22"/>
        </w:rPr>
        <w:t>P Chief of Staff w</w:t>
      </w:r>
      <w:r w:rsidR="00EB19AD" w:rsidRPr="00C6771F">
        <w:rPr>
          <w:rFonts w:ascii="Arial" w:hAnsi="Arial" w:cs="Arial"/>
          <w:sz w:val="22"/>
          <w:szCs w:val="22"/>
        </w:rPr>
        <w:t>ho also appointed the President</w:t>
      </w:r>
      <w:r w:rsidR="00BC2054" w:rsidRPr="00C6771F">
        <w:rPr>
          <w:rFonts w:ascii="Arial" w:hAnsi="Arial" w:cs="Arial"/>
          <w:sz w:val="22"/>
          <w:szCs w:val="22"/>
        </w:rPr>
        <w:t xml:space="preserve">/Chief Executive Officer (CEO) of the System.  </w:t>
      </w:r>
      <w:r w:rsidRPr="00C6771F">
        <w:rPr>
          <w:rFonts w:ascii="Arial" w:hAnsi="Arial" w:cs="Arial"/>
          <w:sz w:val="22"/>
          <w:szCs w:val="22"/>
        </w:rPr>
        <w:t>The President/C</w:t>
      </w:r>
      <w:r w:rsidR="00BC2054" w:rsidRPr="00C6771F">
        <w:rPr>
          <w:rFonts w:ascii="Arial" w:hAnsi="Arial" w:cs="Arial"/>
          <w:sz w:val="22"/>
          <w:szCs w:val="22"/>
        </w:rPr>
        <w:t>EO</w:t>
      </w:r>
      <w:r w:rsidRPr="00C6771F">
        <w:rPr>
          <w:rFonts w:ascii="Arial" w:hAnsi="Arial" w:cs="Arial"/>
          <w:sz w:val="22"/>
          <w:szCs w:val="22"/>
        </w:rPr>
        <w:t xml:space="preserve"> as well as the Executive Vice President/Chief Operating Officer takes charge of the day to day affairs of the organization.</w:t>
      </w:r>
      <w:r w:rsidR="00B36A9E" w:rsidRPr="00C6771F">
        <w:rPr>
          <w:rFonts w:ascii="Arial" w:hAnsi="Arial" w:cs="Arial"/>
          <w:sz w:val="22"/>
          <w:szCs w:val="22"/>
        </w:rPr>
        <w:t xml:space="preserve">  </w:t>
      </w:r>
      <w:r w:rsidR="00BB78C7" w:rsidRPr="00C6771F">
        <w:rPr>
          <w:rFonts w:ascii="Arial" w:hAnsi="Arial" w:cs="Arial"/>
          <w:sz w:val="22"/>
          <w:szCs w:val="22"/>
        </w:rPr>
        <w:t>In a letter request for the DND</w:t>
      </w:r>
      <w:r w:rsidR="00660545" w:rsidRPr="00C6771F">
        <w:rPr>
          <w:rFonts w:ascii="Arial" w:hAnsi="Arial" w:cs="Arial"/>
          <w:sz w:val="22"/>
          <w:szCs w:val="22"/>
        </w:rPr>
        <w:t xml:space="preserve"> dated March 31, 2019, the System requested</w:t>
      </w:r>
      <w:r w:rsidRPr="00C6771F">
        <w:rPr>
          <w:rFonts w:ascii="Arial" w:hAnsi="Arial" w:cs="Arial"/>
          <w:sz w:val="22"/>
          <w:szCs w:val="22"/>
        </w:rPr>
        <w:t xml:space="preserve"> </w:t>
      </w:r>
      <w:r w:rsidR="00660545" w:rsidRPr="00C6771F">
        <w:rPr>
          <w:rFonts w:ascii="Arial" w:hAnsi="Arial" w:cs="Arial"/>
          <w:sz w:val="22"/>
          <w:szCs w:val="22"/>
        </w:rPr>
        <w:t>for authority not to fill up the position vacated by the representative from the retired AFP Officers and AFP Enlisted Personnel but still pending approval</w:t>
      </w:r>
      <w:r w:rsidRPr="00C6771F">
        <w:rPr>
          <w:rFonts w:ascii="Arial" w:hAnsi="Arial" w:cs="Arial"/>
          <w:sz w:val="22"/>
          <w:szCs w:val="22"/>
        </w:rPr>
        <w:t xml:space="preserve">.  </w:t>
      </w:r>
    </w:p>
    <w:p w14:paraId="78B6EAB4" w14:textId="77777777" w:rsidR="00F25E8C" w:rsidRPr="00C6771F" w:rsidRDefault="00F25E8C" w:rsidP="003F0B55">
      <w:pPr>
        <w:pStyle w:val="NoSpacing"/>
        <w:jc w:val="both"/>
        <w:rPr>
          <w:rFonts w:ascii="Arial" w:hAnsi="Arial" w:cs="Arial"/>
          <w:sz w:val="22"/>
          <w:szCs w:val="22"/>
        </w:rPr>
      </w:pPr>
    </w:p>
    <w:p w14:paraId="06A6B039" w14:textId="545F5777" w:rsidR="00E153C9" w:rsidRPr="00C6771F" w:rsidRDefault="00E153C9" w:rsidP="003F0B55">
      <w:pPr>
        <w:pStyle w:val="NoSpacing"/>
        <w:jc w:val="both"/>
        <w:rPr>
          <w:rFonts w:ascii="Arial" w:hAnsi="Arial" w:cs="Arial"/>
          <w:sz w:val="22"/>
          <w:szCs w:val="22"/>
        </w:rPr>
      </w:pPr>
      <w:r w:rsidRPr="00C6771F">
        <w:rPr>
          <w:rFonts w:ascii="Arial" w:hAnsi="Arial" w:cs="Arial"/>
          <w:sz w:val="22"/>
          <w:szCs w:val="22"/>
        </w:rPr>
        <w:t xml:space="preserve">As </w:t>
      </w:r>
      <w:r w:rsidR="00E10278">
        <w:rPr>
          <w:rFonts w:ascii="Arial" w:hAnsi="Arial" w:cs="Arial"/>
          <w:sz w:val="22"/>
          <w:szCs w:val="22"/>
        </w:rPr>
        <w:t>at</w:t>
      </w:r>
      <w:r w:rsidRPr="00C6771F">
        <w:rPr>
          <w:rFonts w:ascii="Arial" w:hAnsi="Arial" w:cs="Arial"/>
          <w:sz w:val="22"/>
          <w:szCs w:val="22"/>
        </w:rPr>
        <w:t xml:space="preserve"> December 31, 201</w:t>
      </w:r>
      <w:r w:rsidR="00CB51AE" w:rsidRPr="00C6771F">
        <w:rPr>
          <w:rFonts w:ascii="Arial" w:hAnsi="Arial" w:cs="Arial"/>
          <w:sz w:val="22"/>
          <w:szCs w:val="22"/>
        </w:rPr>
        <w:t>9</w:t>
      </w:r>
      <w:r w:rsidR="00F25E8C" w:rsidRPr="00C6771F">
        <w:rPr>
          <w:rFonts w:ascii="Arial" w:hAnsi="Arial" w:cs="Arial"/>
          <w:sz w:val="22"/>
          <w:szCs w:val="22"/>
        </w:rPr>
        <w:t>, the System has 63</w:t>
      </w:r>
      <w:r w:rsidRPr="00C6771F">
        <w:rPr>
          <w:rFonts w:ascii="Arial" w:hAnsi="Arial" w:cs="Arial"/>
          <w:sz w:val="22"/>
          <w:szCs w:val="22"/>
        </w:rPr>
        <w:t xml:space="preserve"> regular</w:t>
      </w:r>
      <w:r w:rsidR="00F25E8C" w:rsidRPr="00C6771F">
        <w:rPr>
          <w:rFonts w:ascii="Arial" w:hAnsi="Arial" w:cs="Arial"/>
          <w:sz w:val="22"/>
          <w:szCs w:val="22"/>
        </w:rPr>
        <w:t>, 37 c</w:t>
      </w:r>
      <w:r w:rsidR="00B00E54" w:rsidRPr="00C6771F">
        <w:rPr>
          <w:rFonts w:ascii="Arial" w:hAnsi="Arial" w:cs="Arial"/>
          <w:sz w:val="22"/>
          <w:szCs w:val="22"/>
        </w:rPr>
        <w:t>asual, three contractual, and 12</w:t>
      </w:r>
      <w:r w:rsidR="00F25E8C" w:rsidRPr="00C6771F">
        <w:rPr>
          <w:rFonts w:ascii="Arial" w:hAnsi="Arial" w:cs="Arial"/>
          <w:sz w:val="22"/>
          <w:szCs w:val="22"/>
        </w:rPr>
        <w:t xml:space="preserve"> project-hired employees or a total workforce of 11</w:t>
      </w:r>
      <w:r w:rsidR="00B00E54" w:rsidRPr="00C6771F">
        <w:rPr>
          <w:rFonts w:ascii="Arial" w:hAnsi="Arial" w:cs="Arial"/>
          <w:sz w:val="22"/>
          <w:szCs w:val="22"/>
        </w:rPr>
        <w:t>5</w:t>
      </w:r>
      <w:r w:rsidR="00F25E8C" w:rsidRPr="00C6771F">
        <w:rPr>
          <w:rFonts w:ascii="Arial" w:hAnsi="Arial" w:cs="Arial"/>
          <w:sz w:val="22"/>
          <w:szCs w:val="22"/>
        </w:rPr>
        <w:t xml:space="preserve"> personnel.</w:t>
      </w:r>
    </w:p>
    <w:p w14:paraId="4BC48EC7" w14:textId="77777777" w:rsidR="009F0094" w:rsidRPr="00C6771F" w:rsidRDefault="009F0094" w:rsidP="003F0B55">
      <w:pPr>
        <w:pStyle w:val="NoSpacing"/>
        <w:jc w:val="both"/>
        <w:rPr>
          <w:rFonts w:ascii="Arial" w:hAnsi="Arial" w:cs="Arial"/>
          <w:sz w:val="22"/>
          <w:szCs w:val="22"/>
        </w:rPr>
      </w:pPr>
    </w:p>
    <w:p w14:paraId="5C958AB6" w14:textId="77777777" w:rsidR="00C657D2" w:rsidRPr="00C6771F" w:rsidRDefault="00C657D2" w:rsidP="003F0B55">
      <w:pPr>
        <w:pStyle w:val="NoSpacing"/>
        <w:jc w:val="both"/>
        <w:rPr>
          <w:rFonts w:ascii="Arial" w:hAnsi="Arial" w:cs="Arial"/>
          <w:sz w:val="22"/>
          <w:szCs w:val="22"/>
        </w:rPr>
      </w:pPr>
    </w:p>
    <w:p w14:paraId="4EA64F9E" w14:textId="77777777" w:rsidR="009F0094" w:rsidRPr="00C6771F" w:rsidRDefault="009F0094" w:rsidP="003F0B55">
      <w:pPr>
        <w:pStyle w:val="NoSpacing"/>
        <w:jc w:val="both"/>
        <w:rPr>
          <w:rFonts w:ascii="Arial" w:hAnsi="Arial" w:cs="Arial"/>
          <w:b/>
          <w:sz w:val="22"/>
          <w:szCs w:val="22"/>
        </w:rPr>
      </w:pPr>
      <w:r w:rsidRPr="00C6771F">
        <w:rPr>
          <w:rFonts w:ascii="Arial" w:hAnsi="Arial" w:cs="Arial"/>
          <w:b/>
          <w:sz w:val="22"/>
          <w:szCs w:val="22"/>
        </w:rPr>
        <w:t>FINANCIAL HIGHLIGHTS</w:t>
      </w:r>
      <w:r w:rsidR="00E7121A" w:rsidRPr="00C6771F">
        <w:rPr>
          <w:rFonts w:ascii="Arial" w:hAnsi="Arial" w:cs="Arial"/>
          <w:b/>
          <w:sz w:val="22"/>
          <w:szCs w:val="22"/>
        </w:rPr>
        <w:t xml:space="preserve"> (In Philippine Peso)</w:t>
      </w:r>
    </w:p>
    <w:p w14:paraId="5D494CBE" w14:textId="77777777" w:rsidR="00973467" w:rsidRPr="00C6771F" w:rsidRDefault="00973467" w:rsidP="003F0B55">
      <w:pPr>
        <w:pStyle w:val="NoSpacing"/>
        <w:jc w:val="both"/>
        <w:rPr>
          <w:rFonts w:ascii="Arial" w:hAnsi="Arial" w:cs="Arial"/>
          <w:sz w:val="22"/>
          <w:szCs w:val="22"/>
        </w:rPr>
      </w:pPr>
    </w:p>
    <w:p w14:paraId="601207E3" w14:textId="77777777" w:rsidR="009F0094" w:rsidRPr="00C6771F" w:rsidRDefault="009F0094" w:rsidP="009F0094">
      <w:pPr>
        <w:pStyle w:val="NoSpacing"/>
        <w:numPr>
          <w:ilvl w:val="0"/>
          <w:numId w:val="25"/>
        </w:numPr>
        <w:ind w:left="720"/>
        <w:jc w:val="both"/>
        <w:rPr>
          <w:rFonts w:ascii="Arial" w:hAnsi="Arial" w:cs="Arial"/>
          <w:b/>
          <w:sz w:val="22"/>
          <w:szCs w:val="22"/>
        </w:rPr>
      </w:pPr>
      <w:r w:rsidRPr="00C6771F">
        <w:rPr>
          <w:rFonts w:ascii="Arial" w:hAnsi="Arial" w:cs="Arial"/>
          <w:b/>
          <w:sz w:val="22"/>
          <w:szCs w:val="22"/>
        </w:rPr>
        <w:t>Comparative Financial Position</w:t>
      </w:r>
    </w:p>
    <w:p w14:paraId="2EC57AC3" w14:textId="77777777" w:rsidR="009F0094" w:rsidRPr="00C6771F" w:rsidRDefault="009F0094" w:rsidP="00E6379F">
      <w:pPr>
        <w:pStyle w:val="NoSpacing"/>
        <w:jc w:val="both"/>
        <w:rPr>
          <w:rFonts w:ascii="Arial" w:hAnsi="Arial" w:cs="Arial"/>
          <w:sz w:val="22"/>
          <w:szCs w:val="22"/>
        </w:rPr>
      </w:pPr>
    </w:p>
    <w:tbl>
      <w:tblPr>
        <w:tblW w:w="8640" w:type="dxa"/>
        <w:tblInd w:w="108" w:type="dxa"/>
        <w:tblLayout w:type="fixed"/>
        <w:tblLook w:val="04A0" w:firstRow="1" w:lastRow="0" w:firstColumn="1" w:lastColumn="0" w:noHBand="0" w:noVBand="1"/>
      </w:tblPr>
      <w:tblGrid>
        <w:gridCol w:w="3600"/>
        <w:gridCol w:w="1680"/>
        <w:gridCol w:w="1680"/>
        <w:gridCol w:w="1680"/>
      </w:tblGrid>
      <w:tr w:rsidR="00C6771F" w:rsidRPr="00C6771F" w14:paraId="698A9F6A" w14:textId="77777777" w:rsidTr="007A4CC0">
        <w:trPr>
          <w:tblHeader/>
        </w:trPr>
        <w:tc>
          <w:tcPr>
            <w:tcW w:w="3600" w:type="dxa"/>
            <w:tcBorders>
              <w:top w:val="single" w:sz="4" w:space="0" w:color="000000"/>
              <w:bottom w:val="single" w:sz="4" w:space="0" w:color="000000"/>
            </w:tcBorders>
            <w:shd w:val="clear" w:color="auto" w:fill="auto"/>
            <w:vAlign w:val="center"/>
          </w:tcPr>
          <w:p w14:paraId="690368DF" w14:textId="77777777" w:rsidR="009F0094" w:rsidRPr="00C6771F" w:rsidRDefault="00644B3E" w:rsidP="00644B3E">
            <w:pPr>
              <w:jc w:val="center"/>
              <w:rPr>
                <w:rFonts w:ascii="Arial" w:hAnsi="Arial" w:cs="Arial"/>
                <w:b/>
                <w:sz w:val="20"/>
                <w:szCs w:val="20"/>
              </w:rPr>
            </w:pPr>
            <w:r w:rsidRPr="00C6771F">
              <w:rPr>
                <w:rFonts w:ascii="Arial" w:hAnsi="Arial" w:cs="Arial"/>
                <w:b/>
                <w:sz w:val="20"/>
                <w:szCs w:val="20"/>
              </w:rPr>
              <w:t>Particulars</w:t>
            </w:r>
          </w:p>
        </w:tc>
        <w:tc>
          <w:tcPr>
            <w:tcW w:w="1680" w:type="dxa"/>
            <w:tcBorders>
              <w:top w:val="single" w:sz="4" w:space="0" w:color="000000"/>
              <w:bottom w:val="single" w:sz="4" w:space="0" w:color="000000"/>
            </w:tcBorders>
            <w:shd w:val="clear" w:color="auto" w:fill="auto"/>
            <w:vAlign w:val="center"/>
          </w:tcPr>
          <w:p w14:paraId="42DB31A4" w14:textId="5DC6C559" w:rsidR="009F0094" w:rsidRPr="00C6771F" w:rsidRDefault="009F0094" w:rsidP="00C869E5">
            <w:pPr>
              <w:jc w:val="right"/>
              <w:rPr>
                <w:rFonts w:ascii="Arial" w:hAnsi="Arial" w:cs="Arial"/>
                <w:b/>
                <w:sz w:val="20"/>
                <w:szCs w:val="20"/>
              </w:rPr>
            </w:pPr>
            <w:r w:rsidRPr="00C6771F">
              <w:rPr>
                <w:rFonts w:ascii="Arial" w:hAnsi="Arial" w:cs="Arial"/>
                <w:b/>
                <w:sz w:val="20"/>
                <w:szCs w:val="20"/>
              </w:rPr>
              <w:t>201</w:t>
            </w:r>
            <w:r w:rsidR="00CB51AE" w:rsidRPr="00C6771F">
              <w:rPr>
                <w:rFonts w:ascii="Arial" w:hAnsi="Arial" w:cs="Arial"/>
                <w:b/>
                <w:sz w:val="20"/>
                <w:szCs w:val="20"/>
              </w:rPr>
              <w:t>9</w:t>
            </w:r>
          </w:p>
        </w:tc>
        <w:tc>
          <w:tcPr>
            <w:tcW w:w="1680" w:type="dxa"/>
            <w:tcBorders>
              <w:top w:val="single" w:sz="4" w:space="0" w:color="000000"/>
              <w:bottom w:val="single" w:sz="4" w:space="0" w:color="000000"/>
            </w:tcBorders>
            <w:shd w:val="clear" w:color="auto" w:fill="auto"/>
            <w:vAlign w:val="center"/>
          </w:tcPr>
          <w:p w14:paraId="09F70F39" w14:textId="77777777" w:rsidR="009F0094" w:rsidRDefault="000670BC" w:rsidP="00C869E5">
            <w:pPr>
              <w:jc w:val="right"/>
              <w:rPr>
                <w:rFonts w:ascii="Arial" w:hAnsi="Arial" w:cs="Arial"/>
                <w:b/>
                <w:sz w:val="20"/>
                <w:szCs w:val="20"/>
              </w:rPr>
            </w:pPr>
            <w:r w:rsidRPr="00C6771F">
              <w:rPr>
                <w:rFonts w:ascii="Arial" w:hAnsi="Arial" w:cs="Arial"/>
                <w:b/>
                <w:sz w:val="20"/>
                <w:szCs w:val="20"/>
              </w:rPr>
              <w:t>201</w:t>
            </w:r>
            <w:r w:rsidR="00CB51AE" w:rsidRPr="00C6771F">
              <w:rPr>
                <w:rFonts w:ascii="Arial" w:hAnsi="Arial" w:cs="Arial"/>
                <w:b/>
                <w:sz w:val="20"/>
                <w:szCs w:val="20"/>
              </w:rPr>
              <w:t>8</w:t>
            </w:r>
          </w:p>
          <w:p w14:paraId="6E0C395E" w14:textId="660FA15F" w:rsidR="0091315C" w:rsidRPr="00C6771F" w:rsidRDefault="0091315C" w:rsidP="00C869E5">
            <w:pPr>
              <w:jc w:val="right"/>
              <w:rPr>
                <w:rFonts w:ascii="Arial" w:hAnsi="Arial" w:cs="Arial"/>
                <w:b/>
                <w:sz w:val="20"/>
                <w:szCs w:val="20"/>
              </w:rPr>
            </w:pPr>
            <w:r>
              <w:rPr>
                <w:rFonts w:ascii="Arial" w:hAnsi="Arial" w:cs="Arial"/>
                <w:b/>
                <w:sz w:val="20"/>
                <w:szCs w:val="20"/>
              </w:rPr>
              <w:t>(As restated)</w:t>
            </w:r>
          </w:p>
        </w:tc>
        <w:tc>
          <w:tcPr>
            <w:tcW w:w="1680" w:type="dxa"/>
            <w:tcBorders>
              <w:top w:val="single" w:sz="4" w:space="0" w:color="000000"/>
              <w:bottom w:val="single" w:sz="4" w:space="0" w:color="000000"/>
            </w:tcBorders>
            <w:shd w:val="clear" w:color="auto" w:fill="auto"/>
            <w:vAlign w:val="center"/>
          </w:tcPr>
          <w:p w14:paraId="6601AE5A" w14:textId="77777777" w:rsidR="009F0094" w:rsidRPr="00C6771F" w:rsidRDefault="009F0094" w:rsidP="00C92608">
            <w:pPr>
              <w:jc w:val="center"/>
              <w:rPr>
                <w:rFonts w:ascii="Arial" w:hAnsi="Arial" w:cs="Arial"/>
                <w:b/>
                <w:sz w:val="20"/>
                <w:szCs w:val="20"/>
              </w:rPr>
            </w:pPr>
            <w:r w:rsidRPr="00C6771F">
              <w:rPr>
                <w:rFonts w:ascii="Arial" w:hAnsi="Arial" w:cs="Arial"/>
                <w:b/>
                <w:sz w:val="20"/>
                <w:szCs w:val="20"/>
              </w:rPr>
              <w:t>Increase (Decrease)</w:t>
            </w:r>
          </w:p>
        </w:tc>
      </w:tr>
      <w:tr w:rsidR="00C6771F" w:rsidRPr="00C6771F" w14:paraId="649C8842" w14:textId="77777777" w:rsidTr="007A4CC0">
        <w:trPr>
          <w:trHeight w:val="422"/>
        </w:trPr>
        <w:tc>
          <w:tcPr>
            <w:tcW w:w="3600" w:type="dxa"/>
            <w:tcBorders>
              <w:top w:val="single" w:sz="4" w:space="0" w:color="000000"/>
            </w:tcBorders>
            <w:shd w:val="clear" w:color="auto" w:fill="auto"/>
            <w:vAlign w:val="bottom"/>
          </w:tcPr>
          <w:p w14:paraId="061294DB" w14:textId="77777777" w:rsidR="007A4CC0" w:rsidRPr="00C6771F" w:rsidRDefault="007A4CC0" w:rsidP="007A4CC0">
            <w:pPr>
              <w:rPr>
                <w:rFonts w:ascii="Arial" w:hAnsi="Arial" w:cs="Arial"/>
                <w:sz w:val="20"/>
                <w:szCs w:val="20"/>
              </w:rPr>
            </w:pPr>
            <w:r w:rsidRPr="00C6771F">
              <w:rPr>
                <w:rFonts w:ascii="Arial" w:hAnsi="Arial" w:cs="Arial"/>
                <w:sz w:val="20"/>
                <w:szCs w:val="20"/>
              </w:rPr>
              <w:t>Assets</w:t>
            </w:r>
          </w:p>
        </w:tc>
        <w:tc>
          <w:tcPr>
            <w:tcW w:w="1680" w:type="dxa"/>
            <w:tcBorders>
              <w:top w:val="single" w:sz="4" w:space="0" w:color="000000"/>
            </w:tcBorders>
            <w:shd w:val="clear" w:color="auto" w:fill="auto"/>
            <w:vAlign w:val="bottom"/>
          </w:tcPr>
          <w:p w14:paraId="11E545E4" w14:textId="0E1ED710" w:rsidR="007A4CC0" w:rsidRPr="00C6771F" w:rsidRDefault="00E12C4A" w:rsidP="002510A8">
            <w:pPr>
              <w:jc w:val="right"/>
              <w:rPr>
                <w:rFonts w:ascii="Arial" w:hAnsi="Arial" w:cs="Arial"/>
                <w:sz w:val="20"/>
                <w:szCs w:val="20"/>
              </w:rPr>
            </w:pPr>
            <w:r w:rsidRPr="00C6771F">
              <w:rPr>
                <w:rFonts w:ascii="Arial" w:hAnsi="Arial" w:cs="Arial"/>
                <w:sz w:val="20"/>
                <w:szCs w:val="20"/>
              </w:rPr>
              <w:t>18,</w:t>
            </w:r>
            <w:r w:rsidR="002510A8" w:rsidRPr="00C6771F">
              <w:rPr>
                <w:rFonts w:ascii="Arial" w:hAnsi="Arial" w:cs="Arial"/>
                <w:sz w:val="20"/>
                <w:szCs w:val="20"/>
              </w:rPr>
              <w:t>914,957,246</w:t>
            </w:r>
          </w:p>
        </w:tc>
        <w:tc>
          <w:tcPr>
            <w:tcW w:w="1680" w:type="dxa"/>
            <w:tcBorders>
              <w:top w:val="single" w:sz="4" w:space="0" w:color="000000"/>
            </w:tcBorders>
            <w:shd w:val="clear" w:color="auto" w:fill="auto"/>
            <w:vAlign w:val="bottom"/>
          </w:tcPr>
          <w:p w14:paraId="23B6F560" w14:textId="4CEEAF67" w:rsidR="007A4CC0" w:rsidRPr="00C6771F" w:rsidRDefault="007A4CC0" w:rsidP="007A4CC0">
            <w:pPr>
              <w:jc w:val="right"/>
              <w:rPr>
                <w:rFonts w:ascii="Arial" w:hAnsi="Arial" w:cs="Arial"/>
                <w:sz w:val="20"/>
                <w:szCs w:val="20"/>
              </w:rPr>
            </w:pPr>
            <w:r w:rsidRPr="00C6771F">
              <w:rPr>
                <w:rFonts w:ascii="Arial" w:hAnsi="Arial" w:cs="Arial"/>
                <w:sz w:val="20"/>
                <w:szCs w:val="20"/>
              </w:rPr>
              <w:t>21,521,137,802</w:t>
            </w:r>
          </w:p>
        </w:tc>
        <w:tc>
          <w:tcPr>
            <w:tcW w:w="1680" w:type="dxa"/>
            <w:tcBorders>
              <w:top w:val="single" w:sz="4" w:space="0" w:color="000000"/>
            </w:tcBorders>
            <w:shd w:val="clear" w:color="auto" w:fill="auto"/>
            <w:vAlign w:val="bottom"/>
          </w:tcPr>
          <w:p w14:paraId="3CF02A88" w14:textId="09BFC9CB" w:rsidR="007A4CC0" w:rsidRPr="00C6771F" w:rsidRDefault="00291544" w:rsidP="002510A8">
            <w:pPr>
              <w:ind w:right="-58"/>
              <w:jc w:val="right"/>
              <w:rPr>
                <w:rFonts w:ascii="Arial" w:hAnsi="Arial" w:cs="Arial"/>
                <w:sz w:val="20"/>
                <w:szCs w:val="20"/>
              </w:rPr>
            </w:pPr>
            <w:r w:rsidRPr="00C6771F">
              <w:rPr>
                <w:rFonts w:ascii="Arial" w:hAnsi="Arial" w:cs="Arial"/>
                <w:sz w:val="20"/>
                <w:szCs w:val="20"/>
              </w:rPr>
              <w:fldChar w:fldCharType="begin"/>
            </w:r>
            <w:r w:rsidRPr="00C6771F">
              <w:rPr>
                <w:rFonts w:ascii="Arial" w:hAnsi="Arial" w:cs="Arial"/>
                <w:sz w:val="20"/>
                <w:szCs w:val="20"/>
              </w:rPr>
              <w:instrText xml:space="preserve"> =b2-c2 </w:instrText>
            </w:r>
            <w:r w:rsidRPr="00C6771F">
              <w:rPr>
                <w:rFonts w:ascii="Arial" w:hAnsi="Arial" w:cs="Arial"/>
                <w:sz w:val="20"/>
                <w:szCs w:val="20"/>
              </w:rPr>
              <w:fldChar w:fldCharType="separate"/>
            </w:r>
            <w:r w:rsidR="002510A8" w:rsidRPr="00C6771F">
              <w:rPr>
                <w:rFonts w:ascii="Arial" w:hAnsi="Arial" w:cs="Arial"/>
                <w:noProof/>
                <w:sz w:val="20"/>
                <w:szCs w:val="20"/>
              </w:rPr>
              <w:t>(2,606</w:t>
            </w:r>
            <w:r w:rsidRPr="00C6771F">
              <w:rPr>
                <w:rFonts w:ascii="Arial" w:hAnsi="Arial" w:cs="Arial"/>
                <w:sz w:val="20"/>
                <w:szCs w:val="20"/>
              </w:rPr>
              <w:fldChar w:fldCharType="end"/>
            </w:r>
            <w:r w:rsidR="002510A8" w:rsidRPr="00C6771F">
              <w:rPr>
                <w:rFonts w:ascii="Arial" w:hAnsi="Arial" w:cs="Arial"/>
                <w:sz w:val="20"/>
                <w:szCs w:val="20"/>
              </w:rPr>
              <w:t>,180,556</w:t>
            </w:r>
            <w:r w:rsidRPr="00C6771F">
              <w:rPr>
                <w:rFonts w:ascii="Arial" w:hAnsi="Arial" w:cs="Arial"/>
                <w:sz w:val="20"/>
                <w:szCs w:val="20"/>
              </w:rPr>
              <w:t>)</w:t>
            </w:r>
          </w:p>
        </w:tc>
      </w:tr>
      <w:tr w:rsidR="00C6771F" w:rsidRPr="00C6771F" w14:paraId="20C09794" w14:textId="77777777" w:rsidTr="007A4CC0">
        <w:tc>
          <w:tcPr>
            <w:tcW w:w="3600" w:type="dxa"/>
            <w:tcBorders>
              <w:bottom w:val="single" w:sz="4" w:space="0" w:color="auto"/>
            </w:tcBorders>
            <w:shd w:val="clear" w:color="auto" w:fill="auto"/>
            <w:vAlign w:val="bottom"/>
          </w:tcPr>
          <w:p w14:paraId="6424388C" w14:textId="77777777" w:rsidR="004C1C2D" w:rsidRPr="00C6771F" w:rsidRDefault="004C1C2D" w:rsidP="009F0094">
            <w:pPr>
              <w:rPr>
                <w:rFonts w:ascii="Arial" w:hAnsi="Arial" w:cs="Arial"/>
                <w:sz w:val="20"/>
                <w:szCs w:val="20"/>
              </w:rPr>
            </w:pPr>
            <w:r w:rsidRPr="00C6771F">
              <w:rPr>
                <w:rFonts w:ascii="Arial" w:hAnsi="Arial" w:cs="Arial"/>
                <w:sz w:val="20"/>
                <w:szCs w:val="20"/>
              </w:rPr>
              <w:t>Liabilities</w:t>
            </w:r>
          </w:p>
        </w:tc>
        <w:tc>
          <w:tcPr>
            <w:tcW w:w="1680" w:type="dxa"/>
            <w:tcBorders>
              <w:bottom w:val="single" w:sz="4" w:space="0" w:color="auto"/>
            </w:tcBorders>
            <w:shd w:val="clear" w:color="auto" w:fill="auto"/>
            <w:vAlign w:val="bottom"/>
          </w:tcPr>
          <w:p w14:paraId="5C9A3444" w14:textId="3F0A1EC6" w:rsidR="004C1C2D" w:rsidRPr="00C6771F" w:rsidRDefault="00E12C4A" w:rsidP="00E25E02">
            <w:pPr>
              <w:jc w:val="right"/>
              <w:rPr>
                <w:rFonts w:ascii="Arial" w:hAnsi="Arial" w:cs="Arial"/>
                <w:sz w:val="20"/>
                <w:szCs w:val="20"/>
              </w:rPr>
            </w:pPr>
            <w:r w:rsidRPr="00C6771F">
              <w:rPr>
                <w:rFonts w:ascii="Arial" w:hAnsi="Arial" w:cs="Arial"/>
                <w:sz w:val="20"/>
                <w:szCs w:val="20"/>
              </w:rPr>
              <w:t>10,</w:t>
            </w:r>
            <w:r w:rsidR="002510A8" w:rsidRPr="00C6771F">
              <w:rPr>
                <w:rFonts w:ascii="Arial" w:hAnsi="Arial" w:cs="Arial"/>
                <w:sz w:val="20"/>
                <w:szCs w:val="20"/>
              </w:rPr>
              <w:t>470,904,464</w:t>
            </w:r>
          </w:p>
        </w:tc>
        <w:tc>
          <w:tcPr>
            <w:tcW w:w="1680" w:type="dxa"/>
            <w:tcBorders>
              <w:bottom w:val="single" w:sz="4" w:space="0" w:color="auto"/>
            </w:tcBorders>
            <w:shd w:val="clear" w:color="auto" w:fill="auto"/>
            <w:vAlign w:val="bottom"/>
          </w:tcPr>
          <w:p w14:paraId="22D3F3A4" w14:textId="58A734B3" w:rsidR="004C1C2D" w:rsidRPr="00C6771F" w:rsidRDefault="002510A8" w:rsidP="002510A8">
            <w:pPr>
              <w:jc w:val="right"/>
              <w:rPr>
                <w:rFonts w:ascii="Arial" w:hAnsi="Arial" w:cs="Arial"/>
                <w:sz w:val="20"/>
                <w:szCs w:val="20"/>
              </w:rPr>
            </w:pPr>
            <w:r w:rsidRPr="00C6771F">
              <w:rPr>
                <w:rFonts w:ascii="Arial" w:hAnsi="Arial" w:cs="Arial"/>
                <w:sz w:val="20"/>
                <w:szCs w:val="20"/>
              </w:rPr>
              <w:t>13,728</w:t>
            </w:r>
            <w:r w:rsidR="007A4CC0" w:rsidRPr="00C6771F">
              <w:rPr>
                <w:rFonts w:ascii="Arial" w:hAnsi="Arial" w:cs="Arial"/>
                <w:sz w:val="20"/>
                <w:szCs w:val="20"/>
              </w:rPr>
              <w:t>,</w:t>
            </w:r>
            <w:r w:rsidRPr="00C6771F">
              <w:rPr>
                <w:rFonts w:ascii="Arial" w:hAnsi="Arial" w:cs="Arial"/>
                <w:sz w:val="20"/>
                <w:szCs w:val="20"/>
              </w:rPr>
              <w:t>579,656</w:t>
            </w:r>
          </w:p>
        </w:tc>
        <w:tc>
          <w:tcPr>
            <w:tcW w:w="1680" w:type="dxa"/>
            <w:tcBorders>
              <w:bottom w:val="single" w:sz="4" w:space="0" w:color="auto"/>
            </w:tcBorders>
            <w:shd w:val="clear" w:color="auto" w:fill="auto"/>
            <w:vAlign w:val="bottom"/>
          </w:tcPr>
          <w:p w14:paraId="38369360" w14:textId="7C4E7080" w:rsidR="004C1C2D" w:rsidRPr="00C6771F" w:rsidRDefault="00291544" w:rsidP="002510A8">
            <w:pPr>
              <w:ind w:right="-58"/>
              <w:jc w:val="right"/>
              <w:rPr>
                <w:rFonts w:ascii="Arial" w:hAnsi="Arial" w:cs="Arial"/>
                <w:sz w:val="20"/>
                <w:szCs w:val="20"/>
              </w:rPr>
            </w:pPr>
            <w:r w:rsidRPr="00C6771F">
              <w:rPr>
                <w:rFonts w:ascii="Arial" w:hAnsi="Arial" w:cs="Arial"/>
                <w:sz w:val="20"/>
                <w:szCs w:val="20"/>
              </w:rPr>
              <w:fldChar w:fldCharType="begin"/>
            </w:r>
            <w:r w:rsidRPr="00C6771F">
              <w:rPr>
                <w:rFonts w:ascii="Arial" w:hAnsi="Arial" w:cs="Arial"/>
                <w:sz w:val="20"/>
                <w:szCs w:val="20"/>
              </w:rPr>
              <w:instrText xml:space="preserve"> =b3-c3 \# "#,##0" </w:instrText>
            </w:r>
            <w:r w:rsidRPr="00C6771F">
              <w:rPr>
                <w:rFonts w:ascii="Arial" w:hAnsi="Arial" w:cs="Arial"/>
                <w:sz w:val="20"/>
                <w:szCs w:val="20"/>
              </w:rPr>
              <w:fldChar w:fldCharType="separate"/>
            </w:r>
            <w:r w:rsidR="002510A8" w:rsidRPr="00C6771F">
              <w:rPr>
                <w:rFonts w:ascii="Arial" w:hAnsi="Arial" w:cs="Arial"/>
                <w:noProof/>
                <w:sz w:val="20"/>
                <w:szCs w:val="20"/>
              </w:rPr>
              <w:t>(3,257,675</w:t>
            </w:r>
            <w:r w:rsidRPr="00C6771F">
              <w:rPr>
                <w:rFonts w:ascii="Arial" w:hAnsi="Arial" w:cs="Arial"/>
                <w:noProof/>
                <w:sz w:val="20"/>
                <w:szCs w:val="20"/>
              </w:rPr>
              <w:t>,</w:t>
            </w:r>
            <w:r w:rsidRPr="00C6771F">
              <w:rPr>
                <w:rFonts w:ascii="Arial" w:hAnsi="Arial" w:cs="Arial"/>
                <w:sz w:val="20"/>
                <w:szCs w:val="20"/>
              </w:rPr>
              <w:fldChar w:fldCharType="end"/>
            </w:r>
            <w:r w:rsidR="002510A8" w:rsidRPr="00C6771F">
              <w:rPr>
                <w:rFonts w:ascii="Arial" w:hAnsi="Arial" w:cs="Arial"/>
                <w:sz w:val="20"/>
                <w:szCs w:val="20"/>
              </w:rPr>
              <w:t>192</w:t>
            </w:r>
            <w:r w:rsidR="00363178" w:rsidRPr="00C6771F">
              <w:rPr>
                <w:rFonts w:ascii="Arial" w:hAnsi="Arial" w:cs="Arial"/>
                <w:sz w:val="20"/>
                <w:szCs w:val="20"/>
              </w:rPr>
              <w:t>)</w:t>
            </w:r>
          </w:p>
        </w:tc>
      </w:tr>
      <w:tr w:rsidR="00C6771F" w:rsidRPr="00C6771F" w14:paraId="14999295" w14:textId="77777777" w:rsidTr="007A4CC0">
        <w:trPr>
          <w:trHeight w:val="331"/>
        </w:trPr>
        <w:tc>
          <w:tcPr>
            <w:tcW w:w="3600" w:type="dxa"/>
            <w:tcBorders>
              <w:top w:val="single" w:sz="4" w:space="0" w:color="auto"/>
              <w:bottom w:val="double" w:sz="4" w:space="0" w:color="auto"/>
            </w:tcBorders>
            <w:shd w:val="clear" w:color="auto" w:fill="auto"/>
            <w:vAlign w:val="bottom"/>
          </w:tcPr>
          <w:p w14:paraId="1783CA1B" w14:textId="77777777" w:rsidR="004C1C2D" w:rsidRPr="00C6771F" w:rsidRDefault="004C1C2D" w:rsidP="009F0094">
            <w:pPr>
              <w:rPr>
                <w:rFonts w:ascii="Arial" w:hAnsi="Arial" w:cs="Arial"/>
                <w:sz w:val="20"/>
                <w:szCs w:val="20"/>
              </w:rPr>
            </w:pPr>
            <w:r w:rsidRPr="00C6771F">
              <w:rPr>
                <w:rFonts w:ascii="Arial" w:hAnsi="Arial" w:cs="Arial"/>
                <w:sz w:val="20"/>
                <w:szCs w:val="20"/>
              </w:rPr>
              <w:t>Fund equity</w:t>
            </w:r>
          </w:p>
        </w:tc>
        <w:tc>
          <w:tcPr>
            <w:tcW w:w="1680" w:type="dxa"/>
            <w:tcBorders>
              <w:top w:val="single" w:sz="4" w:space="0" w:color="auto"/>
              <w:bottom w:val="double" w:sz="4" w:space="0" w:color="auto"/>
            </w:tcBorders>
            <w:shd w:val="clear" w:color="auto" w:fill="auto"/>
            <w:vAlign w:val="bottom"/>
          </w:tcPr>
          <w:p w14:paraId="35ED3045" w14:textId="4EB2A821" w:rsidR="004C1C2D" w:rsidRPr="00C6771F" w:rsidRDefault="009C2C2F" w:rsidP="00E25E02">
            <w:pPr>
              <w:jc w:val="right"/>
              <w:rPr>
                <w:rFonts w:ascii="Arial" w:hAnsi="Arial" w:cs="Arial"/>
                <w:sz w:val="20"/>
                <w:szCs w:val="20"/>
              </w:rPr>
            </w:pPr>
            <w:r w:rsidRPr="00C6771F">
              <w:rPr>
                <w:rFonts w:ascii="Arial" w:hAnsi="Arial" w:cs="Arial"/>
                <w:sz w:val="20"/>
                <w:szCs w:val="20"/>
              </w:rPr>
              <w:t>8,444,052,782</w:t>
            </w:r>
          </w:p>
        </w:tc>
        <w:tc>
          <w:tcPr>
            <w:tcW w:w="1680" w:type="dxa"/>
            <w:tcBorders>
              <w:top w:val="single" w:sz="4" w:space="0" w:color="auto"/>
              <w:bottom w:val="double" w:sz="4" w:space="0" w:color="auto"/>
            </w:tcBorders>
            <w:shd w:val="clear" w:color="auto" w:fill="auto"/>
            <w:vAlign w:val="bottom"/>
          </w:tcPr>
          <w:p w14:paraId="6761A553" w14:textId="7A2A05E6" w:rsidR="004C1C2D" w:rsidRPr="00C6771F" w:rsidRDefault="009C2C2F" w:rsidP="00FF081A">
            <w:pPr>
              <w:jc w:val="right"/>
              <w:rPr>
                <w:rFonts w:ascii="Arial" w:hAnsi="Arial" w:cs="Arial"/>
                <w:sz w:val="20"/>
                <w:szCs w:val="20"/>
              </w:rPr>
            </w:pPr>
            <w:r w:rsidRPr="00C6771F">
              <w:rPr>
                <w:rFonts w:ascii="Arial" w:hAnsi="Arial" w:cs="Arial"/>
                <w:sz w:val="20"/>
                <w:szCs w:val="20"/>
              </w:rPr>
              <w:t>7,792,558,146</w:t>
            </w:r>
          </w:p>
        </w:tc>
        <w:tc>
          <w:tcPr>
            <w:tcW w:w="1680" w:type="dxa"/>
            <w:tcBorders>
              <w:top w:val="single" w:sz="4" w:space="0" w:color="auto"/>
              <w:bottom w:val="double" w:sz="4" w:space="0" w:color="auto"/>
            </w:tcBorders>
            <w:shd w:val="clear" w:color="auto" w:fill="auto"/>
            <w:vAlign w:val="bottom"/>
          </w:tcPr>
          <w:p w14:paraId="28104E53" w14:textId="4E3E6403" w:rsidR="004C1C2D" w:rsidRPr="00C6771F" w:rsidRDefault="009C2C2F" w:rsidP="009C2C2F">
            <w:pPr>
              <w:jc w:val="right"/>
              <w:rPr>
                <w:rFonts w:ascii="Arial" w:hAnsi="Arial" w:cs="Arial"/>
                <w:sz w:val="20"/>
                <w:szCs w:val="20"/>
              </w:rPr>
            </w:pPr>
            <w:r w:rsidRPr="00C6771F">
              <w:rPr>
                <w:rFonts w:ascii="Arial" w:hAnsi="Arial" w:cs="Arial"/>
                <w:sz w:val="20"/>
                <w:szCs w:val="20"/>
              </w:rPr>
              <w:t>651,494,636</w:t>
            </w:r>
          </w:p>
        </w:tc>
      </w:tr>
    </w:tbl>
    <w:p w14:paraId="66B14B39" w14:textId="3A9FB8D4" w:rsidR="00451DCA" w:rsidRPr="00C6771F" w:rsidRDefault="00451DCA" w:rsidP="00806FC9">
      <w:pPr>
        <w:tabs>
          <w:tab w:val="left" w:pos="720"/>
        </w:tabs>
        <w:jc w:val="both"/>
        <w:rPr>
          <w:rFonts w:ascii="Arial" w:hAnsi="Arial" w:cs="Arial"/>
          <w:b/>
          <w:sz w:val="22"/>
          <w:szCs w:val="22"/>
        </w:rPr>
      </w:pPr>
    </w:p>
    <w:p w14:paraId="1C825ECE" w14:textId="77777777" w:rsidR="00451DCA" w:rsidRDefault="00451DCA" w:rsidP="00CB51AE">
      <w:pPr>
        <w:tabs>
          <w:tab w:val="left" w:pos="720"/>
        </w:tabs>
        <w:ind w:left="720"/>
        <w:jc w:val="both"/>
        <w:rPr>
          <w:rFonts w:ascii="Arial" w:hAnsi="Arial" w:cs="Arial"/>
          <w:b/>
          <w:sz w:val="22"/>
          <w:szCs w:val="22"/>
        </w:rPr>
      </w:pPr>
    </w:p>
    <w:p w14:paraId="26AE63D8" w14:textId="77777777" w:rsidR="005B67B5" w:rsidRDefault="005B67B5" w:rsidP="00CB51AE">
      <w:pPr>
        <w:tabs>
          <w:tab w:val="left" w:pos="720"/>
        </w:tabs>
        <w:ind w:left="720"/>
        <w:jc w:val="both"/>
        <w:rPr>
          <w:rFonts w:ascii="Arial" w:hAnsi="Arial" w:cs="Arial"/>
          <w:b/>
          <w:sz w:val="22"/>
          <w:szCs w:val="22"/>
        </w:rPr>
      </w:pPr>
    </w:p>
    <w:p w14:paraId="0B390E58" w14:textId="77777777" w:rsidR="005B67B5" w:rsidRPr="00C6771F" w:rsidRDefault="005B67B5" w:rsidP="00CB51AE">
      <w:pPr>
        <w:tabs>
          <w:tab w:val="left" w:pos="720"/>
        </w:tabs>
        <w:ind w:left="720"/>
        <w:jc w:val="both"/>
        <w:rPr>
          <w:rFonts w:ascii="Arial" w:hAnsi="Arial" w:cs="Arial"/>
          <w:b/>
          <w:sz w:val="22"/>
          <w:szCs w:val="22"/>
        </w:rPr>
      </w:pPr>
    </w:p>
    <w:p w14:paraId="26D7A6E0" w14:textId="5868648A" w:rsidR="00132627" w:rsidRPr="00C6771F" w:rsidRDefault="00132627" w:rsidP="009F0094">
      <w:pPr>
        <w:numPr>
          <w:ilvl w:val="0"/>
          <w:numId w:val="25"/>
        </w:numPr>
        <w:tabs>
          <w:tab w:val="left" w:pos="720"/>
        </w:tabs>
        <w:ind w:left="720"/>
        <w:jc w:val="both"/>
        <w:rPr>
          <w:rFonts w:ascii="Arial" w:hAnsi="Arial" w:cs="Arial"/>
          <w:b/>
          <w:sz w:val="22"/>
          <w:szCs w:val="22"/>
        </w:rPr>
      </w:pPr>
      <w:r w:rsidRPr="00C6771F">
        <w:rPr>
          <w:rFonts w:ascii="Arial" w:hAnsi="Arial" w:cs="Arial"/>
          <w:b/>
          <w:sz w:val="22"/>
          <w:szCs w:val="22"/>
        </w:rPr>
        <w:lastRenderedPageBreak/>
        <w:t>Comparative Results of Operations</w:t>
      </w:r>
    </w:p>
    <w:p w14:paraId="3A29B744" w14:textId="77777777" w:rsidR="002A6351" w:rsidRPr="00C6771F" w:rsidRDefault="002A6351" w:rsidP="00E6379F">
      <w:pPr>
        <w:tabs>
          <w:tab w:val="left" w:pos="720"/>
        </w:tabs>
        <w:jc w:val="both"/>
        <w:rPr>
          <w:rFonts w:ascii="Arial" w:hAnsi="Arial" w:cs="Arial"/>
          <w:b/>
          <w:sz w:val="22"/>
          <w:szCs w:val="22"/>
        </w:rPr>
      </w:pPr>
    </w:p>
    <w:tbl>
      <w:tblPr>
        <w:tblW w:w="8640" w:type="dxa"/>
        <w:tblInd w:w="108" w:type="dxa"/>
        <w:tblLayout w:type="fixed"/>
        <w:tblLook w:val="0000" w:firstRow="0" w:lastRow="0" w:firstColumn="0" w:lastColumn="0" w:noHBand="0" w:noVBand="0"/>
      </w:tblPr>
      <w:tblGrid>
        <w:gridCol w:w="3600"/>
        <w:gridCol w:w="1680"/>
        <w:gridCol w:w="1680"/>
        <w:gridCol w:w="1680"/>
      </w:tblGrid>
      <w:tr w:rsidR="00C6771F" w:rsidRPr="00C6771F" w14:paraId="48466F65" w14:textId="77777777" w:rsidTr="00FA6791">
        <w:tc>
          <w:tcPr>
            <w:tcW w:w="3600" w:type="dxa"/>
            <w:tcBorders>
              <w:top w:val="single" w:sz="4" w:space="0" w:color="000000"/>
              <w:bottom w:val="single" w:sz="4" w:space="0" w:color="auto"/>
            </w:tcBorders>
            <w:shd w:val="clear" w:color="auto" w:fill="auto"/>
            <w:vAlign w:val="center"/>
          </w:tcPr>
          <w:p w14:paraId="6D688803" w14:textId="77777777" w:rsidR="000670BC" w:rsidRPr="00C6771F" w:rsidRDefault="000670BC" w:rsidP="00C92608">
            <w:pPr>
              <w:jc w:val="center"/>
              <w:rPr>
                <w:rFonts w:ascii="Arial" w:hAnsi="Arial" w:cs="Arial"/>
                <w:b/>
                <w:sz w:val="20"/>
                <w:szCs w:val="20"/>
              </w:rPr>
            </w:pPr>
            <w:r w:rsidRPr="00C6771F">
              <w:rPr>
                <w:rFonts w:ascii="Arial" w:hAnsi="Arial" w:cs="Arial"/>
                <w:b/>
                <w:sz w:val="20"/>
                <w:szCs w:val="20"/>
              </w:rPr>
              <w:t>Particulars</w:t>
            </w:r>
          </w:p>
        </w:tc>
        <w:tc>
          <w:tcPr>
            <w:tcW w:w="1680" w:type="dxa"/>
            <w:tcBorders>
              <w:top w:val="single" w:sz="4" w:space="0" w:color="000000"/>
              <w:bottom w:val="single" w:sz="4" w:space="0" w:color="auto"/>
            </w:tcBorders>
            <w:shd w:val="clear" w:color="auto" w:fill="auto"/>
            <w:vAlign w:val="center"/>
          </w:tcPr>
          <w:p w14:paraId="5E36D2E6" w14:textId="65DB670B" w:rsidR="000670BC" w:rsidRPr="00C6771F" w:rsidRDefault="000670BC" w:rsidP="00C869E5">
            <w:pPr>
              <w:tabs>
                <w:tab w:val="left" w:pos="432"/>
                <w:tab w:val="left" w:pos="980"/>
              </w:tabs>
              <w:jc w:val="right"/>
              <w:rPr>
                <w:rFonts w:ascii="Arial" w:hAnsi="Arial" w:cs="Arial"/>
                <w:b/>
                <w:sz w:val="20"/>
                <w:szCs w:val="20"/>
              </w:rPr>
            </w:pPr>
            <w:r w:rsidRPr="00C6771F">
              <w:rPr>
                <w:rFonts w:ascii="Arial" w:hAnsi="Arial" w:cs="Arial"/>
                <w:b/>
                <w:sz w:val="20"/>
                <w:szCs w:val="20"/>
              </w:rPr>
              <w:t>201</w:t>
            </w:r>
            <w:r w:rsidR="00451DCA" w:rsidRPr="00C6771F">
              <w:rPr>
                <w:rFonts w:ascii="Arial" w:hAnsi="Arial" w:cs="Arial"/>
                <w:b/>
                <w:sz w:val="20"/>
                <w:szCs w:val="20"/>
              </w:rPr>
              <w:t>9</w:t>
            </w:r>
          </w:p>
        </w:tc>
        <w:tc>
          <w:tcPr>
            <w:tcW w:w="1680" w:type="dxa"/>
            <w:tcBorders>
              <w:top w:val="single" w:sz="4" w:space="0" w:color="000000"/>
              <w:bottom w:val="single" w:sz="4" w:space="0" w:color="auto"/>
            </w:tcBorders>
            <w:shd w:val="clear" w:color="auto" w:fill="auto"/>
            <w:vAlign w:val="center"/>
          </w:tcPr>
          <w:p w14:paraId="00AEA50A" w14:textId="77777777" w:rsidR="000670BC" w:rsidRDefault="000670BC" w:rsidP="00C869E5">
            <w:pPr>
              <w:tabs>
                <w:tab w:val="left" w:pos="432"/>
                <w:tab w:val="left" w:pos="980"/>
              </w:tabs>
              <w:jc w:val="right"/>
              <w:rPr>
                <w:rFonts w:ascii="Arial" w:hAnsi="Arial" w:cs="Arial"/>
                <w:b/>
                <w:sz w:val="20"/>
                <w:szCs w:val="20"/>
              </w:rPr>
            </w:pPr>
            <w:r w:rsidRPr="00C6771F">
              <w:rPr>
                <w:rFonts w:ascii="Arial" w:hAnsi="Arial" w:cs="Arial"/>
                <w:b/>
                <w:sz w:val="20"/>
                <w:szCs w:val="20"/>
              </w:rPr>
              <w:t>201</w:t>
            </w:r>
            <w:r w:rsidR="00451DCA" w:rsidRPr="00C6771F">
              <w:rPr>
                <w:rFonts w:ascii="Arial" w:hAnsi="Arial" w:cs="Arial"/>
                <w:b/>
                <w:sz w:val="20"/>
                <w:szCs w:val="20"/>
              </w:rPr>
              <w:t>8</w:t>
            </w:r>
          </w:p>
          <w:p w14:paraId="7845AC79" w14:textId="46FE16D9" w:rsidR="0091315C" w:rsidRPr="00C6771F" w:rsidRDefault="0091315C" w:rsidP="00C869E5">
            <w:pPr>
              <w:tabs>
                <w:tab w:val="left" w:pos="432"/>
                <w:tab w:val="left" w:pos="980"/>
              </w:tabs>
              <w:jc w:val="right"/>
              <w:rPr>
                <w:rFonts w:ascii="Arial" w:hAnsi="Arial" w:cs="Arial"/>
                <w:b/>
                <w:sz w:val="20"/>
                <w:szCs w:val="20"/>
              </w:rPr>
            </w:pPr>
            <w:r>
              <w:rPr>
                <w:rFonts w:ascii="Arial" w:hAnsi="Arial" w:cs="Arial"/>
                <w:b/>
                <w:sz w:val="20"/>
                <w:szCs w:val="20"/>
              </w:rPr>
              <w:t>(As restated)</w:t>
            </w:r>
          </w:p>
        </w:tc>
        <w:tc>
          <w:tcPr>
            <w:tcW w:w="1680" w:type="dxa"/>
            <w:tcBorders>
              <w:top w:val="single" w:sz="4" w:space="0" w:color="000000"/>
              <w:bottom w:val="single" w:sz="4" w:space="0" w:color="auto"/>
            </w:tcBorders>
            <w:shd w:val="clear" w:color="auto" w:fill="auto"/>
            <w:vAlign w:val="center"/>
          </w:tcPr>
          <w:p w14:paraId="23F6A5E1" w14:textId="77777777" w:rsidR="000670BC" w:rsidRPr="00C6771F" w:rsidRDefault="000670BC" w:rsidP="00C92608">
            <w:pPr>
              <w:jc w:val="center"/>
              <w:rPr>
                <w:rFonts w:ascii="Arial" w:hAnsi="Arial" w:cs="Arial"/>
                <w:b/>
                <w:sz w:val="20"/>
                <w:szCs w:val="20"/>
              </w:rPr>
            </w:pPr>
            <w:r w:rsidRPr="00C6771F">
              <w:rPr>
                <w:rFonts w:ascii="Arial" w:hAnsi="Arial" w:cs="Arial"/>
                <w:b/>
                <w:sz w:val="20"/>
                <w:szCs w:val="20"/>
              </w:rPr>
              <w:t>Increase (Decrease)</w:t>
            </w:r>
          </w:p>
        </w:tc>
      </w:tr>
      <w:tr w:rsidR="00C6771F" w:rsidRPr="00C6771F" w14:paraId="7CDC9FF8" w14:textId="77777777" w:rsidTr="00FA6791">
        <w:trPr>
          <w:trHeight w:val="368"/>
        </w:trPr>
        <w:tc>
          <w:tcPr>
            <w:tcW w:w="3600" w:type="dxa"/>
            <w:tcBorders>
              <w:top w:val="single" w:sz="4" w:space="0" w:color="auto"/>
            </w:tcBorders>
            <w:shd w:val="clear" w:color="auto" w:fill="auto"/>
            <w:vAlign w:val="bottom"/>
          </w:tcPr>
          <w:p w14:paraId="512C5A8B" w14:textId="77777777" w:rsidR="00254AB1" w:rsidRPr="00C6771F" w:rsidRDefault="00254AB1" w:rsidP="00254AB1">
            <w:pPr>
              <w:jc w:val="both"/>
              <w:rPr>
                <w:rFonts w:ascii="Arial" w:hAnsi="Arial" w:cs="Arial"/>
                <w:sz w:val="20"/>
                <w:szCs w:val="20"/>
              </w:rPr>
            </w:pPr>
            <w:r w:rsidRPr="00C6771F">
              <w:rPr>
                <w:rFonts w:ascii="Arial" w:hAnsi="Arial" w:cs="Arial"/>
                <w:sz w:val="20"/>
                <w:szCs w:val="20"/>
              </w:rPr>
              <w:t>Income</w:t>
            </w:r>
          </w:p>
        </w:tc>
        <w:tc>
          <w:tcPr>
            <w:tcW w:w="1680" w:type="dxa"/>
            <w:tcBorders>
              <w:top w:val="single" w:sz="4" w:space="0" w:color="auto"/>
            </w:tcBorders>
            <w:shd w:val="clear" w:color="auto" w:fill="auto"/>
            <w:vAlign w:val="bottom"/>
          </w:tcPr>
          <w:p w14:paraId="2D9A7312" w14:textId="09EFDC20" w:rsidR="00254AB1" w:rsidRPr="00C6771F" w:rsidRDefault="009C2C2F" w:rsidP="00254AB1">
            <w:pPr>
              <w:jc w:val="right"/>
              <w:rPr>
                <w:rFonts w:ascii="Arial" w:hAnsi="Arial" w:cs="Arial"/>
                <w:sz w:val="20"/>
                <w:szCs w:val="20"/>
              </w:rPr>
            </w:pPr>
            <w:r w:rsidRPr="00C6771F">
              <w:rPr>
                <w:rFonts w:ascii="Arial" w:hAnsi="Arial" w:cs="Arial"/>
                <w:sz w:val="20"/>
                <w:szCs w:val="20"/>
              </w:rPr>
              <w:t>730,506,898</w:t>
            </w:r>
          </w:p>
        </w:tc>
        <w:tc>
          <w:tcPr>
            <w:tcW w:w="1680" w:type="dxa"/>
            <w:tcBorders>
              <w:top w:val="single" w:sz="4" w:space="0" w:color="auto"/>
            </w:tcBorders>
            <w:shd w:val="clear" w:color="auto" w:fill="auto"/>
            <w:vAlign w:val="bottom"/>
          </w:tcPr>
          <w:p w14:paraId="193D3496" w14:textId="5CFDF758" w:rsidR="00254AB1" w:rsidRPr="00C6771F" w:rsidRDefault="009C2C2F" w:rsidP="00254AB1">
            <w:pPr>
              <w:jc w:val="right"/>
              <w:rPr>
                <w:rFonts w:ascii="Arial" w:hAnsi="Arial" w:cs="Arial"/>
                <w:sz w:val="20"/>
                <w:szCs w:val="20"/>
              </w:rPr>
            </w:pPr>
            <w:r w:rsidRPr="00C6771F">
              <w:rPr>
                <w:rFonts w:ascii="Arial" w:hAnsi="Arial" w:cs="Arial"/>
                <w:sz w:val="20"/>
                <w:szCs w:val="20"/>
              </w:rPr>
              <w:t>5,861,282,587</w:t>
            </w:r>
          </w:p>
        </w:tc>
        <w:tc>
          <w:tcPr>
            <w:tcW w:w="1680" w:type="dxa"/>
            <w:tcBorders>
              <w:top w:val="single" w:sz="4" w:space="0" w:color="auto"/>
            </w:tcBorders>
            <w:shd w:val="clear" w:color="auto" w:fill="auto"/>
            <w:vAlign w:val="bottom"/>
          </w:tcPr>
          <w:p w14:paraId="5C171710" w14:textId="60FCD2D5" w:rsidR="00254AB1" w:rsidRPr="00C6771F" w:rsidRDefault="004F650A" w:rsidP="008121F3">
            <w:pPr>
              <w:ind w:right="-58"/>
              <w:jc w:val="right"/>
              <w:rPr>
                <w:rFonts w:ascii="Arial" w:hAnsi="Arial" w:cs="Arial"/>
                <w:sz w:val="20"/>
                <w:szCs w:val="20"/>
              </w:rPr>
            </w:pPr>
            <w:r w:rsidRPr="00C6771F">
              <w:rPr>
                <w:rFonts w:ascii="Arial" w:hAnsi="Arial" w:cs="Arial"/>
                <w:sz w:val="20"/>
                <w:szCs w:val="20"/>
              </w:rPr>
              <w:t>(</w:t>
            </w:r>
            <w:r w:rsidR="009C2C2F" w:rsidRPr="00C6771F">
              <w:rPr>
                <w:rFonts w:ascii="Arial" w:hAnsi="Arial" w:cs="Arial"/>
                <w:sz w:val="20"/>
                <w:szCs w:val="20"/>
              </w:rPr>
              <w:t>5,130,775,689</w:t>
            </w:r>
            <w:r w:rsidRPr="00C6771F">
              <w:rPr>
                <w:rFonts w:ascii="Arial" w:hAnsi="Arial" w:cs="Arial"/>
                <w:sz w:val="20"/>
                <w:szCs w:val="20"/>
              </w:rPr>
              <w:t>)</w:t>
            </w:r>
          </w:p>
        </w:tc>
      </w:tr>
      <w:tr w:rsidR="00C6771F" w:rsidRPr="00C6771F" w14:paraId="1354A42C" w14:textId="77777777" w:rsidTr="00FA6791">
        <w:trPr>
          <w:trHeight w:val="195"/>
        </w:trPr>
        <w:tc>
          <w:tcPr>
            <w:tcW w:w="3600" w:type="dxa"/>
            <w:shd w:val="clear" w:color="auto" w:fill="auto"/>
          </w:tcPr>
          <w:p w14:paraId="36F1E129" w14:textId="77777777" w:rsidR="00254AB1" w:rsidRPr="00C6771F" w:rsidRDefault="00254AB1" w:rsidP="00254AB1">
            <w:pPr>
              <w:snapToGrid w:val="0"/>
              <w:jc w:val="both"/>
              <w:rPr>
                <w:rFonts w:ascii="Arial" w:hAnsi="Arial" w:cs="Arial"/>
                <w:sz w:val="20"/>
                <w:szCs w:val="20"/>
              </w:rPr>
            </w:pPr>
            <w:r w:rsidRPr="00C6771F">
              <w:rPr>
                <w:rFonts w:ascii="Arial" w:hAnsi="Arial" w:cs="Arial"/>
                <w:sz w:val="20"/>
                <w:szCs w:val="20"/>
              </w:rPr>
              <w:t>Expenses</w:t>
            </w:r>
          </w:p>
        </w:tc>
        <w:tc>
          <w:tcPr>
            <w:tcW w:w="1680" w:type="dxa"/>
            <w:shd w:val="clear" w:color="auto" w:fill="auto"/>
            <w:vAlign w:val="bottom"/>
          </w:tcPr>
          <w:p w14:paraId="7857A34E" w14:textId="4B6661C0" w:rsidR="00254AB1" w:rsidRPr="00C6771F" w:rsidRDefault="00C869E5" w:rsidP="00C869E5">
            <w:pPr>
              <w:ind w:right="-57"/>
              <w:jc w:val="right"/>
              <w:rPr>
                <w:rFonts w:ascii="Arial" w:hAnsi="Arial" w:cs="Arial"/>
                <w:sz w:val="20"/>
                <w:szCs w:val="20"/>
              </w:rPr>
            </w:pPr>
            <w:r>
              <w:rPr>
                <w:rFonts w:ascii="Arial" w:hAnsi="Arial" w:cs="Arial"/>
                <w:sz w:val="20"/>
                <w:szCs w:val="20"/>
              </w:rPr>
              <w:t>(</w:t>
            </w:r>
            <w:r w:rsidR="004F650A" w:rsidRPr="00C6771F">
              <w:rPr>
                <w:rFonts w:ascii="Arial" w:hAnsi="Arial" w:cs="Arial"/>
                <w:sz w:val="20"/>
                <w:szCs w:val="20"/>
              </w:rPr>
              <w:t>98,911,301</w:t>
            </w:r>
            <w:r>
              <w:rPr>
                <w:rFonts w:ascii="Arial" w:hAnsi="Arial" w:cs="Arial"/>
                <w:sz w:val="20"/>
                <w:szCs w:val="20"/>
              </w:rPr>
              <w:t>)</w:t>
            </w:r>
          </w:p>
        </w:tc>
        <w:tc>
          <w:tcPr>
            <w:tcW w:w="1680" w:type="dxa"/>
            <w:shd w:val="clear" w:color="auto" w:fill="auto"/>
            <w:vAlign w:val="bottom"/>
          </w:tcPr>
          <w:p w14:paraId="5520D721" w14:textId="511A5020" w:rsidR="00254AB1" w:rsidRPr="00C6771F" w:rsidRDefault="00C869E5" w:rsidP="00C869E5">
            <w:pPr>
              <w:ind w:right="-57"/>
              <w:jc w:val="right"/>
              <w:rPr>
                <w:rFonts w:ascii="Arial" w:hAnsi="Arial" w:cs="Arial"/>
                <w:sz w:val="20"/>
                <w:szCs w:val="20"/>
              </w:rPr>
            </w:pPr>
            <w:r>
              <w:rPr>
                <w:rFonts w:ascii="Arial" w:hAnsi="Arial" w:cs="Arial"/>
                <w:sz w:val="20"/>
                <w:szCs w:val="20"/>
              </w:rPr>
              <w:t>(</w:t>
            </w:r>
            <w:r w:rsidR="004F650A" w:rsidRPr="00C6771F">
              <w:rPr>
                <w:rFonts w:ascii="Arial" w:hAnsi="Arial" w:cs="Arial"/>
                <w:sz w:val="20"/>
                <w:szCs w:val="20"/>
              </w:rPr>
              <w:t>134,880,628</w:t>
            </w:r>
            <w:r>
              <w:rPr>
                <w:rFonts w:ascii="Arial" w:hAnsi="Arial" w:cs="Arial"/>
                <w:sz w:val="20"/>
                <w:szCs w:val="20"/>
              </w:rPr>
              <w:t>)</w:t>
            </w:r>
          </w:p>
        </w:tc>
        <w:tc>
          <w:tcPr>
            <w:tcW w:w="1680" w:type="dxa"/>
            <w:shd w:val="clear" w:color="auto" w:fill="auto"/>
            <w:vAlign w:val="bottom"/>
          </w:tcPr>
          <w:p w14:paraId="67E9E720" w14:textId="1BB0B6AF" w:rsidR="00254AB1" w:rsidRPr="00C6771F" w:rsidRDefault="004F650A" w:rsidP="008121F3">
            <w:pPr>
              <w:ind w:right="-58"/>
              <w:jc w:val="right"/>
              <w:rPr>
                <w:rFonts w:ascii="Arial" w:hAnsi="Arial" w:cs="Arial"/>
                <w:sz w:val="20"/>
                <w:szCs w:val="20"/>
              </w:rPr>
            </w:pPr>
            <w:r w:rsidRPr="00C6771F">
              <w:rPr>
                <w:rFonts w:ascii="Arial" w:hAnsi="Arial" w:cs="Arial"/>
                <w:sz w:val="20"/>
                <w:szCs w:val="20"/>
              </w:rPr>
              <w:t>(35,969,327</w:t>
            </w:r>
            <w:r w:rsidR="008121F3" w:rsidRPr="00C6771F">
              <w:rPr>
                <w:rFonts w:ascii="Arial" w:hAnsi="Arial" w:cs="Arial"/>
                <w:sz w:val="20"/>
                <w:szCs w:val="20"/>
              </w:rPr>
              <w:t>)</w:t>
            </w:r>
          </w:p>
        </w:tc>
      </w:tr>
      <w:tr w:rsidR="00C6771F" w:rsidRPr="00C6771F" w14:paraId="25ADD392" w14:textId="77777777" w:rsidTr="00FA6791">
        <w:trPr>
          <w:trHeight w:val="80"/>
        </w:trPr>
        <w:tc>
          <w:tcPr>
            <w:tcW w:w="3600" w:type="dxa"/>
            <w:tcBorders>
              <w:bottom w:val="single" w:sz="4" w:space="0" w:color="auto"/>
            </w:tcBorders>
            <w:shd w:val="clear" w:color="auto" w:fill="auto"/>
          </w:tcPr>
          <w:p w14:paraId="312AF4E4" w14:textId="77777777" w:rsidR="00254AB1" w:rsidRPr="00C6771F" w:rsidRDefault="00254AB1" w:rsidP="00254AB1">
            <w:pPr>
              <w:rPr>
                <w:rFonts w:ascii="Arial" w:hAnsi="Arial" w:cs="Arial"/>
                <w:sz w:val="20"/>
                <w:szCs w:val="20"/>
              </w:rPr>
            </w:pPr>
            <w:r w:rsidRPr="00C6771F">
              <w:rPr>
                <w:rFonts w:ascii="Arial" w:hAnsi="Arial" w:cs="Arial"/>
                <w:sz w:val="20"/>
                <w:szCs w:val="20"/>
              </w:rPr>
              <w:t>Other comprehensive income</w:t>
            </w:r>
          </w:p>
        </w:tc>
        <w:tc>
          <w:tcPr>
            <w:tcW w:w="1680" w:type="dxa"/>
            <w:tcBorders>
              <w:bottom w:val="single" w:sz="4" w:space="0" w:color="auto"/>
            </w:tcBorders>
            <w:shd w:val="clear" w:color="auto" w:fill="auto"/>
            <w:vAlign w:val="bottom"/>
          </w:tcPr>
          <w:p w14:paraId="58019E8D" w14:textId="0E92BCB9" w:rsidR="00254AB1" w:rsidRPr="00C6771F" w:rsidRDefault="008121F3" w:rsidP="008121F3">
            <w:pPr>
              <w:jc w:val="right"/>
              <w:rPr>
                <w:rFonts w:ascii="Arial" w:hAnsi="Arial" w:cs="Arial"/>
                <w:sz w:val="20"/>
                <w:szCs w:val="20"/>
              </w:rPr>
            </w:pPr>
            <w:r w:rsidRPr="00C6771F">
              <w:rPr>
                <w:rFonts w:ascii="Arial" w:hAnsi="Arial" w:cs="Arial"/>
                <w:sz w:val="20"/>
                <w:szCs w:val="20"/>
              </w:rPr>
              <w:t>19,899,039</w:t>
            </w:r>
          </w:p>
        </w:tc>
        <w:tc>
          <w:tcPr>
            <w:tcW w:w="1680" w:type="dxa"/>
            <w:tcBorders>
              <w:bottom w:val="single" w:sz="4" w:space="0" w:color="auto"/>
            </w:tcBorders>
            <w:shd w:val="clear" w:color="auto" w:fill="auto"/>
            <w:vAlign w:val="bottom"/>
          </w:tcPr>
          <w:p w14:paraId="512C6B40" w14:textId="73484A55" w:rsidR="00254AB1" w:rsidRPr="00C6771F" w:rsidRDefault="00254AB1" w:rsidP="00254AB1">
            <w:pPr>
              <w:ind w:right="-58"/>
              <w:jc w:val="right"/>
              <w:rPr>
                <w:rFonts w:ascii="Arial" w:hAnsi="Arial" w:cs="Arial"/>
                <w:sz w:val="20"/>
                <w:szCs w:val="20"/>
              </w:rPr>
            </w:pPr>
            <w:r w:rsidRPr="00C6771F">
              <w:rPr>
                <w:rFonts w:ascii="Arial" w:hAnsi="Arial" w:cs="Arial"/>
                <w:sz w:val="20"/>
                <w:szCs w:val="20"/>
              </w:rPr>
              <w:t>(7,343,319)</w:t>
            </w:r>
          </w:p>
        </w:tc>
        <w:tc>
          <w:tcPr>
            <w:tcW w:w="1680" w:type="dxa"/>
            <w:tcBorders>
              <w:bottom w:val="single" w:sz="4" w:space="0" w:color="auto"/>
            </w:tcBorders>
            <w:shd w:val="clear" w:color="auto" w:fill="auto"/>
            <w:vAlign w:val="bottom"/>
          </w:tcPr>
          <w:p w14:paraId="301B62E6" w14:textId="6E1319D8" w:rsidR="00254AB1" w:rsidRPr="00C6771F" w:rsidRDefault="008121F3" w:rsidP="00254AB1">
            <w:pPr>
              <w:jc w:val="right"/>
              <w:rPr>
                <w:rFonts w:ascii="Arial" w:hAnsi="Arial" w:cs="Arial"/>
                <w:sz w:val="20"/>
                <w:szCs w:val="20"/>
              </w:rPr>
            </w:pPr>
            <w:r w:rsidRPr="00C6771F">
              <w:rPr>
                <w:rFonts w:ascii="Arial" w:hAnsi="Arial" w:cs="Arial"/>
                <w:sz w:val="20"/>
                <w:szCs w:val="20"/>
              </w:rPr>
              <w:fldChar w:fldCharType="begin"/>
            </w:r>
            <w:r w:rsidRPr="00C6771F">
              <w:rPr>
                <w:rFonts w:ascii="Arial" w:hAnsi="Arial" w:cs="Arial"/>
                <w:sz w:val="20"/>
                <w:szCs w:val="20"/>
              </w:rPr>
              <w:instrText xml:space="preserve"> =b4-c4 \# "#,##0" </w:instrText>
            </w:r>
            <w:r w:rsidRPr="00C6771F">
              <w:rPr>
                <w:rFonts w:ascii="Arial" w:hAnsi="Arial" w:cs="Arial"/>
                <w:sz w:val="20"/>
                <w:szCs w:val="20"/>
              </w:rPr>
              <w:fldChar w:fldCharType="separate"/>
            </w:r>
            <w:r w:rsidRPr="00C6771F">
              <w:rPr>
                <w:rFonts w:ascii="Arial" w:hAnsi="Arial" w:cs="Arial"/>
                <w:noProof/>
                <w:sz w:val="20"/>
                <w:szCs w:val="20"/>
              </w:rPr>
              <w:t>27,242,358</w:t>
            </w:r>
            <w:r w:rsidRPr="00C6771F">
              <w:rPr>
                <w:rFonts w:ascii="Arial" w:hAnsi="Arial" w:cs="Arial"/>
                <w:sz w:val="20"/>
                <w:szCs w:val="20"/>
              </w:rPr>
              <w:fldChar w:fldCharType="end"/>
            </w:r>
          </w:p>
        </w:tc>
      </w:tr>
      <w:tr w:rsidR="00C6771F" w:rsidRPr="00C6771F" w14:paraId="2CE1B101" w14:textId="77777777" w:rsidTr="00FA6791">
        <w:trPr>
          <w:trHeight w:val="331"/>
        </w:trPr>
        <w:tc>
          <w:tcPr>
            <w:tcW w:w="3600" w:type="dxa"/>
            <w:tcBorders>
              <w:top w:val="single" w:sz="4" w:space="0" w:color="auto"/>
              <w:bottom w:val="double" w:sz="4" w:space="0" w:color="auto"/>
            </w:tcBorders>
            <w:shd w:val="clear" w:color="auto" w:fill="auto"/>
            <w:vAlign w:val="bottom"/>
          </w:tcPr>
          <w:p w14:paraId="189A3C7E" w14:textId="77777777" w:rsidR="000670BC" w:rsidRPr="00C6771F" w:rsidRDefault="000670BC" w:rsidP="00FA6791">
            <w:pPr>
              <w:rPr>
                <w:rFonts w:ascii="Arial" w:hAnsi="Arial" w:cs="Arial"/>
                <w:sz w:val="20"/>
                <w:szCs w:val="20"/>
              </w:rPr>
            </w:pPr>
            <w:r w:rsidRPr="00C6771F">
              <w:rPr>
                <w:rFonts w:ascii="Arial" w:hAnsi="Arial" w:cs="Arial"/>
                <w:sz w:val="20"/>
                <w:szCs w:val="20"/>
              </w:rPr>
              <w:t>Total comprehensive income</w:t>
            </w:r>
          </w:p>
        </w:tc>
        <w:tc>
          <w:tcPr>
            <w:tcW w:w="1680" w:type="dxa"/>
            <w:tcBorders>
              <w:top w:val="single" w:sz="4" w:space="0" w:color="auto"/>
              <w:bottom w:val="double" w:sz="4" w:space="0" w:color="auto"/>
            </w:tcBorders>
            <w:shd w:val="clear" w:color="auto" w:fill="auto"/>
            <w:vAlign w:val="bottom"/>
          </w:tcPr>
          <w:p w14:paraId="700F66F1" w14:textId="2F008F5C" w:rsidR="000670BC" w:rsidRPr="00C6771F" w:rsidRDefault="00811E38" w:rsidP="00811E38">
            <w:pPr>
              <w:jc w:val="right"/>
              <w:rPr>
                <w:rFonts w:ascii="Arial" w:hAnsi="Arial" w:cs="Arial"/>
                <w:sz w:val="20"/>
                <w:szCs w:val="20"/>
              </w:rPr>
            </w:pPr>
            <w:r w:rsidRPr="00C6771F">
              <w:rPr>
                <w:rFonts w:ascii="Arial" w:hAnsi="Arial" w:cs="Arial"/>
                <w:sz w:val="20"/>
                <w:szCs w:val="20"/>
              </w:rPr>
              <w:t>651,494,636</w:t>
            </w:r>
          </w:p>
        </w:tc>
        <w:tc>
          <w:tcPr>
            <w:tcW w:w="1680" w:type="dxa"/>
            <w:tcBorders>
              <w:top w:val="single" w:sz="4" w:space="0" w:color="auto"/>
              <w:bottom w:val="double" w:sz="4" w:space="0" w:color="auto"/>
            </w:tcBorders>
            <w:shd w:val="clear" w:color="auto" w:fill="auto"/>
            <w:vAlign w:val="bottom"/>
          </w:tcPr>
          <w:p w14:paraId="19ED1C19" w14:textId="24700FDA" w:rsidR="000670BC" w:rsidRPr="00C6771F" w:rsidRDefault="00811E38" w:rsidP="00FF081A">
            <w:pPr>
              <w:jc w:val="right"/>
              <w:rPr>
                <w:rFonts w:ascii="Arial" w:hAnsi="Arial" w:cs="Arial"/>
                <w:sz w:val="20"/>
                <w:szCs w:val="20"/>
              </w:rPr>
            </w:pPr>
            <w:r w:rsidRPr="00C6771F">
              <w:rPr>
                <w:rFonts w:ascii="Arial" w:hAnsi="Arial" w:cs="Arial"/>
                <w:sz w:val="20"/>
                <w:szCs w:val="20"/>
              </w:rPr>
              <w:t>5,719,058,640</w:t>
            </w:r>
          </w:p>
        </w:tc>
        <w:tc>
          <w:tcPr>
            <w:tcW w:w="1680" w:type="dxa"/>
            <w:tcBorders>
              <w:top w:val="single" w:sz="4" w:space="0" w:color="auto"/>
              <w:bottom w:val="double" w:sz="4" w:space="0" w:color="auto"/>
            </w:tcBorders>
            <w:shd w:val="clear" w:color="auto" w:fill="auto"/>
            <w:vAlign w:val="bottom"/>
          </w:tcPr>
          <w:p w14:paraId="385B97F7" w14:textId="753EAC0E" w:rsidR="000670BC" w:rsidRPr="00C6771F" w:rsidRDefault="008121F3" w:rsidP="008121F3">
            <w:pPr>
              <w:ind w:right="-58"/>
              <w:jc w:val="right"/>
              <w:rPr>
                <w:rFonts w:ascii="Arial" w:hAnsi="Arial" w:cs="Arial"/>
                <w:sz w:val="20"/>
                <w:szCs w:val="20"/>
              </w:rPr>
            </w:pPr>
            <w:r w:rsidRPr="00C6771F">
              <w:rPr>
                <w:rFonts w:ascii="Arial" w:hAnsi="Arial" w:cs="Arial"/>
                <w:sz w:val="20"/>
                <w:szCs w:val="20"/>
              </w:rPr>
              <w:fldChar w:fldCharType="begin"/>
            </w:r>
            <w:r w:rsidRPr="00C6771F">
              <w:rPr>
                <w:rFonts w:ascii="Arial" w:hAnsi="Arial" w:cs="Arial"/>
                <w:sz w:val="20"/>
                <w:szCs w:val="20"/>
              </w:rPr>
              <w:instrText xml:space="preserve"> =d2-d3+d4 </w:instrText>
            </w:r>
            <w:r w:rsidRPr="00C6771F">
              <w:rPr>
                <w:rFonts w:ascii="Arial" w:hAnsi="Arial" w:cs="Arial"/>
                <w:sz w:val="20"/>
                <w:szCs w:val="20"/>
              </w:rPr>
              <w:fldChar w:fldCharType="separate"/>
            </w:r>
            <w:r w:rsidR="00811E38" w:rsidRPr="00C6771F">
              <w:rPr>
                <w:rFonts w:ascii="Arial" w:hAnsi="Arial" w:cs="Arial"/>
                <w:noProof/>
                <w:sz w:val="20"/>
                <w:szCs w:val="20"/>
              </w:rPr>
              <w:t>(5,067,564,004</w:t>
            </w:r>
            <w:r w:rsidRPr="00C6771F">
              <w:rPr>
                <w:rFonts w:ascii="Arial" w:hAnsi="Arial" w:cs="Arial"/>
                <w:noProof/>
                <w:sz w:val="20"/>
                <w:szCs w:val="20"/>
              </w:rPr>
              <w:t>)</w:t>
            </w:r>
            <w:r w:rsidRPr="00C6771F">
              <w:rPr>
                <w:rFonts w:ascii="Arial" w:hAnsi="Arial" w:cs="Arial"/>
                <w:sz w:val="20"/>
                <w:szCs w:val="20"/>
              </w:rPr>
              <w:fldChar w:fldCharType="end"/>
            </w:r>
          </w:p>
        </w:tc>
      </w:tr>
    </w:tbl>
    <w:p w14:paraId="6EA9B6B5" w14:textId="77777777" w:rsidR="00942592" w:rsidRPr="00C6771F" w:rsidRDefault="00942592" w:rsidP="00942592">
      <w:pPr>
        <w:suppressAutoHyphens w:val="0"/>
        <w:rPr>
          <w:rFonts w:ascii="Arial" w:hAnsi="Arial" w:cs="Arial"/>
          <w:b/>
          <w:sz w:val="22"/>
          <w:szCs w:val="22"/>
        </w:rPr>
      </w:pPr>
    </w:p>
    <w:p w14:paraId="76F44C86" w14:textId="77777777" w:rsidR="00942592" w:rsidRPr="00C6771F" w:rsidRDefault="00942592" w:rsidP="00942592">
      <w:pPr>
        <w:suppressAutoHyphens w:val="0"/>
        <w:rPr>
          <w:rFonts w:ascii="Arial" w:hAnsi="Arial" w:cs="Arial"/>
          <w:b/>
          <w:sz w:val="22"/>
          <w:szCs w:val="22"/>
        </w:rPr>
      </w:pPr>
    </w:p>
    <w:p w14:paraId="45787A8D" w14:textId="6555F940" w:rsidR="002A6351" w:rsidRPr="00C6771F" w:rsidRDefault="002A6351" w:rsidP="00942592">
      <w:pPr>
        <w:numPr>
          <w:ilvl w:val="0"/>
          <w:numId w:val="25"/>
        </w:numPr>
        <w:tabs>
          <w:tab w:val="left" w:pos="720"/>
        </w:tabs>
        <w:ind w:left="720"/>
        <w:jc w:val="both"/>
        <w:rPr>
          <w:rFonts w:ascii="Arial" w:hAnsi="Arial" w:cs="Arial"/>
          <w:b/>
          <w:sz w:val="22"/>
          <w:szCs w:val="22"/>
        </w:rPr>
      </w:pPr>
      <w:r w:rsidRPr="00C6771F">
        <w:rPr>
          <w:rFonts w:ascii="Arial" w:hAnsi="Arial" w:cs="Arial"/>
          <w:b/>
          <w:sz w:val="22"/>
          <w:szCs w:val="22"/>
        </w:rPr>
        <w:t>Comparative Corporate Operating Budget</w:t>
      </w:r>
    </w:p>
    <w:p w14:paraId="3A0241F9" w14:textId="77777777" w:rsidR="00132627" w:rsidRPr="00C6771F" w:rsidRDefault="00132627" w:rsidP="00E6379F">
      <w:pPr>
        <w:rPr>
          <w:rFonts w:ascii="Arial" w:hAnsi="Arial" w:cs="Arial"/>
          <w:sz w:val="22"/>
          <w:szCs w:val="22"/>
        </w:rPr>
      </w:pPr>
    </w:p>
    <w:p w14:paraId="3E3A2626" w14:textId="03124F48" w:rsidR="00644B3E" w:rsidRPr="00C6771F" w:rsidRDefault="003F0B55" w:rsidP="00E47A40">
      <w:pPr>
        <w:pStyle w:val="NoSpacing"/>
        <w:jc w:val="both"/>
        <w:rPr>
          <w:rFonts w:ascii="Arial" w:hAnsi="Arial" w:cs="Arial"/>
          <w:sz w:val="22"/>
          <w:szCs w:val="22"/>
        </w:rPr>
      </w:pPr>
      <w:r w:rsidRPr="00C6771F">
        <w:rPr>
          <w:rFonts w:ascii="Arial" w:hAnsi="Arial" w:cs="Arial"/>
          <w:sz w:val="22"/>
          <w:szCs w:val="22"/>
        </w:rPr>
        <w:t xml:space="preserve">The </w:t>
      </w:r>
      <w:r w:rsidR="00C05010" w:rsidRPr="00C6771F">
        <w:rPr>
          <w:rFonts w:ascii="Arial" w:hAnsi="Arial" w:cs="Arial"/>
          <w:sz w:val="22"/>
          <w:szCs w:val="22"/>
        </w:rPr>
        <w:t>System’s</w:t>
      </w:r>
      <w:r w:rsidRPr="00C6771F">
        <w:rPr>
          <w:rFonts w:ascii="Arial" w:hAnsi="Arial" w:cs="Arial"/>
          <w:sz w:val="22"/>
          <w:szCs w:val="22"/>
        </w:rPr>
        <w:t xml:space="preserve"> Cash Flow Budget </w:t>
      </w:r>
      <w:r w:rsidR="003C3031" w:rsidRPr="00C6771F">
        <w:rPr>
          <w:rFonts w:ascii="Arial" w:hAnsi="Arial" w:cs="Arial"/>
          <w:sz w:val="22"/>
          <w:szCs w:val="22"/>
        </w:rPr>
        <w:t xml:space="preserve">or the </w:t>
      </w:r>
      <w:r w:rsidRPr="00C6771F">
        <w:rPr>
          <w:rFonts w:ascii="Arial" w:hAnsi="Arial" w:cs="Arial"/>
          <w:sz w:val="22"/>
          <w:szCs w:val="22"/>
        </w:rPr>
        <w:t>Corporate Operating Budget for CY 201</w:t>
      </w:r>
      <w:r w:rsidR="008121F3" w:rsidRPr="00C6771F">
        <w:rPr>
          <w:rFonts w:ascii="Arial" w:hAnsi="Arial" w:cs="Arial"/>
          <w:sz w:val="22"/>
          <w:szCs w:val="22"/>
        </w:rPr>
        <w:t>9</w:t>
      </w:r>
      <w:r w:rsidRPr="00C6771F">
        <w:rPr>
          <w:rFonts w:ascii="Arial" w:hAnsi="Arial" w:cs="Arial"/>
          <w:sz w:val="22"/>
          <w:szCs w:val="22"/>
        </w:rPr>
        <w:t xml:space="preserve"> </w:t>
      </w:r>
      <w:r w:rsidR="003C3031" w:rsidRPr="00C6771F">
        <w:rPr>
          <w:rFonts w:ascii="Arial" w:hAnsi="Arial" w:cs="Arial"/>
          <w:sz w:val="22"/>
          <w:szCs w:val="22"/>
        </w:rPr>
        <w:t>and CY 201</w:t>
      </w:r>
      <w:r w:rsidR="008121F3" w:rsidRPr="00C6771F">
        <w:rPr>
          <w:rFonts w:ascii="Arial" w:hAnsi="Arial" w:cs="Arial"/>
          <w:sz w:val="22"/>
          <w:szCs w:val="22"/>
        </w:rPr>
        <w:t>8</w:t>
      </w:r>
      <w:r w:rsidR="0048632A" w:rsidRPr="00C6771F">
        <w:rPr>
          <w:rFonts w:ascii="Arial" w:hAnsi="Arial" w:cs="Arial"/>
          <w:sz w:val="22"/>
          <w:szCs w:val="22"/>
        </w:rPr>
        <w:t xml:space="preserve"> </w:t>
      </w:r>
      <w:r w:rsidRPr="00C6771F">
        <w:rPr>
          <w:rFonts w:ascii="Arial" w:hAnsi="Arial" w:cs="Arial"/>
          <w:sz w:val="22"/>
          <w:szCs w:val="22"/>
        </w:rPr>
        <w:t>w</w:t>
      </w:r>
      <w:r w:rsidR="003C3031" w:rsidRPr="00C6771F">
        <w:rPr>
          <w:rFonts w:ascii="Arial" w:hAnsi="Arial" w:cs="Arial"/>
          <w:sz w:val="22"/>
          <w:szCs w:val="22"/>
        </w:rPr>
        <w:t>ere</w:t>
      </w:r>
      <w:r w:rsidRPr="00C6771F">
        <w:rPr>
          <w:rFonts w:ascii="Arial" w:hAnsi="Arial" w:cs="Arial"/>
          <w:sz w:val="22"/>
          <w:szCs w:val="22"/>
        </w:rPr>
        <w:t xml:space="preserve"> approved per Board Resolution No</w:t>
      </w:r>
      <w:r w:rsidR="003C3031" w:rsidRPr="00C6771F">
        <w:rPr>
          <w:rFonts w:ascii="Arial" w:hAnsi="Arial" w:cs="Arial"/>
          <w:sz w:val="22"/>
          <w:szCs w:val="22"/>
        </w:rPr>
        <w:t>s.</w:t>
      </w:r>
      <w:r w:rsidRPr="00C6771F">
        <w:rPr>
          <w:rFonts w:ascii="Arial" w:hAnsi="Arial" w:cs="Arial"/>
          <w:sz w:val="22"/>
          <w:szCs w:val="22"/>
        </w:rPr>
        <w:t xml:space="preserve"> </w:t>
      </w:r>
      <w:r w:rsidR="006C4A3A" w:rsidRPr="00C6771F">
        <w:rPr>
          <w:rFonts w:ascii="Arial" w:hAnsi="Arial" w:cs="Arial"/>
          <w:sz w:val="22"/>
          <w:szCs w:val="22"/>
        </w:rPr>
        <w:t>01</w:t>
      </w:r>
      <w:r w:rsidRPr="00C6771F">
        <w:rPr>
          <w:rFonts w:ascii="Arial" w:hAnsi="Arial" w:cs="Arial"/>
          <w:sz w:val="22"/>
          <w:szCs w:val="22"/>
        </w:rPr>
        <w:t>-20</w:t>
      </w:r>
      <w:r w:rsidR="006C4A3A" w:rsidRPr="00C6771F">
        <w:rPr>
          <w:rFonts w:ascii="Arial" w:hAnsi="Arial" w:cs="Arial"/>
          <w:sz w:val="22"/>
          <w:szCs w:val="22"/>
        </w:rPr>
        <w:t>19</w:t>
      </w:r>
      <w:r w:rsidRPr="00C6771F">
        <w:rPr>
          <w:rFonts w:ascii="Arial" w:hAnsi="Arial" w:cs="Arial"/>
          <w:sz w:val="22"/>
          <w:szCs w:val="22"/>
        </w:rPr>
        <w:t xml:space="preserve"> </w:t>
      </w:r>
      <w:r w:rsidR="003C3031" w:rsidRPr="00C6771F">
        <w:rPr>
          <w:rFonts w:ascii="Arial" w:hAnsi="Arial" w:cs="Arial"/>
          <w:sz w:val="22"/>
          <w:szCs w:val="22"/>
        </w:rPr>
        <w:t xml:space="preserve">and </w:t>
      </w:r>
      <w:r w:rsidR="008121F3" w:rsidRPr="00C6771F">
        <w:rPr>
          <w:rFonts w:ascii="Arial" w:hAnsi="Arial" w:cs="Arial"/>
          <w:sz w:val="22"/>
          <w:szCs w:val="22"/>
        </w:rPr>
        <w:t xml:space="preserve">04-2017 </w:t>
      </w:r>
      <w:r w:rsidRPr="00C6771F">
        <w:rPr>
          <w:rFonts w:ascii="Arial" w:hAnsi="Arial" w:cs="Arial"/>
          <w:sz w:val="22"/>
          <w:szCs w:val="22"/>
        </w:rPr>
        <w:t xml:space="preserve">dated </w:t>
      </w:r>
      <w:r w:rsidR="006C4A3A" w:rsidRPr="00C6771F">
        <w:rPr>
          <w:rFonts w:ascii="Arial" w:hAnsi="Arial" w:cs="Arial"/>
          <w:sz w:val="22"/>
          <w:szCs w:val="22"/>
        </w:rPr>
        <w:t>February 21, 2019</w:t>
      </w:r>
      <w:r w:rsidR="000C18D8" w:rsidRPr="00C6771F">
        <w:rPr>
          <w:rFonts w:ascii="Arial" w:hAnsi="Arial" w:cs="Arial"/>
          <w:sz w:val="22"/>
          <w:szCs w:val="22"/>
        </w:rPr>
        <w:t xml:space="preserve"> </w:t>
      </w:r>
      <w:r w:rsidR="003C3031" w:rsidRPr="00C6771F">
        <w:rPr>
          <w:rFonts w:ascii="Arial" w:hAnsi="Arial" w:cs="Arial"/>
          <w:sz w:val="22"/>
          <w:szCs w:val="22"/>
        </w:rPr>
        <w:t xml:space="preserve">and </w:t>
      </w:r>
      <w:r w:rsidR="000670BC" w:rsidRPr="00C6771F">
        <w:rPr>
          <w:rFonts w:ascii="Arial" w:hAnsi="Arial" w:cs="Arial"/>
          <w:sz w:val="22"/>
          <w:szCs w:val="22"/>
        </w:rPr>
        <w:t xml:space="preserve">December </w:t>
      </w:r>
      <w:r w:rsidR="008121F3" w:rsidRPr="00C6771F">
        <w:rPr>
          <w:rFonts w:ascii="Arial" w:hAnsi="Arial" w:cs="Arial"/>
          <w:sz w:val="22"/>
          <w:szCs w:val="22"/>
        </w:rPr>
        <w:t>15</w:t>
      </w:r>
      <w:r w:rsidR="000670BC" w:rsidRPr="00C6771F">
        <w:rPr>
          <w:rFonts w:ascii="Arial" w:hAnsi="Arial" w:cs="Arial"/>
          <w:sz w:val="22"/>
          <w:szCs w:val="22"/>
        </w:rPr>
        <w:t>, 201</w:t>
      </w:r>
      <w:r w:rsidR="008121F3" w:rsidRPr="00C6771F">
        <w:rPr>
          <w:rFonts w:ascii="Arial" w:hAnsi="Arial" w:cs="Arial"/>
          <w:sz w:val="22"/>
          <w:szCs w:val="22"/>
        </w:rPr>
        <w:t>7</w:t>
      </w:r>
      <w:r w:rsidR="00814933" w:rsidRPr="00C6771F">
        <w:rPr>
          <w:rFonts w:ascii="Arial" w:hAnsi="Arial" w:cs="Arial"/>
          <w:sz w:val="22"/>
          <w:szCs w:val="22"/>
        </w:rPr>
        <w:t>, respectively.</w:t>
      </w:r>
      <w:r w:rsidR="000C18D8" w:rsidRPr="00C6771F">
        <w:rPr>
          <w:rFonts w:ascii="Arial" w:hAnsi="Arial" w:cs="Arial"/>
          <w:sz w:val="22"/>
          <w:szCs w:val="22"/>
        </w:rPr>
        <w:t xml:space="preserve"> </w:t>
      </w:r>
      <w:r w:rsidR="00B36A9E" w:rsidRPr="00C6771F">
        <w:rPr>
          <w:rFonts w:ascii="Arial" w:hAnsi="Arial" w:cs="Arial"/>
          <w:sz w:val="22"/>
          <w:szCs w:val="22"/>
        </w:rPr>
        <w:t xml:space="preserve"> </w:t>
      </w:r>
      <w:r w:rsidR="00814933" w:rsidRPr="00C6771F">
        <w:rPr>
          <w:rFonts w:ascii="Arial" w:hAnsi="Arial" w:cs="Arial"/>
          <w:sz w:val="22"/>
          <w:szCs w:val="22"/>
        </w:rPr>
        <w:t>Budget utilization is shown as follows</w:t>
      </w:r>
      <w:r w:rsidR="00F76BAA" w:rsidRPr="00C6771F">
        <w:rPr>
          <w:rFonts w:ascii="Arial" w:hAnsi="Arial" w:cs="Arial"/>
          <w:sz w:val="22"/>
          <w:szCs w:val="22"/>
        </w:rPr>
        <w:t xml:space="preserve"> (in millions)</w:t>
      </w:r>
      <w:r w:rsidR="00814933" w:rsidRPr="00C6771F">
        <w:rPr>
          <w:rFonts w:ascii="Arial" w:hAnsi="Arial" w:cs="Arial"/>
          <w:sz w:val="22"/>
          <w:szCs w:val="22"/>
        </w:rPr>
        <w:t>:</w:t>
      </w:r>
    </w:p>
    <w:p w14:paraId="55FA77F3" w14:textId="77777777" w:rsidR="00644B3E" w:rsidRPr="00C6771F" w:rsidRDefault="00644B3E" w:rsidP="003F0B55">
      <w:pPr>
        <w:jc w:val="both"/>
        <w:rPr>
          <w:rFonts w:ascii="Arial" w:hAnsi="Arial" w:cs="Arial"/>
          <w:sz w:val="22"/>
          <w:szCs w:val="22"/>
        </w:rPr>
      </w:pPr>
    </w:p>
    <w:tbl>
      <w:tblPr>
        <w:tblW w:w="8573" w:type="dxa"/>
        <w:jc w:val="center"/>
        <w:tblLayout w:type="fixed"/>
        <w:tblLook w:val="0000" w:firstRow="0" w:lastRow="0" w:firstColumn="0" w:lastColumn="0" w:noHBand="0" w:noVBand="0"/>
      </w:tblPr>
      <w:tblGrid>
        <w:gridCol w:w="2317"/>
        <w:gridCol w:w="1080"/>
        <w:gridCol w:w="1080"/>
        <w:gridCol w:w="1080"/>
        <w:gridCol w:w="990"/>
        <w:gridCol w:w="990"/>
        <w:gridCol w:w="1036"/>
      </w:tblGrid>
      <w:tr w:rsidR="00C6771F" w:rsidRPr="00C6771F" w14:paraId="2DC4E373" w14:textId="77777777" w:rsidTr="00644B3E">
        <w:trPr>
          <w:trHeight w:val="287"/>
          <w:jc w:val="center"/>
        </w:trPr>
        <w:tc>
          <w:tcPr>
            <w:tcW w:w="2317" w:type="dxa"/>
            <w:vMerge w:val="restart"/>
            <w:tcBorders>
              <w:top w:val="single" w:sz="4" w:space="0" w:color="000000"/>
            </w:tcBorders>
            <w:shd w:val="clear" w:color="auto" w:fill="auto"/>
            <w:vAlign w:val="center"/>
          </w:tcPr>
          <w:p w14:paraId="04D8771A" w14:textId="77777777" w:rsidR="00F76BAA" w:rsidRPr="00C6771F" w:rsidRDefault="00F76BAA" w:rsidP="00EF314B">
            <w:pPr>
              <w:jc w:val="center"/>
              <w:rPr>
                <w:rFonts w:ascii="Arial" w:hAnsi="Arial" w:cs="Arial"/>
                <w:sz w:val="20"/>
                <w:szCs w:val="20"/>
              </w:rPr>
            </w:pPr>
            <w:r w:rsidRPr="00C6771F">
              <w:rPr>
                <w:rFonts w:ascii="Arial" w:hAnsi="Arial" w:cs="Arial"/>
                <w:b/>
                <w:sz w:val="20"/>
                <w:szCs w:val="20"/>
              </w:rPr>
              <w:t>Particulars</w:t>
            </w:r>
          </w:p>
        </w:tc>
        <w:tc>
          <w:tcPr>
            <w:tcW w:w="2160" w:type="dxa"/>
            <w:gridSpan w:val="2"/>
            <w:tcBorders>
              <w:top w:val="single" w:sz="4" w:space="0" w:color="000000"/>
            </w:tcBorders>
            <w:shd w:val="clear" w:color="auto" w:fill="auto"/>
          </w:tcPr>
          <w:p w14:paraId="7F5DE168" w14:textId="77777777" w:rsidR="00F76BAA" w:rsidRPr="00C6771F" w:rsidRDefault="00F76BAA" w:rsidP="00EF314B">
            <w:pPr>
              <w:jc w:val="center"/>
              <w:rPr>
                <w:rFonts w:ascii="Arial" w:hAnsi="Arial" w:cs="Arial"/>
                <w:sz w:val="20"/>
                <w:szCs w:val="20"/>
              </w:rPr>
            </w:pPr>
            <w:r w:rsidRPr="00C6771F">
              <w:rPr>
                <w:rFonts w:ascii="Arial" w:hAnsi="Arial" w:cs="Arial"/>
                <w:b/>
                <w:sz w:val="20"/>
                <w:szCs w:val="20"/>
              </w:rPr>
              <w:t>Approved Budget</w:t>
            </w:r>
          </w:p>
        </w:tc>
        <w:tc>
          <w:tcPr>
            <w:tcW w:w="2070" w:type="dxa"/>
            <w:gridSpan w:val="2"/>
            <w:tcBorders>
              <w:top w:val="single" w:sz="4" w:space="0" w:color="000000"/>
            </w:tcBorders>
          </w:tcPr>
          <w:p w14:paraId="4F9D3F20" w14:textId="77777777" w:rsidR="00F76BAA" w:rsidRPr="00C6771F" w:rsidRDefault="00F76BAA" w:rsidP="00EF314B">
            <w:pPr>
              <w:jc w:val="center"/>
              <w:rPr>
                <w:rFonts w:ascii="Arial" w:hAnsi="Arial" w:cs="Arial"/>
                <w:b/>
                <w:sz w:val="20"/>
                <w:szCs w:val="20"/>
              </w:rPr>
            </w:pPr>
            <w:r w:rsidRPr="00C6771F">
              <w:rPr>
                <w:rFonts w:ascii="Arial" w:hAnsi="Arial" w:cs="Arial"/>
                <w:b/>
                <w:sz w:val="20"/>
                <w:szCs w:val="20"/>
              </w:rPr>
              <w:t>Utilization</w:t>
            </w:r>
          </w:p>
        </w:tc>
        <w:tc>
          <w:tcPr>
            <w:tcW w:w="2026" w:type="dxa"/>
            <w:gridSpan w:val="2"/>
            <w:tcBorders>
              <w:top w:val="single" w:sz="4" w:space="0" w:color="000000"/>
            </w:tcBorders>
          </w:tcPr>
          <w:p w14:paraId="5E8BA1A3" w14:textId="77777777" w:rsidR="00F76BAA" w:rsidRPr="00C6771F" w:rsidRDefault="00F76BAA" w:rsidP="00EF314B">
            <w:pPr>
              <w:jc w:val="center"/>
              <w:rPr>
                <w:rFonts w:ascii="Arial" w:hAnsi="Arial" w:cs="Arial"/>
                <w:sz w:val="20"/>
                <w:szCs w:val="20"/>
              </w:rPr>
            </w:pPr>
            <w:r w:rsidRPr="00C6771F">
              <w:rPr>
                <w:rFonts w:ascii="Arial" w:hAnsi="Arial" w:cs="Arial"/>
                <w:b/>
                <w:sz w:val="20"/>
                <w:szCs w:val="20"/>
              </w:rPr>
              <w:t>Variance</w:t>
            </w:r>
          </w:p>
        </w:tc>
      </w:tr>
      <w:tr w:rsidR="00C6771F" w:rsidRPr="00C6771F" w14:paraId="771FFE97" w14:textId="77777777" w:rsidTr="00644B3E">
        <w:trPr>
          <w:trHeight w:val="70"/>
          <w:jc w:val="center"/>
        </w:trPr>
        <w:tc>
          <w:tcPr>
            <w:tcW w:w="2317" w:type="dxa"/>
            <w:vMerge/>
            <w:shd w:val="clear" w:color="auto" w:fill="auto"/>
            <w:vAlign w:val="bottom"/>
          </w:tcPr>
          <w:p w14:paraId="75568891" w14:textId="77777777" w:rsidR="00F76BAA" w:rsidRPr="00C6771F" w:rsidRDefault="00F76BAA" w:rsidP="00C92608">
            <w:pPr>
              <w:rPr>
                <w:rFonts w:ascii="Arial" w:hAnsi="Arial" w:cs="Arial"/>
                <w:sz w:val="20"/>
                <w:szCs w:val="20"/>
              </w:rPr>
            </w:pPr>
          </w:p>
        </w:tc>
        <w:tc>
          <w:tcPr>
            <w:tcW w:w="1080" w:type="dxa"/>
            <w:shd w:val="clear" w:color="auto" w:fill="auto"/>
            <w:vAlign w:val="bottom"/>
          </w:tcPr>
          <w:p w14:paraId="13C2220F" w14:textId="7A6600BA" w:rsidR="00F76BAA" w:rsidRPr="00C6771F" w:rsidRDefault="00F76BAA" w:rsidP="000670BC">
            <w:pPr>
              <w:jc w:val="center"/>
              <w:rPr>
                <w:rFonts w:ascii="Arial" w:hAnsi="Arial" w:cs="Arial"/>
                <w:b/>
                <w:sz w:val="20"/>
                <w:szCs w:val="20"/>
              </w:rPr>
            </w:pPr>
            <w:r w:rsidRPr="00C6771F">
              <w:rPr>
                <w:rFonts w:ascii="Arial" w:hAnsi="Arial" w:cs="Arial"/>
                <w:b/>
                <w:sz w:val="20"/>
                <w:szCs w:val="20"/>
              </w:rPr>
              <w:t>201</w:t>
            </w:r>
            <w:r w:rsidR="008121F3" w:rsidRPr="00C6771F">
              <w:rPr>
                <w:rFonts w:ascii="Arial" w:hAnsi="Arial" w:cs="Arial"/>
                <w:b/>
                <w:sz w:val="20"/>
                <w:szCs w:val="20"/>
              </w:rPr>
              <w:t>9</w:t>
            </w:r>
          </w:p>
        </w:tc>
        <w:tc>
          <w:tcPr>
            <w:tcW w:w="1080" w:type="dxa"/>
            <w:shd w:val="clear" w:color="auto" w:fill="auto"/>
            <w:vAlign w:val="bottom"/>
          </w:tcPr>
          <w:p w14:paraId="19A144D6" w14:textId="6F6AA0BF" w:rsidR="00F76BAA" w:rsidRPr="00C6771F" w:rsidRDefault="00F76BAA" w:rsidP="00EF314B">
            <w:pPr>
              <w:jc w:val="center"/>
              <w:rPr>
                <w:rFonts w:ascii="Arial" w:hAnsi="Arial" w:cs="Arial"/>
                <w:b/>
                <w:sz w:val="20"/>
                <w:szCs w:val="20"/>
              </w:rPr>
            </w:pPr>
            <w:r w:rsidRPr="00C6771F">
              <w:rPr>
                <w:rFonts w:ascii="Arial" w:hAnsi="Arial" w:cs="Arial"/>
                <w:b/>
                <w:sz w:val="20"/>
                <w:szCs w:val="20"/>
              </w:rPr>
              <w:t>201</w:t>
            </w:r>
            <w:r w:rsidR="008121F3" w:rsidRPr="00C6771F">
              <w:rPr>
                <w:rFonts w:ascii="Arial" w:hAnsi="Arial" w:cs="Arial"/>
                <w:b/>
                <w:sz w:val="20"/>
                <w:szCs w:val="20"/>
              </w:rPr>
              <w:t>8</w:t>
            </w:r>
          </w:p>
        </w:tc>
        <w:tc>
          <w:tcPr>
            <w:tcW w:w="1080" w:type="dxa"/>
          </w:tcPr>
          <w:p w14:paraId="5ADA7FBC" w14:textId="389D0239" w:rsidR="00F76BAA" w:rsidRPr="00C6771F" w:rsidRDefault="00F76BAA" w:rsidP="000670BC">
            <w:pPr>
              <w:jc w:val="center"/>
              <w:rPr>
                <w:rFonts w:ascii="Arial" w:hAnsi="Arial" w:cs="Arial"/>
                <w:b/>
                <w:sz w:val="20"/>
                <w:szCs w:val="20"/>
              </w:rPr>
            </w:pPr>
            <w:r w:rsidRPr="00C6771F">
              <w:rPr>
                <w:rFonts w:ascii="Arial" w:hAnsi="Arial" w:cs="Arial"/>
                <w:b/>
                <w:sz w:val="20"/>
                <w:szCs w:val="20"/>
              </w:rPr>
              <w:t>201</w:t>
            </w:r>
            <w:r w:rsidR="008121F3" w:rsidRPr="00C6771F">
              <w:rPr>
                <w:rFonts w:ascii="Arial" w:hAnsi="Arial" w:cs="Arial"/>
                <w:b/>
                <w:sz w:val="20"/>
                <w:szCs w:val="20"/>
              </w:rPr>
              <w:t>9</w:t>
            </w:r>
          </w:p>
        </w:tc>
        <w:tc>
          <w:tcPr>
            <w:tcW w:w="990" w:type="dxa"/>
          </w:tcPr>
          <w:p w14:paraId="0B633FC5" w14:textId="792F61A9" w:rsidR="00F76BAA" w:rsidRPr="00C6771F" w:rsidRDefault="00F76BAA" w:rsidP="00FA6791">
            <w:pPr>
              <w:jc w:val="center"/>
              <w:rPr>
                <w:rFonts w:ascii="Arial" w:hAnsi="Arial" w:cs="Arial"/>
                <w:b/>
                <w:sz w:val="20"/>
                <w:szCs w:val="20"/>
              </w:rPr>
            </w:pPr>
            <w:r w:rsidRPr="00C6771F">
              <w:rPr>
                <w:rFonts w:ascii="Arial" w:hAnsi="Arial" w:cs="Arial"/>
                <w:b/>
                <w:sz w:val="20"/>
                <w:szCs w:val="20"/>
              </w:rPr>
              <w:t>201</w:t>
            </w:r>
            <w:r w:rsidR="008121F3" w:rsidRPr="00C6771F">
              <w:rPr>
                <w:rFonts w:ascii="Arial" w:hAnsi="Arial" w:cs="Arial"/>
                <w:b/>
                <w:sz w:val="20"/>
                <w:szCs w:val="20"/>
              </w:rPr>
              <w:t>8</w:t>
            </w:r>
          </w:p>
        </w:tc>
        <w:tc>
          <w:tcPr>
            <w:tcW w:w="990" w:type="dxa"/>
          </w:tcPr>
          <w:p w14:paraId="79920E54" w14:textId="25A86C8F" w:rsidR="00F76BAA" w:rsidRPr="00C6771F" w:rsidRDefault="00F76BAA" w:rsidP="000670BC">
            <w:pPr>
              <w:jc w:val="center"/>
              <w:rPr>
                <w:rFonts w:ascii="Arial" w:hAnsi="Arial" w:cs="Arial"/>
                <w:b/>
                <w:sz w:val="20"/>
                <w:szCs w:val="20"/>
              </w:rPr>
            </w:pPr>
            <w:r w:rsidRPr="00C6771F">
              <w:rPr>
                <w:rFonts w:ascii="Arial" w:hAnsi="Arial" w:cs="Arial"/>
                <w:b/>
                <w:sz w:val="20"/>
                <w:szCs w:val="20"/>
              </w:rPr>
              <w:t>201</w:t>
            </w:r>
            <w:r w:rsidR="008121F3" w:rsidRPr="00C6771F">
              <w:rPr>
                <w:rFonts w:ascii="Arial" w:hAnsi="Arial" w:cs="Arial"/>
                <w:b/>
                <w:sz w:val="20"/>
                <w:szCs w:val="20"/>
              </w:rPr>
              <w:t>9</w:t>
            </w:r>
          </w:p>
        </w:tc>
        <w:tc>
          <w:tcPr>
            <w:tcW w:w="1036" w:type="dxa"/>
            <w:shd w:val="clear" w:color="auto" w:fill="auto"/>
            <w:vAlign w:val="bottom"/>
          </w:tcPr>
          <w:p w14:paraId="733C9B55" w14:textId="06F432A8" w:rsidR="00F76BAA" w:rsidRPr="00C6771F" w:rsidRDefault="00F76BAA" w:rsidP="00FA6791">
            <w:pPr>
              <w:jc w:val="center"/>
              <w:rPr>
                <w:rFonts w:ascii="Arial" w:hAnsi="Arial" w:cs="Arial"/>
                <w:b/>
                <w:sz w:val="20"/>
                <w:szCs w:val="20"/>
              </w:rPr>
            </w:pPr>
            <w:r w:rsidRPr="00C6771F">
              <w:rPr>
                <w:rFonts w:ascii="Arial" w:hAnsi="Arial" w:cs="Arial"/>
                <w:b/>
                <w:sz w:val="20"/>
                <w:szCs w:val="20"/>
              </w:rPr>
              <w:t>201</w:t>
            </w:r>
            <w:r w:rsidR="008121F3" w:rsidRPr="00C6771F">
              <w:rPr>
                <w:rFonts w:ascii="Arial" w:hAnsi="Arial" w:cs="Arial"/>
                <w:b/>
                <w:sz w:val="20"/>
                <w:szCs w:val="20"/>
              </w:rPr>
              <w:t>8</w:t>
            </w:r>
          </w:p>
        </w:tc>
      </w:tr>
      <w:tr w:rsidR="00C6771F" w:rsidRPr="00C6771F" w14:paraId="6D8BFDE7" w14:textId="77777777" w:rsidTr="00644B3E">
        <w:trPr>
          <w:trHeight w:val="70"/>
          <w:jc w:val="center"/>
        </w:trPr>
        <w:tc>
          <w:tcPr>
            <w:tcW w:w="2317" w:type="dxa"/>
            <w:tcBorders>
              <w:top w:val="single" w:sz="4" w:space="0" w:color="000000"/>
            </w:tcBorders>
            <w:shd w:val="clear" w:color="auto" w:fill="auto"/>
            <w:vAlign w:val="bottom"/>
          </w:tcPr>
          <w:p w14:paraId="13F5EA85" w14:textId="77777777" w:rsidR="002F2C7E" w:rsidRPr="00C6771F" w:rsidRDefault="002F2C7E" w:rsidP="008121F3">
            <w:pPr>
              <w:ind w:left="165" w:hanging="165"/>
              <w:rPr>
                <w:rFonts w:ascii="Arial" w:hAnsi="Arial" w:cs="Arial"/>
                <w:sz w:val="20"/>
                <w:szCs w:val="20"/>
              </w:rPr>
            </w:pPr>
          </w:p>
          <w:p w14:paraId="5C32ACDB" w14:textId="77777777" w:rsidR="002F2C7E" w:rsidRPr="00C6771F" w:rsidRDefault="002F2C7E" w:rsidP="008121F3">
            <w:pPr>
              <w:ind w:left="165" w:hanging="165"/>
              <w:rPr>
                <w:rFonts w:ascii="Arial" w:hAnsi="Arial" w:cs="Arial"/>
                <w:sz w:val="20"/>
                <w:szCs w:val="20"/>
              </w:rPr>
            </w:pPr>
            <w:r w:rsidRPr="00C6771F">
              <w:rPr>
                <w:rFonts w:ascii="Arial" w:hAnsi="Arial" w:cs="Arial"/>
                <w:sz w:val="20"/>
                <w:szCs w:val="20"/>
              </w:rPr>
              <w:t>Personnel services</w:t>
            </w:r>
          </w:p>
        </w:tc>
        <w:tc>
          <w:tcPr>
            <w:tcW w:w="1080" w:type="dxa"/>
            <w:tcBorders>
              <w:top w:val="single" w:sz="4" w:space="0" w:color="000000"/>
            </w:tcBorders>
            <w:shd w:val="clear" w:color="auto" w:fill="auto"/>
            <w:vAlign w:val="bottom"/>
          </w:tcPr>
          <w:p w14:paraId="1F1E44C6" w14:textId="77BFD0D7" w:rsidR="002F2C7E" w:rsidRPr="00C6771F" w:rsidRDefault="002F2C7E" w:rsidP="008121F3">
            <w:pPr>
              <w:jc w:val="right"/>
              <w:rPr>
                <w:rFonts w:ascii="Arial" w:hAnsi="Arial" w:cs="Arial"/>
                <w:sz w:val="20"/>
                <w:szCs w:val="20"/>
              </w:rPr>
            </w:pPr>
            <w:r w:rsidRPr="00C6771F">
              <w:rPr>
                <w:rFonts w:ascii="Arial" w:hAnsi="Arial" w:cs="Arial"/>
                <w:sz w:val="20"/>
                <w:szCs w:val="20"/>
              </w:rPr>
              <w:t>73.613</w:t>
            </w:r>
          </w:p>
        </w:tc>
        <w:tc>
          <w:tcPr>
            <w:tcW w:w="1080" w:type="dxa"/>
            <w:tcBorders>
              <w:top w:val="single" w:sz="4" w:space="0" w:color="000000"/>
            </w:tcBorders>
            <w:shd w:val="clear" w:color="auto" w:fill="auto"/>
            <w:vAlign w:val="bottom"/>
          </w:tcPr>
          <w:p w14:paraId="67411307" w14:textId="131548AB" w:rsidR="002F2C7E" w:rsidRPr="00C6771F" w:rsidRDefault="002F2C7E" w:rsidP="008121F3">
            <w:pPr>
              <w:jc w:val="right"/>
              <w:rPr>
                <w:rFonts w:ascii="Arial" w:hAnsi="Arial" w:cs="Arial"/>
                <w:sz w:val="20"/>
                <w:szCs w:val="20"/>
              </w:rPr>
            </w:pPr>
            <w:r w:rsidRPr="00C6771F">
              <w:rPr>
                <w:rFonts w:ascii="Arial" w:hAnsi="Arial" w:cs="Arial"/>
                <w:sz w:val="20"/>
                <w:szCs w:val="20"/>
              </w:rPr>
              <w:t>81.271</w:t>
            </w:r>
          </w:p>
        </w:tc>
        <w:tc>
          <w:tcPr>
            <w:tcW w:w="1080" w:type="dxa"/>
            <w:tcBorders>
              <w:top w:val="single" w:sz="4" w:space="0" w:color="000000"/>
            </w:tcBorders>
            <w:vAlign w:val="bottom"/>
          </w:tcPr>
          <w:p w14:paraId="4683EF1A" w14:textId="6F8902D3" w:rsidR="002F2C7E" w:rsidRPr="00C6771F" w:rsidRDefault="002F2C7E" w:rsidP="008121F3">
            <w:pPr>
              <w:jc w:val="right"/>
              <w:rPr>
                <w:rFonts w:ascii="Arial" w:hAnsi="Arial" w:cs="Arial"/>
                <w:sz w:val="20"/>
                <w:szCs w:val="20"/>
              </w:rPr>
            </w:pPr>
            <w:r w:rsidRPr="00C6771F">
              <w:rPr>
                <w:rFonts w:ascii="Arial" w:hAnsi="Arial" w:cs="Arial"/>
                <w:sz w:val="20"/>
                <w:szCs w:val="20"/>
              </w:rPr>
              <w:t>65.003</w:t>
            </w:r>
          </w:p>
        </w:tc>
        <w:tc>
          <w:tcPr>
            <w:tcW w:w="990" w:type="dxa"/>
            <w:tcBorders>
              <w:top w:val="single" w:sz="4" w:space="0" w:color="000000"/>
            </w:tcBorders>
            <w:vAlign w:val="bottom"/>
          </w:tcPr>
          <w:p w14:paraId="4E788014" w14:textId="51A9C64A" w:rsidR="002F2C7E" w:rsidRPr="00C6771F" w:rsidRDefault="002F2C7E" w:rsidP="008121F3">
            <w:pPr>
              <w:jc w:val="right"/>
              <w:rPr>
                <w:rFonts w:ascii="Arial" w:hAnsi="Arial" w:cs="Arial"/>
                <w:sz w:val="20"/>
                <w:szCs w:val="20"/>
              </w:rPr>
            </w:pPr>
            <w:r w:rsidRPr="00C6771F">
              <w:rPr>
                <w:rFonts w:ascii="Arial" w:hAnsi="Arial" w:cs="Arial"/>
                <w:sz w:val="20"/>
                <w:szCs w:val="20"/>
              </w:rPr>
              <w:t>101.899</w:t>
            </w:r>
          </w:p>
        </w:tc>
        <w:tc>
          <w:tcPr>
            <w:tcW w:w="990" w:type="dxa"/>
            <w:tcBorders>
              <w:top w:val="single" w:sz="4" w:space="0" w:color="000000"/>
            </w:tcBorders>
            <w:vAlign w:val="bottom"/>
          </w:tcPr>
          <w:p w14:paraId="7FD64B9D" w14:textId="36C939B9" w:rsidR="002F2C7E" w:rsidRPr="00C6771F" w:rsidRDefault="002F2C7E" w:rsidP="005B67B5">
            <w:pPr>
              <w:ind w:right="-58"/>
              <w:jc w:val="right"/>
              <w:rPr>
                <w:rFonts w:ascii="Arial" w:hAnsi="Arial" w:cs="Arial"/>
                <w:sz w:val="20"/>
                <w:szCs w:val="20"/>
              </w:rPr>
            </w:pPr>
            <w:r w:rsidRPr="00C6771F">
              <w:rPr>
                <w:rFonts w:ascii="Arial" w:hAnsi="Arial" w:cs="Arial"/>
                <w:sz w:val="20"/>
                <w:szCs w:val="20"/>
              </w:rPr>
              <w:t>8.61</w:t>
            </w:r>
            <w:r w:rsidR="005B67B5">
              <w:rPr>
                <w:rFonts w:ascii="Arial" w:hAnsi="Arial" w:cs="Arial"/>
                <w:sz w:val="20"/>
                <w:szCs w:val="20"/>
              </w:rPr>
              <w:t>0</w:t>
            </w:r>
          </w:p>
        </w:tc>
        <w:tc>
          <w:tcPr>
            <w:tcW w:w="1036" w:type="dxa"/>
            <w:tcBorders>
              <w:top w:val="single" w:sz="4" w:space="0" w:color="000000"/>
            </w:tcBorders>
            <w:shd w:val="clear" w:color="auto" w:fill="auto"/>
            <w:vAlign w:val="bottom"/>
          </w:tcPr>
          <w:p w14:paraId="5B1FC9C2" w14:textId="1739D29F" w:rsidR="002F2C7E" w:rsidRPr="00C6771F" w:rsidRDefault="002F2C7E" w:rsidP="008121F3">
            <w:pPr>
              <w:ind w:right="-58"/>
              <w:jc w:val="right"/>
              <w:rPr>
                <w:rFonts w:ascii="Arial" w:hAnsi="Arial" w:cs="Arial"/>
                <w:sz w:val="20"/>
                <w:szCs w:val="20"/>
              </w:rPr>
            </w:pPr>
            <w:r w:rsidRPr="00C6771F">
              <w:rPr>
                <w:rFonts w:ascii="Arial" w:hAnsi="Arial" w:cs="Arial"/>
                <w:sz w:val="20"/>
                <w:szCs w:val="20"/>
              </w:rPr>
              <w:t>(20.628)</w:t>
            </w:r>
          </w:p>
        </w:tc>
      </w:tr>
      <w:tr w:rsidR="00C6771F" w:rsidRPr="00C6771F" w14:paraId="0DF32EB7" w14:textId="77777777" w:rsidTr="00644B3E">
        <w:trPr>
          <w:trHeight w:val="80"/>
          <w:jc w:val="center"/>
        </w:trPr>
        <w:tc>
          <w:tcPr>
            <w:tcW w:w="2317" w:type="dxa"/>
            <w:shd w:val="clear" w:color="auto" w:fill="auto"/>
            <w:vAlign w:val="bottom"/>
          </w:tcPr>
          <w:p w14:paraId="2E986C5F" w14:textId="77777777" w:rsidR="002F2C7E" w:rsidRPr="00C6771F" w:rsidRDefault="002F2C7E" w:rsidP="008121F3">
            <w:pPr>
              <w:ind w:left="165" w:hanging="165"/>
              <w:rPr>
                <w:rFonts w:ascii="Arial" w:hAnsi="Arial" w:cs="Arial"/>
                <w:sz w:val="20"/>
                <w:szCs w:val="20"/>
              </w:rPr>
            </w:pPr>
            <w:r w:rsidRPr="00C6771F">
              <w:rPr>
                <w:rFonts w:ascii="Arial" w:hAnsi="Arial" w:cs="Arial"/>
                <w:sz w:val="20"/>
                <w:szCs w:val="20"/>
              </w:rPr>
              <w:t>Maintenance and other operating expenses</w:t>
            </w:r>
          </w:p>
        </w:tc>
        <w:tc>
          <w:tcPr>
            <w:tcW w:w="1080" w:type="dxa"/>
            <w:shd w:val="clear" w:color="auto" w:fill="auto"/>
            <w:vAlign w:val="bottom"/>
          </w:tcPr>
          <w:p w14:paraId="28825041" w14:textId="38288A40" w:rsidR="002F2C7E" w:rsidRPr="00C6771F" w:rsidRDefault="002F2C7E" w:rsidP="008121F3">
            <w:pPr>
              <w:tabs>
                <w:tab w:val="center" w:pos="1557"/>
                <w:tab w:val="right" w:pos="3114"/>
              </w:tabs>
              <w:jc w:val="right"/>
              <w:rPr>
                <w:rFonts w:ascii="Arial" w:hAnsi="Arial" w:cs="Arial"/>
                <w:sz w:val="20"/>
                <w:szCs w:val="20"/>
              </w:rPr>
            </w:pPr>
            <w:r w:rsidRPr="00C6771F">
              <w:rPr>
                <w:rFonts w:ascii="Arial" w:hAnsi="Arial" w:cs="Arial"/>
                <w:sz w:val="20"/>
                <w:szCs w:val="20"/>
              </w:rPr>
              <w:t>225.574</w:t>
            </w:r>
          </w:p>
        </w:tc>
        <w:tc>
          <w:tcPr>
            <w:tcW w:w="1080" w:type="dxa"/>
            <w:shd w:val="clear" w:color="auto" w:fill="auto"/>
            <w:vAlign w:val="bottom"/>
          </w:tcPr>
          <w:p w14:paraId="2A4D9BFD" w14:textId="15EE43D6" w:rsidR="002F2C7E" w:rsidRPr="00C6771F" w:rsidRDefault="002F2C7E" w:rsidP="008121F3">
            <w:pPr>
              <w:tabs>
                <w:tab w:val="center" w:pos="1557"/>
                <w:tab w:val="right" w:pos="3114"/>
              </w:tabs>
              <w:jc w:val="right"/>
              <w:rPr>
                <w:rFonts w:ascii="Arial" w:hAnsi="Arial" w:cs="Arial"/>
                <w:sz w:val="20"/>
                <w:szCs w:val="20"/>
              </w:rPr>
            </w:pPr>
            <w:r w:rsidRPr="00C6771F">
              <w:rPr>
                <w:rFonts w:ascii="Arial" w:hAnsi="Arial" w:cs="Arial"/>
                <w:sz w:val="20"/>
                <w:szCs w:val="20"/>
              </w:rPr>
              <w:t>123.801</w:t>
            </w:r>
          </w:p>
        </w:tc>
        <w:tc>
          <w:tcPr>
            <w:tcW w:w="1080" w:type="dxa"/>
            <w:vAlign w:val="bottom"/>
          </w:tcPr>
          <w:p w14:paraId="7E661299" w14:textId="4FAA497A" w:rsidR="002F2C7E" w:rsidRPr="00C6771F" w:rsidRDefault="002F2C7E" w:rsidP="008121F3">
            <w:pPr>
              <w:tabs>
                <w:tab w:val="center" w:pos="1557"/>
                <w:tab w:val="right" w:pos="3114"/>
              </w:tabs>
              <w:jc w:val="right"/>
              <w:rPr>
                <w:rFonts w:ascii="Arial" w:hAnsi="Arial" w:cs="Arial"/>
                <w:sz w:val="20"/>
                <w:szCs w:val="20"/>
              </w:rPr>
            </w:pPr>
            <w:r w:rsidRPr="00C6771F">
              <w:rPr>
                <w:rFonts w:ascii="Arial" w:hAnsi="Arial" w:cs="Arial"/>
                <w:sz w:val="20"/>
                <w:szCs w:val="20"/>
              </w:rPr>
              <w:t>33.909</w:t>
            </w:r>
          </w:p>
        </w:tc>
        <w:tc>
          <w:tcPr>
            <w:tcW w:w="990" w:type="dxa"/>
            <w:vAlign w:val="bottom"/>
          </w:tcPr>
          <w:p w14:paraId="2CE461AF" w14:textId="31B87C93" w:rsidR="002F2C7E" w:rsidRPr="00C6771F" w:rsidRDefault="002F2C7E" w:rsidP="008121F3">
            <w:pPr>
              <w:tabs>
                <w:tab w:val="center" w:pos="1557"/>
                <w:tab w:val="right" w:pos="3114"/>
              </w:tabs>
              <w:jc w:val="right"/>
              <w:rPr>
                <w:rFonts w:ascii="Arial" w:hAnsi="Arial" w:cs="Arial"/>
                <w:sz w:val="20"/>
                <w:szCs w:val="20"/>
              </w:rPr>
            </w:pPr>
            <w:r w:rsidRPr="00C6771F">
              <w:rPr>
                <w:rFonts w:ascii="Arial" w:hAnsi="Arial" w:cs="Arial"/>
                <w:sz w:val="20"/>
                <w:szCs w:val="20"/>
              </w:rPr>
              <w:t>32.714</w:t>
            </w:r>
          </w:p>
        </w:tc>
        <w:tc>
          <w:tcPr>
            <w:tcW w:w="990" w:type="dxa"/>
            <w:vAlign w:val="bottom"/>
          </w:tcPr>
          <w:p w14:paraId="508431D8" w14:textId="7EC7A3C5" w:rsidR="002F2C7E" w:rsidRPr="00C6771F" w:rsidRDefault="002F2C7E" w:rsidP="002F2C7E">
            <w:pPr>
              <w:tabs>
                <w:tab w:val="center" w:pos="1557"/>
                <w:tab w:val="right" w:pos="3114"/>
              </w:tabs>
              <w:jc w:val="right"/>
              <w:rPr>
                <w:rFonts w:ascii="Arial" w:hAnsi="Arial" w:cs="Arial"/>
                <w:sz w:val="20"/>
                <w:szCs w:val="20"/>
              </w:rPr>
            </w:pPr>
            <w:r w:rsidRPr="00C6771F">
              <w:rPr>
                <w:rFonts w:ascii="Arial" w:hAnsi="Arial" w:cs="Arial"/>
                <w:sz w:val="20"/>
                <w:szCs w:val="20"/>
              </w:rPr>
              <w:t>191.665</w:t>
            </w:r>
          </w:p>
        </w:tc>
        <w:tc>
          <w:tcPr>
            <w:tcW w:w="1036" w:type="dxa"/>
            <w:shd w:val="clear" w:color="auto" w:fill="auto"/>
            <w:vAlign w:val="bottom"/>
          </w:tcPr>
          <w:p w14:paraId="7A78F8F1" w14:textId="019217C5" w:rsidR="002F2C7E" w:rsidRPr="00C6771F" w:rsidRDefault="002F2C7E" w:rsidP="008121F3">
            <w:pPr>
              <w:tabs>
                <w:tab w:val="center" w:pos="1557"/>
                <w:tab w:val="right" w:pos="3114"/>
              </w:tabs>
              <w:jc w:val="right"/>
              <w:rPr>
                <w:rFonts w:ascii="Arial" w:hAnsi="Arial" w:cs="Arial"/>
                <w:sz w:val="20"/>
                <w:szCs w:val="20"/>
              </w:rPr>
            </w:pPr>
            <w:r w:rsidRPr="00C6771F">
              <w:rPr>
                <w:rFonts w:ascii="Arial" w:hAnsi="Arial" w:cs="Arial"/>
                <w:sz w:val="20"/>
                <w:szCs w:val="20"/>
              </w:rPr>
              <w:t>91.087</w:t>
            </w:r>
          </w:p>
        </w:tc>
      </w:tr>
      <w:tr w:rsidR="00C6771F" w:rsidRPr="00C6771F" w14:paraId="5166B6CE" w14:textId="77777777" w:rsidTr="00644B3E">
        <w:trPr>
          <w:trHeight w:val="80"/>
          <w:jc w:val="center"/>
        </w:trPr>
        <w:tc>
          <w:tcPr>
            <w:tcW w:w="2317" w:type="dxa"/>
            <w:tcBorders>
              <w:bottom w:val="single" w:sz="4" w:space="0" w:color="000000"/>
            </w:tcBorders>
            <w:shd w:val="clear" w:color="auto" w:fill="auto"/>
            <w:vAlign w:val="bottom"/>
          </w:tcPr>
          <w:p w14:paraId="4553CB04" w14:textId="77777777" w:rsidR="002F2C7E" w:rsidRPr="00C6771F" w:rsidRDefault="002F2C7E" w:rsidP="008121F3">
            <w:pPr>
              <w:ind w:left="165" w:hanging="165"/>
              <w:rPr>
                <w:rFonts w:ascii="Arial" w:hAnsi="Arial" w:cs="Arial"/>
                <w:sz w:val="20"/>
                <w:szCs w:val="20"/>
              </w:rPr>
            </w:pPr>
            <w:r w:rsidRPr="00C6771F">
              <w:rPr>
                <w:rFonts w:ascii="Arial" w:hAnsi="Arial" w:cs="Arial"/>
                <w:sz w:val="20"/>
                <w:szCs w:val="20"/>
              </w:rPr>
              <w:t>Capital expenditures</w:t>
            </w:r>
          </w:p>
        </w:tc>
        <w:tc>
          <w:tcPr>
            <w:tcW w:w="1080" w:type="dxa"/>
            <w:tcBorders>
              <w:bottom w:val="single" w:sz="4" w:space="0" w:color="000000"/>
            </w:tcBorders>
            <w:shd w:val="clear" w:color="auto" w:fill="auto"/>
            <w:vAlign w:val="bottom"/>
          </w:tcPr>
          <w:p w14:paraId="3AA03C8F" w14:textId="3DC0780A" w:rsidR="002F2C7E" w:rsidRPr="00C6771F" w:rsidRDefault="002F2C7E" w:rsidP="008121F3">
            <w:pPr>
              <w:jc w:val="right"/>
              <w:rPr>
                <w:rFonts w:ascii="Arial" w:hAnsi="Arial" w:cs="Arial"/>
                <w:sz w:val="20"/>
                <w:szCs w:val="20"/>
              </w:rPr>
            </w:pPr>
            <w:r w:rsidRPr="00C6771F">
              <w:rPr>
                <w:rFonts w:ascii="Arial" w:hAnsi="Arial" w:cs="Arial"/>
                <w:sz w:val="20"/>
                <w:szCs w:val="20"/>
              </w:rPr>
              <w:t>0.613</w:t>
            </w:r>
          </w:p>
        </w:tc>
        <w:tc>
          <w:tcPr>
            <w:tcW w:w="1080" w:type="dxa"/>
            <w:tcBorders>
              <w:bottom w:val="single" w:sz="4" w:space="0" w:color="000000"/>
            </w:tcBorders>
            <w:shd w:val="clear" w:color="auto" w:fill="auto"/>
            <w:vAlign w:val="bottom"/>
          </w:tcPr>
          <w:p w14:paraId="30400734" w14:textId="4075F019" w:rsidR="002F2C7E" w:rsidRPr="00C6771F" w:rsidRDefault="002F2C7E" w:rsidP="008121F3">
            <w:pPr>
              <w:jc w:val="right"/>
              <w:rPr>
                <w:rFonts w:ascii="Arial" w:hAnsi="Arial" w:cs="Arial"/>
                <w:sz w:val="20"/>
                <w:szCs w:val="20"/>
              </w:rPr>
            </w:pPr>
            <w:r w:rsidRPr="00C6771F">
              <w:rPr>
                <w:rFonts w:ascii="Arial" w:hAnsi="Arial" w:cs="Arial"/>
                <w:sz w:val="20"/>
                <w:szCs w:val="20"/>
              </w:rPr>
              <w:t>3.414</w:t>
            </w:r>
          </w:p>
        </w:tc>
        <w:tc>
          <w:tcPr>
            <w:tcW w:w="1080" w:type="dxa"/>
            <w:tcBorders>
              <w:bottom w:val="single" w:sz="4" w:space="0" w:color="000000"/>
            </w:tcBorders>
            <w:vAlign w:val="bottom"/>
          </w:tcPr>
          <w:p w14:paraId="236113C9" w14:textId="50629D6D" w:rsidR="002F2C7E" w:rsidRPr="00C6771F" w:rsidRDefault="002F2C7E" w:rsidP="008121F3">
            <w:pPr>
              <w:jc w:val="right"/>
              <w:rPr>
                <w:rFonts w:ascii="Arial" w:hAnsi="Arial" w:cs="Arial"/>
                <w:sz w:val="20"/>
                <w:szCs w:val="20"/>
              </w:rPr>
            </w:pPr>
            <w:r w:rsidRPr="00C6771F">
              <w:rPr>
                <w:rFonts w:ascii="Arial" w:hAnsi="Arial" w:cs="Arial"/>
                <w:sz w:val="20"/>
                <w:szCs w:val="20"/>
              </w:rPr>
              <w:t>0.098</w:t>
            </w:r>
          </w:p>
        </w:tc>
        <w:tc>
          <w:tcPr>
            <w:tcW w:w="990" w:type="dxa"/>
            <w:tcBorders>
              <w:bottom w:val="single" w:sz="4" w:space="0" w:color="000000"/>
            </w:tcBorders>
            <w:vAlign w:val="bottom"/>
          </w:tcPr>
          <w:p w14:paraId="5E40BAD8" w14:textId="66452CEB" w:rsidR="002F2C7E" w:rsidRPr="00C6771F" w:rsidRDefault="002F2C7E" w:rsidP="008121F3">
            <w:pPr>
              <w:jc w:val="right"/>
              <w:rPr>
                <w:rFonts w:ascii="Arial" w:hAnsi="Arial" w:cs="Arial"/>
                <w:sz w:val="20"/>
                <w:szCs w:val="20"/>
              </w:rPr>
            </w:pPr>
            <w:r w:rsidRPr="00C6771F">
              <w:rPr>
                <w:rFonts w:ascii="Arial" w:hAnsi="Arial" w:cs="Arial"/>
                <w:sz w:val="20"/>
                <w:szCs w:val="20"/>
              </w:rPr>
              <w:t>0.318</w:t>
            </w:r>
          </w:p>
        </w:tc>
        <w:tc>
          <w:tcPr>
            <w:tcW w:w="990" w:type="dxa"/>
            <w:tcBorders>
              <w:bottom w:val="single" w:sz="4" w:space="0" w:color="000000"/>
            </w:tcBorders>
            <w:vAlign w:val="bottom"/>
          </w:tcPr>
          <w:p w14:paraId="744CCC7A" w14:textId="37FF1B66" w:rsidR="002F2C7E" w:rsidRPr="00C6771F" w:rsidRDefault="002F2C7E" w:rsidP="008121F3">
            <w:pPr>
              <w:jc w:val="right"/>
              <w:rPr>
                <w:rFonts w:ascii="Arial" w:hAnsi="Arial" w:cs="Arial"/>
                <w:sz w:val="20"/>
                <w:szCs w:val="20"/>
              </w:rPr>
            </w:pPr>
            <w:r w:rsidRPr="00C6771F">
              <w:rPr>
                <w:rFonts w:ascii="Arial" w:hAnsi="Arial" w:cs="Arial"/>
                <w:sz w:val="20"/>
                <w:szCs w:val="20"/>
              </w:rPr>
              <w:t>0.515</w:t>
            </w:r>
          </w:p>
        </w:tc>
        <w:tc>
          <w:tcPr>
            <w:tcW w:w="1036" w:type="dxa"/>
            <w:tcBorders>
              <w:bottom w:val="single" w:sz="4" w:space="0" w:color="000000"/>
            </w:tcBorders>
            <w:shd w:val="clear" w:color="auto" w:fill="auto"/>
            <w:vAlign w:val="bottom"/>
          </w:tcPr>
          <w:p w14:paraId="414D669F" w14:textId="7EC94D4F" w:rsidR="002F2C7E" w:rsidRPr="00C6771F" w:rsidRDefault="002F2C7E" w:rsidP="008121F3">
            <w:pPr>
              <w:jc w:val="right"/>
              <w:rPr>
                <w:rFonts w:ascii="Arial" w:hAnsi="Arial" w:cs="Arial"/>
                <w:sz w:val="20"/>
                <w:szCs w:val="20"/>
              </w:rPr>
            </w:pPr>
            <w:r w:rsidRPr="00C6771F">
              <w:rPr>
                <w:rFonts w:ascii="Arial" w:hAnsi="Arial" w:cs="Arial"/>
                <w:sz w:val="20"/>
                <w:szCs w:val="20"/>
              </w:rPr>
              <w:t>3.096</w:t>
            </w:r>
          </w:p>
        </w:tc>
      </w:tr>
      <w:tr w:rsidR="007B526F" w:rsidRPr="00C6771F" w14:paraId="452A10F1" w14:textId="77777777" w:rsidTr="00644B3E">
        <w:trPr>
          <w:trHeight w:val="360"/>
          <w:jc w:val="center"/>
        </w:trPr>
        <w:tc>
          <w:tcPr>
            <w:tcW w:w="2317" w:type="dxa"/>
            <w:tcBorders>
              <w:top w:val="single" w:sz="4" w:space="0" w:color="000000"/>
              <w:bottom w:val="double" w:sz="4" w:space="0" w:color="auto"/>
            </w:tcBorders>
            <w:shd w:val="clear" w:color="auto" w:fill="auto"/>
            <w:vAlign w:val="bottom"/>
          </w:tcPr>
          <w:p w14:paraId="6C7FDCE4" w14:textId="77777777" w:rsidR="000B68CC" w:rsidRPr="00C6771F" w:rsidRDefault="000B68CC" w:rsidP="00EF314B">
            <w:pPr>
              <w:rPr>
                <w:rFonts w:ascii="Arial" w:hAnsi="Arial" w:cs="Arial"/>
                <w:b/>
                <w:sz w:val="20"/>
                <w:szCs w:val="20"/>
              </w:rPr>
            </w:pPr>
            <w:r w:rsidRPr="00C6771F">
              <w:rPr>
                <w:rFonts w:ascii="Arial" w:hAnsi="Arial" w:cs="Arial"/>
                <w:b/>
                <w:sz w:val="20"/>
                <w:szCs w:val="20"/>
              </w:rPr>
              <w:t>Total</w:t>
            </w:r>
          </w:p>
        </w:tc>
        <w:tc>
          <w:tcPr>
            <w:tcW w:w="1080" w:type="dxa"/>
            <w:tcBorders>
              <w:top w:val="single" w:sz="4" w:space="0" w:color="000000"/>
              <w:bottom w:val="double" w:sz="4" w:space="0" w:color="auto"/>
            </w:tcBorders>
            <w:shd w:val="clear" w:color="auto" w:fill="auto"/>
            <w:vAlign w:val="bottom"/>
          </w:tcPr>
          <w:p w14:paraId="004A11CA" w14:textId="53EAA293" w:rsidR="000B68CC" w:rsidRPr="00C6771F" w:rsidRDefault="001D7D97" w:rsidP="007B526F">
            <w:pPr>
              <w:jc w:val="right"/>
              <w:rPr>
                <w:rFonts w:ascii="Arial" w:hAnsi="Arial" w:cs="Arial"/>
                <w:b/>
                <w:sz w:val="20"/>
                <w:szCs w:val="20"/>
              </w:rPr>
            </w:pPr>
            <w:r w:rsidRPr="00C6771F">
              <w:rPr>
                <w:rFonts w:ascii="Arial" w:hAnsi="Arial" w:cs="Arial"/>
                <w:b/>
                <w:sz w:val="20"/>
                <w:szCs w:val="20"/>
              </w:rPr>
              <w:t>299.800</w:t>
            </w:r>
          </w:p>
        </w:tc>
        <w:tc>
          <w:tcPr>
            <w:tcW w:w="1080" w:type="dxa"/>
            <w:tcBorders>
              <w:top w:val="single" w:sz="4" w:space="0" w:color="000000"/>
              <w:bottom w:val="double" w:sz="4" w:space="0" w:color="auto"/>
            </w:tcBorders>
            <w:shd w:val="clear" w:color="auto" w:fill="auto"/>
            <w:vAlign w:val="bottom"/>
          </w:tcPr>
          <w:p w14:paraId="349928B5" w14:textId="0B1666FD" w:rsidR="000B68CC" w:rsidRPr="00C6771F" w:rsidRDefault="008121F3" w:rsidP="004A658F">
            <w:pPr>
              <w:jc w:val="right"/>
              <w:rPr>
                <w:rFonts w:ascii="Arial" w:hAnsi="Arial" w:cs="Arial"/>
                <w:b/>
                <w:sz w:val="20"/>
                <w:szCs w:val="20"/>
              </w:rPr>
            </w:pPr>
            <w:r w:rsidRPr="00C6771F">
              <w:rPr>
                <w:rFonts w:ascii="Arial" w:hAnsi="Arial" w:cs="Arial"/>
                <w:b/>
                <w:sz w:val="20"/>
                <w:szCs w:val="20"/>
              </w:rPr>
              <w:fldChar w:fldCharType="begin"/>
            </w:r>
            <w:r w:rsidRPr="00C6771F">
              <w:rPr>
                <w:rFonts w:ascii="Arial" w:hAnsi="Arial" w:cs="Arial"/>
                <w:b/>
                <w:sz w:val="20"/>
                <w:szCs w:val="20"/>
              </w:rPr>
              <w:instrText xml:space="preserve"> =c4+c5+c6 </w:instrText>
            </w:r>
            <w:r w:rsidRPr="00C6771F">
              <w:rPr>
                <w:rFonts w:ascii="Arial" w:hAnsi="Arial" w:cs="Arial"/>
                <w:b/>
                <w:sz w:val="20"/>
                <w:szCs w:val="20"/>
              </w:rPr>
              <w:fldChar w:fldCharType="separate"/>
            </w:r>
            <w:r w:rsidRPr="00C6771F">
              <w:rPr>
                <w:rFonts w:ascii="Arial" w:hAnsi="Arial" w:cs="Arial"/>
                <w:b/>
                <w:noProof/>
                <w:sz w:val="20"/>
                <w:szCs w:val="20"/>
              </w:rPr>
              <w:t>208.486</w:t>
            </w:r>
            <w:r w:rsidRPr="00C6771F">
              <w:rPr>
                <w:rFonts w:ascii="Arial" w:hAnsi="Arial" w:cs="Arial"/>
                <w:b/>
                <w:sz w:val="20"/>
                <w:szCs w:val="20"/>
              </w:rPr>
              <w:fldChar w:fldCharType="end"/>
            </w:r>
          </w:p>
        </w:tc>
        <w:tc>
          <w:tcPr>
            <w:tcW w:w="1080" w:type="dxa"/>
            <w:tcBorders>
              <w:top w:val="single" w:sz="4" w:space="0" w:color="000000"/>
              <w:bottom w:val="double" w:sz="4" w:space="0" w:color="auto"/>
            </w:tcBorders>
            <w:vAlign w:val="bottom"/>
          </w:tcPr>
          <w:p w14:paraId="72BB75AE" w14:textId="4DE02D63" w:rsidR="000B68CC" w:rsidRPr="00C6771F" w:rsidRDefault="002F2C7E" w:rsidP="00EF314B">
            <w:pPr>
              <w:jc w:val="right"/>
              <w:rPr>
                <w:rFonts w:ascii="Arial" w:hAnsi="Arial" w:cs="Arial"/>
                <w:b/>
                <w:sz w:val="20"/>
                <w:szCs w:val="20"/>
              </w:rPr>
            </w:pPr>
            <w:r w:rsidRPr="00C6771F">
              <w:rPr>
                <w:rFonts w:ascii="Arial" w:hAnsi="Arial" w:cs="Arial"/>
                <w:b/>
                <w:sz w:val="20"/>
                <w:szCs w:val="20"/>
              </w:rPr>
              <w:t>99.010</w:t>
            </w:r>
          </w:p>
        </w:tc>
        <w:tc>
          <w:tcPr>
            <w:tcW w:w="990" w:type="dxa"/>
            <w:tcBorders>
              <w:top w:val="single" w:sz="4" w:space="0" w:color="000000"/>
              <w:bottom w:val="double" w:sz="4" w:space="0" w:color="auto"/>
            </w:tcBorders>
            <w:vAlign w:val="bottom"/>
          </w:tcPr>
          <w:p w14:paraId="1C9E78D8" w14:textId="00EE8EB2" w:rsidR="000B68CC" w:rsidRPr="00C6771F" w:rsidRDefault="008D4EF6" w:rsidP="004A658F">
            <w:pPr>
              <w:jc w:val="right"/>
              <w:rPr>
                <w:rFonts w:ascii="Arial" w:hAnsi="Arial" w:cs="Arial"/>
                <w:b/>
                <w:sz w:val="20"/>
                <w:szCs w:val="20"/>
              </w:rPr>
            </w:pPr>
            <w:r w:rsidRPr="00C6771F">
              <w:rPr>
                <w:rFonts w:ascii="Arial" w:hAnsi="Arial" w:cs="Arial"/>
                <w:b/>
                <w:sz w:val="20"/>
                <w:szCs w:val="20"/>
              </w:rPr>
              <w:t>134.931</w:t>
            </w:r>
          </w:p>
        </w:tc>
        <w:tc>
          <w:tcPr>
            <w:tcW w:w="990" w:type="dxa"/>
            <w:tcBorders>
              <w:top w:val="single" w:sz="4" w:space="0" w:color="000000"/>
              <w:bottom w:val="double" w:sz="4" w:space="0" w:color="auto"/>
            </w:tcBorders>
            <w:vAlign w:val="bottom"/>
          </w:tcPr>
          <w:p w14:paraId="068EA7DA" w14:textId="15FEE513" w:rsidR="000B68CC" w:rsidRPr="00C6771F" w:rsidRDefault="005B67B5" w:rsidP="000E16CC">
            <w:pPr>
              <w:jc w:val="right"/>
              <w:rPr>
                <w:rFonts w:ascii="Arial" w:hAnsi="Arial" w:cs="Arial"/>
                <w:b/>
                <w:sz w:val="20"/>
                <w:szCs w:val="20"/>
              </w:rPr>
            </w:pPr>
            <w:r>
              <w:rPr>
                <w:rFonts w:ascii="Arial" w:hAnsi="Arial" w:cs="Arial"/>
                <w:b/>
                <w:sz w:val="20"/>
                <w:szCs w:val="20"/>
              </w:rPr>
              <w:t>200.790</w:t>
            </w:r>
          </w:p>
        </w:tc>
        <w:tc>
          <w:tcPr>
            <w:tcW w:w="1036" w:type="dxa"/>
            <w:tcBorders>
              <w:top w:val="single" w:sz="4" w:space="0" w:color="000000"/>
              <w:bottom w:val="double" w:sz="4" w:space="0" w:color="auto"/>
            </w:tcBorders>
            <w:shd w:val="clear" w:color="auto" w:fill="auto"/>
            <w:vAlign w:val="bottom"/>
          </w:tcPr>
          <w:p w14:paraId="29C9FE35" w14:textId="5F9AB5DD" w:rsidR="000B68CC" w:rsidRPr="00C6771F" w:rsidRDefault="008D4EF6" w:rsidP="008121F3">
            <w:pPr>
              <w:jc w:val="right"/>
              <w:rPr>
                <w:rFonts w:ascii="Arial" w:hAnsi="Arial" w:cs="Arial"/>
                <w:b/>
                <w:sz w:val="20"/>
                <w:szCs w:val="20"/>
              </w:rPr>
            </w:pPr>
            <w:r w:rsidRPr="00C6771F">
              <w:rPr>
                <w:rFonts w:ascii="Arial" w:hAnsi="Arial" w:cs="Arial"/>
                <w:b/>
                <w:sz w:val="20"/>
                <w:szCs w:val="20"/>
              </w:rPr>
              <w:t>73.555</w:t>
            </w:r>
          </w:p>
        </w:tc>
      </w:tr>
    </w:tbl>
    <w:p w14:paraId="79D8D7A5" w14:textId="77777777" w:rsidR="003F0B55" w:rsidRPr="00C6771F" w:rsidRDefault="003F0B55" w:rsidP="003F0B55">
      <w:pPr>
        <w:jc w:val="both"/>
        <w:rPr>
          <w:rFonts w:ascii="Arial" w:hAnsi="Arial" w:cs="Arial"/>
          <w:b/>
          <w:sz w:val="22"/>
          <w:szCs w:val="22"/>
        </w:rPr>
      </w:pPr>
    </w:p>
    <w:p w14:paraId="0ED5DCF1" w14:textId="77777777" w:rsidR="005A3300" w:rsidRPr="00C6771F" w:rsidRDefault="005A3300" w:rsidP="003F0B55">
      <w:pPr>
        <w:rPr>
          <w:rFonts w:ascii="Arial" w:hAnsi="Arial" w:cs="Arial"/>
          <w:sz w:val="22"/>
          <w:szCs w:val="22"/>
        </w:rPr>
      </w:pPr>
    </w:p>
    <w:p w14:paraId="3D89B0BD" w14:textId="77777777" w:rsidR="00132627" w:rsidRPr="00C6771F" w:rsidRDefault="005A3300">
      <w:pPr>
        <w:rPr>
          <w:rFonts w:ascii="Arial" w:hAnsi="Arial" w:cs="Arial"/>
          <w:sz w:val="22"/>
          <w:szCs w:val="22"/>
        </w:rPr>
      </w:pPr>
      <w:r w:rsidRPr="00C6771F">
        <w:rPr>
          <w:rFonts w:ascii="Arial" w:hAnsi="Arial" w:cs="Arial"/>
          <w:b/>
          <w:sz w:val="22"/>
          <w:szCs w:val="22"/>
        </w:rPr>
        <w:t xml:space="preserve">SCOPE OF </w:t>
      </w:r>
      <w:r w:rsidR="00132627" w:rsidRPr="00C6771F">
        <w:rPr>
          <w:rFonts w:ascii="Arial" w:hAnsi="Arial" w:cs="Arial"/>
          <w:b/>
          <w:sz w:val="22"/>
          <w:szCs w:val="22"/>
        </w:rPr>
        <w:t>AUDIT</w:t>
      </w:r>
    </w:p>
    <w:p w14:paraId="664E1C6C" w14:textId="77777777" w:rsidR="00132627" w:rsidRPr="00C6771F" w:rsidRDefault="00132627" w:rsidP="00AD6772">
      <w:pPr>
        <w:pStyle w:val="NoSpacing"/>
        <w:jc w:val="both"/>
        <w:rPr>
          <w:rFonts w:ascii="Arial" w:hAnsi="Arial" w:cs="Arial"/>
          <w:sz w:val="22"/>
          <w:szCs w:val="22"/>
        </w:rPr>
      </w:pPr>
    </w:p>
    <w:p w14:paraId="5DA54C4D" w14:textId="265C4A33" w:rsidR="00AD6772" w:rsidRPr="00C6771F" w:rsidRDefault="00132627" w:rsidP="00AD6772">
      <w:pPr>
        <w:pStyle w:val="NoSpacing"/>
        <w:jc w:val="both"/>
        <w:rPr>
          <w:rFonts w:ascii="Arial" w:hAnsi="Arial" w:cs="Arial"/>
          <w:sz w:val="22"/>
          <w:szCs w:val="22"/>
        </w:rPr>
      </w:pPr>
      <w:r w:rsidRPr="00C6771F">
        <w:rPr>
          <w:rFonts w:ascii="Arial" w:hAnsi="Arial" w:cs="Arial"/>
          <w:sz w:val="22"/>
          <w:szCs w:val="22"/>
        </w:rPr>
        <w:t>Our audit</w:t>
      </w:r>
      <w:r w:rsidR="005B2D15" w:rsidRPr="00C6771F">
        <w:rPr>
          <w:rFonts w:ascii="Arial" w:hAnsi="Arial" w:cs="Arial"/>
          <w:sz w:val="22"/>
          <w:szCs w:val="22"/>
        </w:rPr>
        <w:t>s</w:t>
      </w:r>
      <w:r w:rsidRPr="00C6771F">
        <w:rPr>
          <w:rFonts w:ascii="Arial" w:hAnsi="Arial" w:cs="Arial"/>
          <w:sz w:val="22"/>
          <w:szCs w:val="22"/>
        </w:rPr>
        <w:t xml:space="preserve"> covered the examination</w:t>
      </w:r>
      <w:r w:rsidR="001F67EB" w:rsidRPr="00C6771F">
        <w:rPr>
          <w:rFonts w:ascii="Arial" w:hAnsi="Arial" w:cs="Arial"/>
          <w:sz w:val="22"/>
          <w:szCs w:val="22"/>
        </w:rPr>
        <w:t>, on a test basis</w:t>
      </w:r>
      <w:r w:rsidR="005A3300" w:rsidRPr="00C6771F">
        <w:rPr>
          <w:rFonts w:ascii="Arial" w:hAnsi="Arial" w:cs="Arial"/>
          <w:sz w:val="22"/>
          <w:szCs w:val="22"/>
        </w:rPr>
        <w:t>,</w:t>
      </w:r>
      <w:r w:rsidR="001F67EB" w:rsidRPr="00C6771F">
        <w:rPr>
          <w:rFonts w:ascii="Arial" w:hAnsi="Arial" w:cs="Arial"/>
          <w:sz w:val="22"/>
          <w:szCs w:val="22"/>
        </w:rPr>
        <w:t xml:space="preserve"> of </w:t>
      </w:r>
      <w:r w:rsidRPr="00C6771F">
        <w:rPr>
          <w:rFonts w:ascii="Arial" w:hAnsi="Arial" w:cs="Arial"/>
          <w:sz w:val="22"/>
          <w:szCs w:val="22"/>
        </w:rPr>
        <w:t xml:space="preserve">the accounts and operations of the </w:t>
      </w:r>
      <w:r w:rsidR="00C05010" w:rsidRPr="00C6771F">
        <w:rPr>
          <w:rFonts w:ascii="Arial" w:hAnsi="Arial" w:cs="Arial"/>
          <w:sz w:val="22"/>
          <w:szCs w:val="22"/>
        </w:rPr>
        <w:t>System</w:t>
      </w:r>
      <w:r w:rsidRPr="00C6771F">
        <w:rPr>
          <w:rFonts w:ascii="Arial" w:hAnsi="Arial" w:cs="Arial"/>
          <w:sz w:val="22"/>
          <w:szCs w:val="22"/>
        </w:rPr>
        <w:t xml:space="preserve"> for the </w:t>
      </w:r>
      <w:r w:rsidR="001F67EB" w:rsidRPr="00C6771F">
        <w:rPr>
          <w:rFonts w:ascii="Arial" w:hAnsi="Arial" w:cs="Arial"/>
          <w:sz w:val="22"/>
          <w:szCs w:val="22"/>
        </w:rPr>
        <w:t>years</w:t>
      </w:r>
      <w:r w:rsidRPr="00C6771F">
        <w:rPr>
          <w:rFonts w:ascii="Arial" w:hAnsi="Arial" w:cs="Arial"/>
          <w:sz w:val="22"/>
          <w:szCs w:val="22"/>
        </w:rPr>
        <w:t xml:space="preserve"> ended </w:t>
      </w:r>
      <w:r w:rsidR="005A3300" w:rsidRPr="00C6771F">
        <w:rPr>
          <w:rFonts w:ascii="Arial" w:hAnsi="Arial" w:cs="Arial"/>
          <w:sz w:val="22"/>
          <w:szCs w:val="22"/>
        </w:rPr>
        <w:t xml:space="preserve">December 31, </w:t>
      </w:r>
      <w:r w:rsidRPr="00C6771F">
        <w:rPr>
          <w:rFonts w:ascii="Arial" w:hAnsi="Arial" w:cs="Arial"/>
          <w:sz w:val="22"/>
          <w:szCs w:val="22"/>
        </w:rPr>
        <w:t>201</w:t>
      </w:r>
      <w:r w:rsidR="008121F3" w:rsidRPr="00C6771F">
        <w:rPr>
          <w:rFonts w:ascii="Arial" w:hAnsi="Arial" w:cs="Arial"/>
          <w:sz w:val="22"/>
          <w:szCs w:val="22"/>
        </w:rPr>
        <w:t>9</w:t>
      </w:r>
      <w:r w:rsidR="003D5B99" w:rsidRPr="00C6771F">
        <w:rPr>
          <w:rFonts w:ascii="Arial" w:hAnsi="Arial" w:cs="Arial"/>
          <w:sz w:val="22"/>
          <w:szCs w:val="22"/>
        </w:rPr>
        <w:t xml:space="preserve"> and 201</w:t>
      </w:r>
      <w:r w:rsidR="008121F3" w:rsidRPr="00C6771F">
        <w:rPr>
          <w:rFonts w:ascii="Arial" w:hAnsi="Arial" w:cs="Arial"/>
          <w:sz w:val="22"/>
          <w:szCs w:val="22"/>
        </w:rPr>
        <w:t>8</w:t>
      </w:r>
      <w:r w:rsidRPr="00C6771F">
        <w:rPr>
          <w:rFonts w:ascii="Arial" w:hAnsi="Arial" w:cs="Arial"/>
          <w:sz w:val="22"/>
          <w:szCs w:val="22"/>
        </w:rPr>
        <w:t xml:space="preserve">. </w:t>
      </w:r>
      <w:r w:rsidR="005C60D2" w:rsidRPr="00C6771F">
        <w:rPr>
          <w:rFonts w:ascii="Arial" w:hAnsi="Arial" w:cs="Arial"/>
          <w:sz w:val="22"/>
          <w:szCs w:val="22"/>
        </w:rPr>
        <w:t xml:space="preserve"> </w:t>
      </w:r>
      <w:r w:rsidR="005A3300" w:rsidRPr="00C6771F">
        <w:rPr>
          <w:rFonts w:ascii="Arial" w:hAnsi="Arial" w:cs="Arial"/>
          <w:sz w:val="22"/>
          <w:szCs w:val="22"/>
        </w:rPr>
        <w:t>Our</w:t>
      </w:r>
      <w:r w:rsidR="001F67EB" w:rsidRPr="00C6771F">
        <w:rPr>
          <w:rFonts w:ascii="Arial" w:hAnsi="Arial" w:cs="Arial"/>
          <w:sz w:val="22"/>
          <w:szCs w:val="22"/>
        </w:rPr>
        <w:t xml:space="preserve"> audits were</w:t>
      </w:r>
      <w:r w:rsidR="005A3300" w:rsidRPr="00C6771F">
        <w:rPr>
          <w:rFonts w:ascii="Arial" w:hAnsi="Arial" w:cs="Arial"/>
          <w:sz w:val="22"/>
          <w:szCs w:val="22"/>
        </w:rPr>
        <w:t xml:space="preserve"> aimed </w:t>
      </w:r>
      <w:r w:rsidR="00863A35">
        <w:rPr>
          <w:rFonts w:ascii="Arial" w:hAnsi="Arial" w:cs="Arial"/>
          <w:sz w:val="22"/>
          <w:szCs w:val="22"/>
        </w:rPr>
        <w:t>to</w:t>
      </w:r>
      <w:r w:rsidR="005A3300" w:rsidRPr="00C6771F">
        <w:rPr>
          <w:rFonts w:ascii="Arial" w:hAnsi="Arial" w:cs="Arial"/>
          <w:sz w:val="22"/>
          <w:szCs w:val="22"/>
        </w:rPr>
        <w:t xml:space="preserve"> ascertai</w:t>
      </w:r>
      <w:r w:rsidR="00863A35">
        <w:rPr>
          <w:rFonts w:ascii="Arial" w:hAnsi="Arial" w:cs="Arial"/>
          <w:sz w:val="22"/>
          <w:szCs w:val="22"/>
        </w:rPr>
        <w:t xml:space="preserve">n </w:t>
      </w:r>
      <w:r w:rsidR="005A3300" w:rsidRPr="00C6771F">
        <w:rPr>
          <w:rFonts w:ascii="Arial" w:hAnsi="Arial" w:cs="Arial"/>
          <w:sz w:val="22"/>
          <w:szCs w:val="22"/>
        </w:rPr>
        <w:t>the fairness of the presentation of the financial statements in accordance with the</w:t>
      </w:r>
      <w:r w:rsidR="00863A35">
        <w:rPr>
          <w:rFonts w:ascii="Arial" w:hAnsi="Arial" w:cs="Arial"/>
          <w:sz w:val="22"/>
          <w:szCs w:val="22"/>
        </w:rPr>
        <w:t xml:space="preserve"> provision of</w:t>
      </w:r>
      <w:r w:rsidR="005A3300" w:rsidRPr="00C6771F">
        <w:rPr>
          <w:rFonts w:ascii="Arial" w:hAnsi="Arial" w:cs="Arial"/>
          <w:sz w:val="22"/>
          <w:szCs w:val="22"/>
        </w:rPr>
        <w:t xml:space="preserve"> Philippine Financial Reporting Standards, and were also made to assess t</w:t>
      </w:r>
      <w:r w:rsidRPr="00C6771F">
        <w:rPr>
          <w:rFonts w:ascii="Arial" w:hAnsi="Arial" w:cs="Arial"/>
          <w:sz w:val="22"/>
          <w:szCs w:val="22"/>
        </w:rPr>
        <w:t>he propriety</w:t>
      </w:r>
      <w:r w:rsidR="00AD6772" w:rsidRPr="00C6771F">
        <w:rPr>
          <w:rFonts w:ascii="Arial" w:hAnsi="Arial" w:cs="Arial"/>
          <w:sz w:val="22"/>
          <w:szCs w:val="22"/>
        </w:rPr>
        <w:t xml:space="preserve"> of the financial transactions and </w:t>
      </w:r>
      <w:r w:rsidRPr="00C6771F">
        <w:rPr>
          <w:rFonts w:ascii="Arial" w:hAnsi="Arial" w:cs="Arial"/>
          <w:sz w:val="22"/>
          <w:szCs w:val="22"/>
        </w:rPr>
        <w:t xml:space="preserve">compliance of the </w:t>
      </w:r>
      <w:r w:rsidR="002E12BC" w:rsidRPr="00C6771F">
        <w:rPr>
          <w:rFonts w:ascii="Arial" w:hAnsi="Arial" w:cs="Arial"/>
          <w:sz w:val="22"/>
          <w:szCs w:val="22"/>
        </w:rPr>
        <w:t>System</w:t>
      </w:r>
      <w:r w:rsidRPr="00C6771F">
        <w:rPr>
          <w:rFonts w:ascii="Arial" w:hAnsi="Arial" w:cs="Arial"/>
          <w:sz w:val="22"/>
          <w:szCs w:val="22"/>
        </w:rPr>
        <w:t xml:space="preserve"> with prescribed </w:t>
      </w:r>
      <w:r w:rsidR="00AD6772" w:rsidRPr="00C6771F">
        <w:rPr>
          <w:rFonts w:ascii="Arial" w:hAnsi="Arial" w:cs="Arial"/>
          <w:sz w:val="22"/>
          <w:szCs w:val="22"/>
        </w:rPr>
        <w:t>laws, rules and regulations.</w:t>
      </w:r>
    </w:p>
    <w:p w14:paraId="296D037C" w14:textId="77777777" w:rsidR="00132627" w:rsidRPr="00C6771F" w:rsidRDefault="00132627" w:rsidP="00AD6772">
      <w:pPr>
        <w:pStyle w:val="NoSpacing"/>
        <w:jc w:val="both"/>
        <w:rPr>
          <w:rFonts w:ascii="Arial" w:hAnsi="Arial" w:cs="Arial"/>
          <w:sz w:val="22"/>
          <w:szCs w:val="22"/>
        </w:rPr>
      </w:pPr>
    </w:p>
    <w:p w14:paraId="562B79E5" w14:textId="77777777" w:rsidR="000049DB" w:rsidRPr="00C6771F" w:rsidRDefault="000049DB" w:rsidP="00AD6772">
      <w:pPr>
        <w:pStyle w:val="NoSpacing"/>
        <w:jc w:val="both"/>
        <w:rPr>
          <w:rFonts w:ascii="Arial" w:hAnsi="Arial" w:cs="Arial"/>
          <w:sz w:val="22"/>
          <w:szCs w:val="22"/>
        </w:rPr>
      </w:pPr>
    </w:p>
    <w:p w14:paraId="5CF03BD4" w14:textId="77777777" w:rsidR="00132627" w:rsidRPr="00C6771F" w:rsidRDefault="000049DB">
      <w:pPr>
        <w:jc w:val="both"/>
        <w:rPr>
          <w:rFonts w:ascii="Arial" w:hAnsi="Arial" w:cs="Arial"/>
          <w:b/>
          <w:sz w:val="22"/>
          <w:szCs w:val="22"/>
        </w:rPr>
      </w:pPr>
      <w:r w:rsidRPr="00C6771F">
        <w:rPr>
          <w:rFonts w:ascii="Arial" w:hAnsi="Arial" w:cs="Arial"/>
          <w:b/>
          <w:sz w:val="22"/>
          <w:szCs w:val="22"/>
        </w:rPr>
        <w:t xml:space="preserve">INDEPENDENT </w:t>
      </w:r>
      <w:r w:rsidR="00132627" w:rsidRPr="00C6771F">
        <w:rPr>
          <w:rFonts w:ascii="Arial" w:hAnsi="Arial" w:cs="Arial"/>
          <w:b/>
          <w:sz w:val="22"/>
          <w:szCs w:val="22"/>
        </w:rPr>
        <w:t xml:space="preserve">AUDITOR’S </w:t>
      </w:r>
      <w:r w:rsidRPr="00C6771F">
        <w:rPr>
          <w:rFonts w:ascii="Arial" w:hAnsi="Arial" w:cs="Arial"/>
          <w:b/>
          <w:sz w:val="22"/>
          <w:szCs w:val="22"/>
        </w:rPr>
        <w:t>REPORT</w:t>
      </w:r>
    </w:p>
    <w:p w14:paraId="0734149A" w14:textId="77777777" w:rsidR="00AD6772" w:rsidRPr="00C6771F" w:rsidRDefault="00AD6772" w:rsidP="00BA5A4F">
      <w:pPr>
        <w:ind w:right="108"/>
        <w:jc w:val="both"/>
        <w:rPr>
          <w:rFonts w:ascii="Arial" w:hAnsi="Arial" w:cs="Arial"/>
          <w:sz w:val="22"/>
          <w:szCs w:val="22"/>
        </w:rPr>
      </w:pPr>
    </w:p>
    <w:p w14:paraId="4F0E860C" w14:textId="5FA65F1B" w:rsidR="0091315C" w:rsidRDefault="00796127" w:rsidP="0091315C">
      <w:pPr>
        <w:ind w:right="36"/>
        <w:jc w:val="both"/>
        <w:rPr>
          <w:rFonts w:ascii="Arial" w:hAnsi="Arial" w:cs="Arial"/>
          <w:sz w:val="22"/>
          <w:szCs w:val="22"/>
        </w:rPr>
      </w:pPr>
      <w:r w:rsidRPr="00B930C6">
        <w:rPr>
          <w:rFonts w:ascii="Arial" w:hAnsi="Arial" w:cs="Arial"/>
          <w:color w:val="000000" w:themeColor="text1"/>
          <w:sz w:val="22"/>
          <w:szCs w:val="22"/>
        </w:rPr>
        <w:t xml:space="preserve">We rendered a disclaimer of opinion on the fairness of presentation of the </w:t>
      </w:r>
      <w:r w:rsidR="0091315C" w:rsidRPr="00B930C6">
        <w:rPr>
          <w:rFonts w:ascii="Arial" w:hAnsi="Arial" w:cs="Arial"/>
          <w:color w:val="000000" w:themeColor="text1"/>
          <w:sz w:val="22"/>
          <w:szCs w:val="22"/>
        </w:rPr>
        <w:t>System’s</w:t>
      </w:r>
      <w:r w:rsidRPr="00B930C6">
        <w:rPr>
          <w:rFonts w:ascii="Arial" w:hAnsi="Arial" w:cs="Arial"/>
          <w:color w:val="000000" w:themeColor="text1"/>
          <w:sz w:val="22"/>
          <w:szCs w:val="22"/>
        </w:rPr>
        <w:t xml:space="preserve"> financial statements for the years </w:t>
      </w:r>
      <w:r w:rsidR="00CB6156">
        <w:rPr>
          <w:rFonts w:ascii="Arial" w:hAnsi="Arial" w:cs="Arial"/>
          <w:color w:val="000000" w:themeColor="text1"/>
          <w:sz w:val="22"/>
          <w:szCs w:val="22"/>
        </w:rPr>
        <w:t xml:space="preserve">ended December 31, </w:t>
      </w:r>
      <w:r w:rsidRPr="00B930C6">
        <w:rPr>
          <w:rFonts w:ascii="Arial" w:hAnsi="Arial" w:cs="Arial"/>
          <w:color w:val="000000" w:themeColor="text1"/>
          <w:sz w:val="22"/>
          <w:szCs w:val="22"/>
        </w:rPr>
        <w:t>2019 and 2018, in view of</w:t>
      </w:r>
      <w:r w:rsidR="0091315C" w:rsidRPr="00B930C6">
        <w:rPr>
          <w:rFonts w:ascii="Arial" w:hAnsi="Arial" w:cs="Arial"/>
          <w:color w:val="000000" w:themeColor="text1"/>
          <w:sz w:val="22"/>
          <w:szCs w:val="22"/>
        </w:rPr>
        <w:t xml:space="preserve"> the</w:t>
      </w:r>
      <w:r w:rsidRPr="00B930C6">
        <w:rPr>
          <w:rFonts w:ascii="Arial" w:hAnsi="Arial" w:cs="Arial"/>
          <w:color w:val="000000" w:themeColor="text1"/>
          <w:sz w:val="22"/>
          <w:szCs w:val="22"/>
        </w:rPr>
        <w:t xml:space="preserve"> non-submission of sch</w:t>
      </w:r>
      <w:r w:rsidR="004F07E2" w:rsidRPr="00B930C6">
        <w:rPr>
          <w:rFonts w:ascii="Arial" w:hAnsi="Arial" w:cs="Arial"/>
          <w:color w:val="000000" w:themeColor="text1"/>
          <w:sz w:val="22"/>
          <w:szCs w:val="22"/>
        </w:rPr>
        <w:t xml:space="preserve">edules </w:t>
      </w:r>
      <w:r w:rsidR="00B930C6" w:rsidRPr="00B930C6">
        <w:rPr>
          <w:rFonts w:ascii="Arial" w:hAnsi="Arial" w:cs="Arial"/>
          <w:color w:val="000000" w:themeColor="text1"/>
          <w:sz w:val="22"/>
          <w:szCs w:val="22"/>
        </w:rPr>
        <w:t xml:space="preserve">to support the balances of the receivable accounts amounting to </w:t>
      </w:r>
      <w:r w:rsidR="00B930C6" w:rsidRPr="00B930C6">
        <w:rPr>
          <w:rFonts w:ascii="Arial" w:hAnsi="Arial" w:cs="Arial"/>
          <w:color w:val="000000" w:themeColor="text1"/>
          <w:sz w:val="22"/>
          <w:szCs w:val="22"/>
        </w:rPr>
        <w:softHyphen/>
        <w:t xml:space="preserve">P244.145 million for CY 2019 and P216.987 million for CY 2018; other asset accounts amounting to P28.533 million for CY 2019 and P29.667 million for CY 2018; allowance for doubtful accounts amounting to P308.357 million </w:t>
      </w:r>
      <w:r w:rsidR="009139B4">
        <w:rPr>
          <w:rFonts w:ascii="Arial" w:hAnsi="Arial" w:cs="Arial"/>
          <w:color w:val="000000" w:themeColor="text1"/>
          <w:sz w:val="22"/>
          <w:szCs w:val="22"/>
        </w:rPr>
        <w:t xml:space="preserve">both </w:t>
      </w:r>
      <w:bookmarkStart w:id="0" w:name="_GoBack"/>
      <w:bookmarkEnd w:id="0"/>
      <w:r w:rsidR="00B930C6" w:rsidRPr="00B930C6">
        <w:rPr>
          <w:rFonts w:ascii="Arial" w:hAnsi="Arial" w:cs="Arial"/>
          <w:color w:val="000000" w:themeColor="text1"/>
          <w:sz w:val="22"/>
          <w:szCs w:val="22"/>
        </w:rPr>
        <w:t>for CYs 2019 and 2018; accounts payable, accrued expenses and other liability accounts amounting to P1.048 billion for CY 2019 and P1.050 billion for CY 2018 and equity accounts amounting to P8.244 billion for CY 2019 and P7.604 billion for</w:t>
      </w:r>
      <w:r w:rsidR="00556824">
        <w:rPr>
          <w:rFonts w:ascii="Arial" w:hAnsi="Arial" w:cs="Arial"/>
          <w:color w:val="000000" w:themeColor="text1"/>
          <w:sz w:val="22"/>
          <w:szCs w:val="22"/>
        </w:rPr>
        <w:t xml:space="preserve"> CY</w:t>
      </w:r>
      <w:r w:rsidR="00B930C6" w:rsidRPr="00B930C6">
        <w:rPr>
          <w:rFonts w:ascii="Arial" w:hAnsi="Arial" w:cs="Arial"/>
          <w:color w:val="000000" w:themeColor="text1"/>
          <w:sz w:val="22"/>
          <w:szCs w:val="22"/>
        </w:rPr>
        <w:t xml:space="preserve"> 2018. Further, the </w:t>
      </w:r>
      <w:r w:rsidR="00580BAC">
        <w:rPr>
          <w:rFonts w:ascii="Arial" w:hAnsi="Arial" w:cs="Arial"/>
          <w:color w:val="000000" w:themeColor="text1"/>
          <w:sz w:val="22"/>
          <w:szCs w:val="22"/>
        </w:rPr>
        <w:t>m</w:t>
      </w:r>
      <w:r w:rsidR="00B930C6" w:rsidRPr="00B930C6">
        <w:rPr>
          <w:rFonts w:ascii="Arial" w:hAnsi="Arial" w:cs="Arial"/>
          <w:color w:val="000000" w:themeColor="text1"/>
          <w:sz w:val="22"/>
          <w:szCs w:val="22"/>
        </w:rPr>
        <w:t xml:space="preserve">embers’ contributions </w:t>
      </w:r>
      <w:r w:rsidR="00B930C6">
        <w:rPr>
          <w:rFonts w:ascii="Arial" w:hAnsi="Arial" w:cs="Arial"/>
          <w:sz w:val="22"/>
          <w:szCs w:val="22"/>
        </w:rPr>
        <w:t>payable</w:t>
      </w:r>
      <w:r w:rsidR="00B930C6" w:rsidRPr="00836AE8">
        <w:rPr>
          <w:rFonts w:ascii="Arial" w:hAnsi="Arial" w:cs="Arial"/>
          <w:sz w:val="22"/>
          <w:szCs w:val="22"/>
        </w:rPr>
        <w:t xml:space="preserve"> </w:t>
      </w:r>
      <w:r w:rsidR="00B930C6" w:rsidRPr="00BE1052">
        <w:rPr>
          <w:rFonts w:ascii="Arial" w:hAnsi="Arial" w:cs="Arial"/>
          <w:sz w:val="22"/>
          <w:szCs w:val="22"/>
        </w:rPr>
        <w:t xml:space="preserve">account </w:t>
      </w:r>
      <w:r w:rsidR="00B930C6" w:rsidRPr="00836AE8">
        <w:rPr>
          <w:rFonts w:ascii="Arial" w:hAnsi="Arial" w:cs="Arial"/>
          <w:sz w:val="22"/>
          <w:szCs w:val="22"/>
        </w:rPr>
        <w:t>amou</w:t>
      </w:r>
      <w:r w:rsidR="00B930C6">
        <w:rPr>
          <w:rFonts w:ascii="Arial" w:hAnsi="Arial" w:cs="Arial"/>
          <w:sz w:val="22"/>
          <w:szCs w:val="22"/>
        </w:rPr>
        <w:t>n</w:t>
      </w:r>
      <w:r w:rsidR="00B930C6" w:rsidRPr="00836AE8">
        <w:rPr>
          <w:rFonts w:ascii="Arial" w:hAnsi="Arial" w:cs="Arial"/>
          <w:sz w:val="22"/>
          <w:szCs w:val="22"/>
        </w:rPr>
        <w:t xml:space="preserve">ting to P7.268 billion for CY 2019 and </w:t>
      </w:r>
      <w:r w:rsidR="00B930C6" w:rsidRPr="00836AE8">
        <w:rPr>
          <w:rFonts w:ascii="Arial" w:hAnsi="Arial" w:cs="Arial"/>
          <w:sz w:val="22"/>
          <w:szCs w:val="22"/>
        </w:rPr>
        <w:lastRenderedPageBreak/>
        <w:t xml:space="preserve">P9.603 billion </w:t>
      </w:r>
      <w:r w:rsidR="00B930C6">
        <w:rPr>
          <w:rFonts w:ascii="Arial" w:hAnsi="Arial" w:cs="Arial"/>
          <w:sz w:val="22"/>
          <w:szCs w:val="22"/>
        </w:rPr>
        <w:t xml:space="preserve">for CY 2018 </w:t>
      </w:r>
      <w:r w:rsidR="00B930C6" w:rsidRPr="00836AE8">
        <w:rPr>
          <w:rFonts w:ascii="Arial" w:hAnsi="Arial" w:cs="Arial"/>
          <w:sz w:val="22"/>
          <w:szCs w:val="22"/>
        </w:rPr>
        <w:t xml:space="preserve">and </w:t>
      </w:r>
      <w:r w:rsidR="00580BAC">
        <w:rPr>
          <w:rFonts w:ascii="Arial" w:hAnsi="Arial" w:cs="Arial"/>
          <w:sz w:val="22"/>
          <w:szCs w:val="22"/>
        </w:rPr>
        <w:t>e</w:t>
      </w:r>
      <w:r w:rsidR="00B930C6" w:rsidRPr="00836AE8">
        <w:rPr>
          <w:rFonts w:ascii="Arial" w:hAnsi="Arial" w:cs="Arial"/>
          <w:sz w:val="22"/>
          <w:szCs w:val="22"/>
        </w:rPr>
        <w:t xml:space="preserve">stimated </w:t>
      </w:r>
      <w:r w:rsidR="00B930C6">
        <w:rPr>
          <w:rFonts w:ascii="Arial" w:hAnsi="Arial" w:cs="Arial"/>
          <w:sz w:val="22"/>
          <w:szCs w:val="22"/>
        </w:rPr>
        <w:t>l</w:t>
      </w:r>
      <w:r w:rsidR="00B930C6" w:rsidRPr="00836AE8">
        <w:rPr>
          <w:rFonts w:ascii="Arial" w:hAnsi="Arial" w:cs="Arial"/>
          <w:sz w:val="22"/>
          <w:szCs w:val="22"/>
        </w:rPr>
        <w:t xml:space="preserve">iability on </w:t>
      </w:r>
      <w:r w:rsidR="00580BAC">
        <w:rPr>
          <w:rFonts w:ascii="Arial" w:hAnsi="Arial" w:cs="Arial"/>
          <w:sz w:val="22"/>
          <w:szCs w:val="22"/>
        </w:rPr>
        <w:t>members’ contributions</w:t>
      </w:r>
      <w:r w:rsidR="00B930C6" w:rsidRPr="00836AE8">
        <w:rPr>
          <w:rFonts w:ascii="Arial" w:hAnsi="Arial" w:cs="Arial"/>
          <w:sz w:val="22"/>
          <w:szCs w:val="22"/>
        </w:rPr>
        <w:t xml:space="preserve"> </w:t>
      </w:r>
      <w:r w:rsidR="00B930C6">
        <w:rPr>
          <w:rFonts w:ascii="Arial" w:hAnsi="Arial" w:cs="Arial"/>
          <w:sz w:val="22"/>
          <w:szCs w:val="22"/>
        </w:rPr>
        <w:t>e</w:t>
      </w:r>
      <w:r w:rsidR="00B930C6" w:rsidRPr="00836AE8">
        <w:rPr>
          <w:rFonts w:ascii="Arial" w:hAnsi="Arial" w:cs="Arial"/>
          <w:sz w:val="22"/>
          <w:szCs w:val="22"/>
        </w:rPr>
        <w:t>arnings account, amounting to P2.294 billion for CY 2019 and P3.216 billion for CY 2018, have no updated subsidiary ledgers.</w:t>
      </w:r>
      <w:r w:rsidR="00B930C6">
        <w:rPr>
          <w:rFonts w:ascii="Arial" w:hAnsi="Arial" w:cs="Arial"/>
          <w:b/>
          <w:sz w:val="22"/>
          <w:szCs w:val="22"/>
        </w:rPr>
        <w:t xml:space="preserve"> </w:t>
      </w:r>
      <w:r w:rsidR="00B930C6">
        <w:rPr>
          <w:rFonts w:ascii="Arial" w:hAnsi="Arial" w:cs="Arial"/>
          <w:sz w:val="22"/>
          <w:szCs w:val="22"/>
        </w:rPr>
        <w:t>Because of the status of the accounting records, we were not able to apply alternative audit procedure to obtain sufficient evidence on the correctness of the balances of the affected accounts and determine whether any adjustments to these accounts were necessary.</w:t>
      </w:r>
    </w:p>
    <w:p w14:paraId="7E3DF73E" w14:textId="55904AF5" w:rsidR="00D911D8" w:rsidRPr="00C6771F" w:rsidRDefault="00796127" w:rsidP="0091315C">
      <w:pPr>
        <w:ind w:right="36"/>
        <w:jc w:val="both"/>
        <w:rPr>
          <w:rFonts w:ascii="Arial" w:hAnsi="Arial" w:cs="Arial"/>
          <w:sz w:val="22"/>
          <w:szCs w:val="22"/>
        </w:rPr>
      </w:pPr>
      <w:r>
        <w:rPr>
          <w:rFonts w:ascii="Arial" w:hAnsi="Arial" w:cs="Arial"/>
          <w:sz w:val="22"/>
          <w:szCs w:val="22"/>
        </w:rPr>
        <w:t xml:space="preserve"> </w:t>
      </w:r>
    </w:p>
    <w:p w14:paraId="3D53DAC9" w14:textId="236E371F" w:rsidR="00D63C5D" w:rsidRPr="00C6771F" w:rsidRDefault="00796127" w:rsidP="009A1E68">
      <w:pPr>
        <w:pStyle w:val="NoSpacing"/>
        <w:tabs>
          <w:tab w:val="left" w:pos="0"/>
        </w:tabs>
        <w:jc w:val="both"/>
        <w:rPr>
          <w:rFonts w:ascii="Arial" w:hAnsi="Arial" w:cs="Arial"/>
          <w:sz w:val="22"/>
          <w:szCs w:val="22"/>
        </w:rPr>
      </w:pPr>
      <w:r>
        <w:rPr>
          <w:rFonts w:ascii="Arial" w:hAnsi="Arial" w:cs="Arial"/>
          <w:sz w:val="22"/>
          <w:szCs w:val="22"/>
        </w:rPr>
        <w:t>For the above audit observation</w:t>
      </w:r>
      <w:r w:rsidR="00556824">
        <w:rPr>
          <w:rFonts w:ascii="Arial" w:hAnsi="Arial" w:cs="Arial"/>
          <w:sz w:val="22"/>
          <w:szCs w:val="22"/>
        </w:rPr>
        <w:t>s</w:t>
      </w:r>
      <w:r>
        <w:rPr>
          <w:rFonts w:ascii="Arial" w:hAnsi="Arial" w:cs="Arial"/>
          <w:sz w:val="22"/>
          <w:szCs w:val="22"/>
        </w:rPr>
        <w:t xml:space="preserve"> which caused the issuance of </w:t>
      </w:r>
      <w:r w:rsidR="00556824">
        <w:rPr>
          <w:rFonts w:ascii="Arial" w:hAnsi="Arial" w:cs="Arial"/>
          <w:sz w:val="22"/>
          <w:szCs w:val="22"/>
        </w:rPr>
        <w:t xml:space="preserve">a </w:t>
      </w:r>
      <w:r>
        <w:rPr>
          <w:rFonts w:ascii="Arial" w:hAnsi="Arial" w:cs="Arial"/>
          <w:sz w:val="22"/>
          <w:szCs w:val="22"/>
        </w:rPr>
        <w:t xml:space="preserve">disclaimer of opinion, we recommended that Management make a timetable </w:t>
      </w:r>
      <w:r w:rsidR="001B788B">
        <w:rPr>
          <w:rFonts w:ascii="Arial" w:hAnsi="Arial" w:cs="Arial"/>
          <w:sz w:val="22"/>
          <w:szCs w:val="22"/>
        </w:rPr>
        <w:t xml:space="preserve">for </w:t>
      </w:r>
      <w:r w:rsidR="0012477D">
        <w:rPr>
          <w:rFonts w:ascii="Arial" w:hAnsi="Arial" w:cs="Arial"/>
          <w:sz w:val="22"/>
          <w:szCs w:val="22"/>
        </w:rPr>
        <w:t>the preparation of s</w:t>
      </w:r>
      <w:r>
        <w:rPr>
          <w:rFonts w:ascii="Arial" w:hAnsi="Arial" w:cs="Arial"/>
          <w:sz w:val="22"/>
          <w:szCs w:val="22"/>
        </w:rPr>
        <w:t xml:space="preserve">chedules and reconciliation of the said schedules with the controlling accounts to </w:t>
      </w:r>
      <w:r w:rsidR="001B788B">
        <w:rPr>
          <w:rFonts w:ascii="Arial" w:hAnsi="Arial" w:cs="Arial"/>
          <w:sz w:val="22"/>
          <w:szCs w:val="22"/>
        </w:rPr>
        <w:t xml:space="preserve">determine the </w:t>
      </w:r>
      <w:r>
        <w:rPr>
          <w:rFonts w:ascii="Arial" w:hAnsi="Arial" w:cs="Arial"/>
          <w:sz w:val="22"/>
          <w:szCs w:val="22"/>
        </w:rPr>
        <w:t xml:space="preserve"> correct and reliable account balances and strictly comply with the established timetable</w:t>
      </w:r>
      <w:r w:rsidR="0012477D">
        <w:rPr>
          <w:rFonts w:ascii="Arial" w:hAnsi="Arial" w:cs="Arial"/>
          <w:sz w:val="22"/>
          <w:szCs w:val="22"/>
        </w:rPr>
        <w:t>, and as a result of reconciliation, effect the necessary adjustments in the books for fair presentation of the accounts in the financial statements.</w:t>
      </w:r>
    </w:p>
    <w:p w14:paraId="5CE0AEE1" w14:textId="5FECE8E7" w:rsidR="00FC5025" w:rsidRPr="00C6771F" w:rsidRDefault="00FC5025" w:rsidP="009A1E68">
      <w:pPr>
        <w:tabs>
          <w:tab w:val="left" w:pos="0"/>
          <w:tab w:val="left" w:pos="252"/>
        </w:tabs>
        <w:suppressAutoHyphens w:val="0"/>
        <w:ind w:left="360" w:firstLine="720"/>
        <w:jc w:val="both"/>
        <w:rPr>
          <w:rFonts w:ascii="Arial" w:hAnsi="Arial" w:cs="Arial"/>
          <w:sz w:val="22"/>
          <w:szCs w:val="22"/>
        </w:rPr>
      </w:pPr>
    </w:p>
    <w:p w14:paraId="1EAFD08C" w14:textId="77777777" w:rsidR="009A1E68" w:rsidRPr="00C6771F" w:rsidRDefault="009A1E68" w:rsidP="009A1E68">
      <w:pPr>
        <w:tabs>
          <w:tab w:val="left" w:pos="0"/>
          <w:tab w:val="left" w:pos="252"/>
        </w:tabs>
        <w:suppressAutoHyphens w:val="0"/>
        <w:ind w:left="360" w:firstLine="720"/>
        <w:jc w:val="both"/>
        <w:rPr>
          <w:rFonts w:ascii="Arial" w:hAnsi="Arial" w:cs="Arial"/>
          <w:sz w:val="22"/>
          <w:szCs w:val="22"/>
        </w:rPr>
      </w:pPr>
    </w:p>
    <w:p w14:paraId="53B5CE63" w14:textId="256C737A" w:rsidR="00CE170B" w:rsidRPr="00C6771F" w:rsidRDefault="00CE170B" w:rsidP="00175CD6">
      <w:pPr>
        <w:jc w:val="both"/>
        <w:rPr>
          <w:rFonts w:ascii="Arial" w:hAnsi="Arial" w:cs="Arial"/>
          <w:b/>
          <w:sz w:val="22"/>
          <w:szCs w:val="22"/>
        </w:rPr>
      </w:pPr>
      <w:r w:rsidRPr="00C6771F">
        <w:rPr>
          <w:rFonts w:ascii="Arial" w:hAnsi="Arial" w:cs="Arial"/>
          <w:b/>
          <w:sz w:val="22"/>
          <w:szCs w:val="22"/>
        </w:rPr>
        <w:t>OTHE</w:t>
      </w:r>
      <w:r w:rsidR="00E47A40" w:rsidRPr="00C6771F">
        <w:rPr>
          <w:rFonts w:ascii="Arial" w:hAnsi="Arial" w:cs="Arial"/>
          <w:b/>
          <w:sz w:val="22"/>
          <w:szCs w:val="22"/>
        </w:rPr>
        <w:t>R SIGNIFICANT AUDIT OBSERVATION</w:t>
      </w:r>
      <w:r w:rsidRPr="00C6771F">
        <w:rPr>
          <w:rFonts w:ascii="Arial" w:hAnsi="Arial" w:cs="Arial"/>
          <w:b/>
          <w:sz w:val="22"/>
          <w:szCs w:val="22"/>
        </w:rPr>
        <w:t xml:space="preserve"> AND RECOMMENDATIONS</w:t>
      </w:r>
    </w:p>
    <w:p w14:paraId="00BB85BC" w14:textId="77777777" w:rsidR="003570A6" w:rsidRPr="00C6771F" w:rsidRDefault="003570A6">
      <w:pPr>
        <w:pStyle w:val="BodyText"/>
        <w:spacing w:after="0"/>
        <w:ind w:right="108"/>
        <w:jc w:val="both"/>
        <w:rPr>
          <w:rFonts w:ascii="Arial" w:hAnsi="Arial" w:cs="Arial"/>
          <w:sz w:val="22"/>
          <w:szCs w:val="22"/>
          <w:lang w:val="en-PH"/>
        </w:rPr>
      </w:pPr>
    </w:p>
    <w:p w14:paraId="243943A0" w14:textId="09B11493" w:rsidR="000901D9" w:rsidRPr="004E581E" w:rsidRDefault="000901D9" w:rsidP="000901D9">
      <w:pPr>
        <w:pStyle w:val="ListParagraph"/>
        <w:numPr>
          <w:ilvl w:val="0"/>
          <w:numId w:val="40"/>
        </w:numPr>
        <w:ind w:left="360"/>
        <w:jc w:val="both"/>
        <w:rPr>
          <w:rFonts w:ascii="Arial" w:hAnsi="Arial" w:cs="Arial"/>
          <w:color w:val="000000" w:themeColor="text1"/>
          <w:sz w:val="22"/>
          <w:szCs w:val="22"/>
        </w:rPr>
      </w:pPr>
      <w:r w:rsidRPr="004E581E">
        <w:rPr>
          <w:rFonts w:ascii="Arial" w:hAnsi="Arial" w:cs="Arial"/>
          <w:bCs/>
          <w:color w:val="000000" w:themeColor="text1"/>
          <w:sz w:val="22"/>
          <w:szCs w:val="22"/>
        </w:rPr>
        <w:t>The</w:t>
      </w:r>
      <w:r w:rsidRPr="004E581E">
        <w:rPr>
          <w:rFonts w:ascii="Arial" w:hAnsi="Arial" w:cs="Arial"/>
          <w:color w:val="000000" w:themeColor="text1"/>
          <w:sz w:val="22"/>
          <w:szCs w:val="22"/>
        </w:rPr>
        <w:t xml:space="preserve"> unreconciled balances </w:t>
      </w:r>
      <w:r w:rsidR="001B788B">
        <w:rPr>
          <w:rFonts w:ascii="Arial" w:hAnsi="Arial" w:cs="Arial"/>
          <w:color w:val="000000" w:themeColor="text1"/>
          <w:sz w:val="22"/>
          <w:szCs w:val="22"/>
        </w:rPr>
        <w:t xml:space="preserve">of </w:t>
      </w:r>
      <w:r w:rsidRPr="004E581E">
        <w:rPr>
          <w:rFonts w:ascii="Arial" w:hAnsi="Arial" w:cs="Arial"/>
          <w:color w:val="000000" w:themeColor="text1"/>
          <w:sz w:val="22"/>
          <w:szCs w:val="22"/>
        </w:rPr>
        <w:t xml:space="preserve">Member’s Contributions (MC) and Estimated liability on MC earnings account, amounting to P7.268 billion and P2.294 billion, respectively, representing collections of capital contribution and earnings on members’ capital contribution, respectively, have no updated </w:t>
      </w:r>
      <w:r w:rsidR="001B788B">
        <w:rPr>
          <w:rFonts w:ascii="Arial" w:hAnsi="Arial" w:cs="Arial"/>
          <w:color w:val="000000" w:themeColor="text1"/>
          <w:sz w:val="22"/>
          <w:szCs w:val="22"/>
        </w:rPr>
        <w:t>subsidiary ledgers (</w:t>
      </w:r>
      <w:r w:rsidRPr="004E581E">
        <w:rPr>
          <w:rFonts w:ascii="Arial" w:hAnsi="Arial" w:cs="Arial"/>
          <w:color w:val="000000" w:themeColor="text1"/>
          <w:sz w:val="22"/>
          <w:szCs w:val="22"/>
        </w:rPr>
        <w:t>SLs</w:t>
      </w:r>
      <w:r w:rsidR="001B788B">
        <w:rPr>
          <w:rFonts w:ascii="Arial" w:hAnsi="Arial" w:cs="Arial"/>
          <w:color w:val="000000" w:themeColor="text1"/>
          <w:sz w:val="22"/>
          <w:szCs w:val="22"/>
        </w:rPr>
        <w:t>)</w:t>
      </w:r>
      <w:r w:rsidRPr="004E581E">
        <w:rPr>
          <w:rFonts w:ascii="Arial" w:hAnsi="Arial" w:cs="Arial"/>
          <w:color w:val="000000" w:themeColor="text1"/>
          <w:sz w:val="22"/>
          <w:szCs w:val="22"/>
        </w:rPr>
        <w:t xml:space="preserve">, thereby rendering doubtful the accuracy and correctness of presentation of members’ data in the SLs, contrary to Paragraph 15 of </w:t>
      </w:r>
      <w:r w:rsidR="001B788B">
        <w:rPr>
          <w:rFonts w:ascii="Arial" w:hAnsi="Arial" w:cs="Arial"/>
          <w:color w:val="000000" w:themeColor="text1"/>
          <w:sz w:val="22"/>
          <w:szCs w:val="22"/>
        </w:rPr>
        <w:t>Philippine Accounting Standards (</w:t>
      </w:r>
      <w:r w:rsidRPr="004E581E">
        <w:rPr>
          <w:rFonts w:ascii="Arial" w:hAnsi="Arial" w:cs="Arial"/>
          <w:color w:val="000000" w:themeColor="text1"/>
          <w:sz w:val="22"/>
          <w:szCs w:val="22"/>
        </w:rPr>
        <w:t>PAS</w:t>
      </w:r>
      <w:r w:rsidR="001B788B">
        <w:rPr>
          <w:rFonts w:ascii="Arial" w:hAnsi="Arial" w:cs="Arial"/>
          <w:color w:val="000000" w:themeColor="text1"/>
          <w:sz w:val="22"/>
          <w:szCs w:val="22"/>
        </w:rPr>
        <w:t>)</w:t>
      </w:r>
      <w:r w:rsidRPr="004E581E">
        <w:rPr>
          <w:rFonts w:ascii="Arial" w:hAnsi="Arial" w:cs="Arial"/>
          <w:color w:val="000000" w:themeColor="text1"/>
          <w:sz w:val="22"/>
          <w:szCs w:val="22"/>
        </w:rPr>
        <w:t xml:space="preserve"> 1, Section 111 of </w:t>
      </w:r>
      <w:r w:rsidR="001B788B">
        <w:rPr>
          <w:rFonts w:ascii="Arial" w:hAnsi="Arial" w:cs="Arial"/>
          <w:color w:val="000000" w:themeColor="text1"/>
          <w:sz w:val="22"/>
          <w:szCs w:val="22"/>
        </w:rPr>
        <w:t>Presidential Decree (</w:t>
      </w:r>
      <w:r w:rsidRPr="004E581E">
        <w:rPr>
          <w:rFonts w:ascii="Arial" w:hAnsi="Arial" w:cs="Arial"/>
          <w:color w:val="000000" w:themeColor="text1"/>
          <w:sz w:val="22"/>
          <w:szCs w:val="22"/>
        </w:rPr>
        <w:t>PD</w:t>
      </w:r>
      <w:r w:rsidR="001B788B">
        <w:rPr>
          <w:rFonts w:ascii="Arial" w:hAnsi="Arial" w:cs="Arial"/>
          <w:color w:val="000000" w:themeColor="text1"/>
          <w:sz w:val="22"/>
          <w:szCs w:val="22"/>
        </w:rPr>
        <w:t>)</w:t>
      </w:r>
      <w:r w:rsidRPr="004E581E">
        <w:rPr>
          <w:rFonts w:ascii="Arial" w:hAnsi="Arial" w:cs="Arial"/>
          <w:color w:val="000000" w:themeColor="text1"/>
          <w:sz w:val="22"/>
          <w:szCs w:val="22"/>
        </w:rPr>
        <w:t xml:space="preserve"> No. 1445 and Office of the President</w:t>
      </w:r>
      <w:r w:rsidR="00611B62">
        <w:rPr>
          <w:rFonts w:ascii="Arial" w:hAnsi="Arial" w:cs="Arial"/>
          <w:color w:val="000000" w:themeColor="text1"/>
          <w:sz w:val="22"/>
          <w:szCs w:val="22"/>
        </w:rPr>
        <w:t>’s issuances</w:t>
      </w:r>
      <w:r w:rsidRPr="004E581E">
        <w:rPr>
          <w:rFonts w:ascii="Arial" w:hAnsi="Arial" w:cs="Arial"/>
          <w:color w:val="000000" w:themeColor="text1"/>
          <w:sz w:val="22"/>
          <w:szCs w:val="22"/>
        </w:rPr>
        <w:t>, particularly, Executive Order (EO) Nos. 590 and 590-A and Memorandum Order (MO) No. 90 series of 2016.</w:t>
      </w:r>
    </w:p>
    <w:p w14:paraId="61D7D8A7" w14:textId="77777777" w:rsidR="0012477D" w:rsidRDefault="0012477D" w:rsidP="0012477D">
      <w:pPr>
        <w:pStyle w:val="ListParagraph"/>
        <w:ind w:left="360"/>
        <w:jc w:val="both"/>
        <w:rPr>
          <w:rFonts w:ascii="Arial" w:hAnsi="Arial" w:cs="Arial"/>
          <w:sz w:val="22"/>
          <w:szCs w:val="22"/>
        </w:rPr>
      </w:pPr>
    </w:p>
    <w:p w14:paraId="60AC3597" w14:textId="0DFE7950" w:rsidR="0012477D" w:rsidRPr="0012477D" w:rsidRDefault="0012477D" w:rsidP="0012477D">
      <w:pPr>
        <w:suppressAutoHyphens w:val="0"/>
        <w:ind w:left="360"/>
        <w:contextualSpacing/>
        <w:jc w:val="both"/>
        <w:rPr>
          <w:rFonts w:ascii="Arial" w:hAnsi="Arial" w:cs="Arial"/>
          <w:sz w:val="22"/>
          <w:szCs w:val="22"/>
        </w:rPr>
      </w:pPr>
      <w:r w:rsidRPr="0012477D">
        <w:rPr>
          <w:rFonts w:ascii="Arial" w:hAnsi="Arial" w:cs="Arial"/>
          <w:sz w:val="22"/>
          <w:szCs w:val="22"/>
        </w:rPr>
        <w:t xml:space="preserve">We reiterated our CY 2018 recommendation that Management update and reconcile the SLs of the </w:t>
      </w:r>
      <w:r w:rsidR="001B788B">
        <w:rPr>
          <w:rFonts w:ascii="Arial" w:hAnsi="Arial" w:cs="Arial"/>
          <w:sz w:val="22"/>
          <w:szCs w:val="22"/>
        </w:rPr>
        <w:t>Integrated Financial Management System (</w:t>
      </w:r>
      <w:r w:rsidRPr="0012477D">
        <w:rPr>
          <w:rFonts w:ascii="Arial" w:hAnsi="Arial" w:cs="Arial"/>
          <w:sz w:val="22"/>
          <w:szCs w:val="22"/>
        </w:rPr>
        <w:t>IFMS</w:t>
      </w:r>
      <w:r w:rsidR="001B788B">
        <w:rPr>
          <w:rFonts w:ascii="Arial" w:hAnsi="Arial" w:cs="Arial"/>
          <w:sz w:val="22"/>
          <w:szCs w:val="22"/>
        </w:rPr>
        <w:t>)</w:t>
      </w:r>
      <w:r w:rsidRPr="0012477D">
        <w:rPr>
          <w:rFonts w:ascii="Arial" w:hAnsi="Arial" w:cs="Arial"/>
          <w:sz w:val="22"/>
          <w:szCs w:val="22"/>
        </w:rPr>
        <w:t xml:space="preserve"> with the books </w:t>
      </w:r>
      <w:r w:rsidR="004F07E2">
        <w:rPr>
          <w:rFonts w:ascii="Arial" w:hAnsi="Arial" w:cs="Arial"/>
          <w:sz w:val="22"/>
          <w:szCs w:val="22"/>
        </w:rPr>
        <w:t>of accounts maintained by the Accounting Department</w:t>
      </w:r>
      <w:r w:rsidRPr="0012477D">
        <w:rPr>
          <w:rFonts w:ascii="Arial" w:hAnsi="Arial" w:cs="Arial"/>
          <w:sz w:val="22"/>
          <w:szCs w:val="22"/>
        </w:rPr>
        <w:t xml:space="preserve"> in preparation for the transfer of the records of MC to the </w:t>
      </w:r>
      <w:r w:rsidR="001B788B">
        <w:rPr>
          <w:rFonts w:ascii="Arial" w:hAnsi="Arial" w:cs="Arial"/>
          <w:sz w:val="22"/>
          <w:szCs w:val="22"/>
        </w:rPr>
        <w:t>Government Financial Institution (</w:t>
      </w:r>
      <w:r w:rsidRPr="0012477D">
        <w:rPr>
          <w:rFonts w:ascii="Arial" w:hAnsi="Arial" w:cs="Arial"/>
          <w:sz w:val="22"/>
          <w:szCs w:val="22"/>
        </w:rPr>
        <w:t>GFI</w:t>
      </w:r>
      <w:r w:rsidR="001B788B">
        <w:rPr>
          <w:rFonts w:ascii="Arial" w:hAnsi="Arial" w:cs="Arial"/>
          <w:sz w:val="22"/>
          <w:szCs w:val="22"/>
        </w:rPr>
        <w:t>)</w:t>
      </w:r>
      <w:r w:rsidRPr="0012477D">
        <w:rPr>
          <w:rFonts w:ascii="Arial" w:hAnsi="Arial" w:cs="Arial"/>
          <w:sz w:val="22"/>
          <w:szCs w:val="22"/>
        </w:rPr>
        <w:t xml:space="preserve"> Trustee in accordance with EO Nos. 590 and 590-A, as amended by MO No. 90.</w:t>
      </w:r>
    </w:p>
    <w:p w14:paraId="4990D22C" w14:textId="77777777" w:rsidR="0012477D" w:rsidRPr="0012477D" w:rsidRDefault="0012477D" w:rsidP="0012477D">
      <w:pPr>
        <w:pStyle w:val="ListParagraph"/>
        <w:rPr>
          <w:rFonts w:ascii="Arial" w:hAnsi="Arial" w:cs="Arial"/>
          <w:sz w:val="22"/>
          <w:szCs w:val="22"/>
        </w:rPr>
      </w:pPr>
    </w:p>
    <w:p w14:paraId="53DBC68A" w14:textId="432450BB" w:rsidR="0012477D" w:rsidRPr="0012477D" w:rsidRDefault="0012477D" w:rsidP="0012477D">
      <w:pPr>
        <w:suppressAutoHyphens w:val="0"/>
        <w:ind w:left="360"/>
        <w:contextualSpacing/>
        <w:jc w:val="both"/>
        <w:rPr>
          <w:rFonts w:ascii="Arial" w:hAnsi="Arial" w:cs="Arial"/>
          <w:bCs/>
          <w:sz w:val="22"/>
          <w:szCs w:val="22"/>
        </w:rPr>
      </w:pPr>
      <w:r w:rsidRPr="0012477D">
        <w:rPr>
          <w:rFonts w:ascii="Arial" w:hAnsi="Arial" w:cs="Arial"/>
          <w:bCs/>
          <w:sz w:val="22"/>
          <w:szCs w:val="22"/>
        </w:rPr>
        <w:t xml:space="preserve">We further recommended that Management continue the disposal of individual residential units, in addition to the </w:t>
      </w:r>
      <w:r w:rsidR="001B788B">
        <w:rPr>
          <w:rFonts w:ascii="Arial" w:hAnsi="Arial" w:cs="Arial"/>
          <w:bCs/>
          <w:sz w:val="22"/>
          <w:szCs w:val="22"/>
        </w:rPr>
        <w:t>b</w:t>
      </w:r>
      <w:r w:rsidRPr="0012477D">
        <w:rPr>
          <w:rFonts w:ascii="Arial" w:hAnsi="Arial" w:cs="Arial"/>
          <w:bCs/>
          <w:sz w:val="22"/>
          <w:szCs w:val="22"/>
        </w:rPr>
        <w:t>onds and commercial papers, to fully cover the obligation to refund members’ contributions and interests thereon.</w:t>
      </w:r>
    </w:p>
    <w:p w14:paraId="313B48C7" w14:textId="77777777" w:rsidR="0012477D" w:rsidRPr="0012477D" w:rsidRDefault="0012477D" w:rsidP="0012477D">
      <w:pPr>
        <w:jc w:val="both"/>
        <w:rPr>
          <w:rFonts w:ascii="Arial" w:hAnsi="Arial" w:cs="Arial"/>
          <w:bCs/>
          <w:sz w:val="22"/>
          <w:szCs w:val="22"/>
        </w:rPr>
      </w:pPr>
    </w:p>
    <w:p w14:paraId="1B243428" w14:textId="53C16E62" w:rsidR="00022067" w:rsidRPr="00C6771F" w:rsidRDefault="0012477D" w:rsidP="00022067">
      <w:pPr>
        <w:pStyle w:val="ListParagraph"/>
        <w:numPr>
          <w:ilvl w:val="0"/>
          <w:numId w:val="40"/>
        </w:numPr>
        <w:ind w:left="360"/>
        <w:jc w:val="both"/>
        <w:rPr>
          <w:rFonts w:ascii="Arial" w:hAnsi="Arial" w:cs="Arial"/>
          <w:bCs/>
          <w:sz w:val="22"/>
          <w:szCs w:val="22"/>
        </w:rPr>
      </w:pPr>
      <w:r>
        <w:rPr>
          <w:rFonts w:ascii="Arial" w:hAnsi="Arial" w:cs="Arial"/>
          <w:bCs/>
          <w:sz w:val="22"/>
          <w:szCs w:val="22"/>
        </w:rPr>
        <w:t>Dormant Accounts Receivable</w:t>
      </w:r>
      <w:r w:rsidR="00022067" w:rsidRPr="00C6771F">
        <w:rPr>
          <w:rFonts w:ascii="Arial" w:hAnsi="Arial" w:cs="Arial"/>
          <w:bCs/>
          <w:sz w:val="22"/>
          <w:szCs w:val="22"/>
        </w:rPr>
        <w:t xml:space="preserve"> as at December 31, 2019 totaling to P955.148 million </w:t>
      </w:r>
      <w:r w:rsidR="001B788B">
        <w:rPr>
          <w:rFonts w:ascii="Arial" w:hAnsi="Arial" w:cs="Arial"/>
          <w:bCs/>
          <w:sz w:val="22"/>
          <w:szCs w:val="22"/>
        </w:rPr>
        <w:t xml:space="preserve">have </w:t>
      </w:r>
      <w:r w:rsidR="00022067" w:rsidRPr="00C6771F">
        <w:rPr>
          <w:rFonts w:ascii="Arial" w:hAnsi="Arial" w:cs="Arial"/>
          <w:bCs/>
          <w:sz w:val="22"/>
          <w:szCs w:val="22"/>
        </w:rPr>
        <w:t>remain</w:t>
      </w:r>
      <w:r w:rsidR="001B788B">
        <w:rPr>
          <w:rFonts w:ascii="Arial" w:hAnsi="Arial" w:cs="Arial"/>
          <w:bCs/>
          <w:sz w:val="22"/>
          <w:szCs w:val="22"/>
        </w:rPr>
        <w:t>ed</w:t>
      </w:r>
      <w:r w:rsidR="00022067" w:rsidRPr="00C6771F">
        <w:rPr>
          <w:rFonts w:ascii="Arial" w:hAnsi="Arial" w:cs="Arial"/>
          <w:bCs/>
          <w:sz w:val="22"/>
          <w:szCs w:val="22"/>
        </w:rPr>
        <w:t xml:space="preserve"> outstanding for 11 to more than 20 years, thus, deprives the System of funds for its accelerated refund and payment of ot</w:t>
      </w:r>
      <w:r w:rsidR="004F07E2">
        <w:rPr>
          <w:rFonts w:ascii="Arial" w:hAnsi="Arial" w:cs="Arial"/>
          <w:bCs/>
          <w:sz w:val="22"/>
          <w:szCs w:val="22"/>
        </w:rPr>
        <w:t>her obligations, contrary to Commission on Audit (COA)</w:t>
      </w:r>
      <w:r w:rsidR="00022067" w:rsidRPr="00C6771F">
        <w:rPr>
          <w:rFonts w:ascii="Arial" w:hAnsi="Arial" w:cs="Arial"/>
          <w:bCs/>
          <w:sz w:val="22"/>
          <w:szCs w:val="22"/>
        </w:rPr>
        <w:t xml:space="preserve"> Circular No. 2016-005. </w:t>
      </w:r>
    </w:p>
    <w:p w14:paraId="121A74F6" w14:textId="6FD38025" w:rsidR="00E47A40" w:rsidRPr="00C6771F" w:rsidRDefault="00E47A40" w:rsidP="00E47A40">
      <w:pPr>
        <w:pStyle w:val="ListParagraph"/>
        <w:ind w:left="900"/>
        <w:jc w:val="both"/>
        <w:rPr>
          <w:rFonts w:ascii="Arial" w:hAnsi="Arial" w:cs="Arial"/>
          <w:sz w:val="22"/>
          <w:szCs w:val="22"/>
        </w:rPr>
      </w:pPr>
    </w:p>
    <w:p w14:paraId="7B17FD2A" w14:textId="54C592D7" w:rsidR="00022067" w:rsidRPr="00C6771F" w:rsidRDefault="00022067" w:rsidP="00022067">
      <w:pPr>
        <w:pStyle w:val="ListParagraph"/>
        <w:ind w:left="360"/>
        <w:jc w:val="both"/>
        <w:rPr>
          <w:rFonts w:ascii="Arial" w:eastAsia="Times New Roman" w:hAnsi="Arial" w:cs="Arial"/>
          <w:sz w:val="22"/>
          <w:szCs w:val="22"/>
        </w:rPr>
      </w:pPr>
      <w:r w:rsidRPr="00C6771F">
        <w:rPr>
          <w:rFonts w:ascii="Arial" w:hAnsi="Arial" w:cs="Arial"/>
          <w:bCs/>
          <w:sz w:val="22"/>
          <w:szCs w:val="22"/>
        </w:rPr>
        <w:t>W</w:t>
      </w:r>
      <w:r w:rsidR="00F76DD5">
        <w:rPr>
          <w:rFonts w:ascii="Arial" w:eastAsia="Times New Roman" w:hAnsi="Arial" w:cs="Arial"/>
          <w:sz w:val="22"/>
          <w:szCs w:val="22"/>
        </w:rPr>
        <w:t>e recommended and</w:t>
      </w:r>
      <w:r w:rsidRPr="00C6771F">
        <w:rPr>
          <w:rFonts w:ascii="Arial" w:eastAsia="Times New Roman" w:hAnsi="Arial" w:cs="Arial"/>
          <w:sz w:val="22"/>
          <w:szCs w:val="22"/>
        </w:rPr>
        <w:t xml:space="preserve"> Management agreed to:</w:t>
      </w:r>
    </w:p>
    <w:p w14:paraId="62582985" w14:textId="77777777" w:rsidR="00022067" w:rsidRPr="00C6771F" w:rsidRDefault="00022067" w:rsidP="00022067">
      <w:pPr>
        <w:pStyle w:val="ListParagraph"/>
        <w:rPr>
          <w:rFonts w:ascii="Arial" w:eastAsia="Times New Roman" w:hAnsi="Arial" w:cs="Arial"/>
          <w:sz w:val="22"/>
          <w:szCs w:val="22"/>
        </w:rPr>
      </w:pPr>
    </w:p>
    <w:p w14:paraId="6B3DB77E" w14:textId="2A6EFDA6" w:rsidR="00022067" w:rsidRPr="00C6771F" w:rsidRDefault="00022067" w:rsidP="004F07E2">
      <w:pPr>
        <w:pStyle w:val="ListParagraph"/>
        <w:numPr>
          <w:ilvl w:val="2"/>
          <w:numId w:val="40"/>
        </w:numPr>
        <w:ind w:left="851" w:hanging="425"/>
        <w:jc w:val="both"/>
        <w:rPr>
          <w:rFonts w:ascii="Arial" w:hAnsi="Arial" w:cs="Arial"/>
          <w:sz w:val="22"/>
          <w:szCs w:val="22"/>
        </w:rPr>
      </w:pPr>
      <w:r w:rsidRPr="00C6771F">
        <w:rPr>
          <w:rFonts w:ascii="Arial" w:hAnsi="Arial" w:cs="Arial"/>
          <w:sz w:val="22"/>
          <w:szCs w:val="22"/>
        </w:rPr>
        <w:t>Exhaust all available remedies to collect all long outstanding/dormant/past due accounts and ensure proper documentation of accounts and coordination of concerned Agencies;</w:t>
      </w:r>
    </w:p>
    <w:p w14:paraId="39B5575B" w14:textId="77777777" w:rsidR="00022067" w:rsidRPr="00C6771F" w:rsidRDefault="00022067" w:rsidP="00022067">
      <w:pPr>
        <w:pStyle w:val="ListParagraph"/>
        <w:rPr>
          <w:rFonts w:ascii="Arial" w:eastAsia="Times New Roman" w:hAnsi="Arial" w:cs="Arial"/>
          <w:sz w:val="22"/>
          <w:szCs w:val="22"/>
        </w:rPr>
      </w:pPr>
    </w:p>
    <w:p w14:paraId="7CE51E30" w14:textId="77777777" w:rsidR="00022067" w:rsidRPr="00C6771F" w:rsidRDefault="00022067" w:rsidP="004F07E2">
      <w:pPr>
        <w:pStyle w:val="ListParagraph"/>
        <w:numPr>
          <w:ilvl w:val="2"/>
          <w:numId w:val="40"/>
        </w:numPr>
        <w:ind w:left="851" w:hanging="425"/>
        <w:jc w:val="both"/>
        <w:rPr>
          <w:rFonts w:ascii="Arial" w:eastAsia="Times New Roman" w:hAnsi="Arial" w:cs="Arial"/>
          <w:sz w:val="22"/>
          <w:szCs w:val="22"/>
        </w:rPr>
      </w:pPr>
      <w:r w:rsidRPr="00C6771F">
        <w:rPr>
          <w:rFonts w:ascii="Arial" w:eastAsia="Times New Roman" w:hAnsi="Arial" w:cs="Arial"/>
          <w:sz w:val="22"/>
          <w:szCs w:val="22"/>
        </w:rPr>
        <w:lastRenderedPageBreak/>
        <w:t xml:space="preserve">Devise other options and if warranted, resort to legal means to enforce </w:t>
      </w:r>
      <w:r w:rsidRPr="00C6771F">
        <w:rPr>
          <w:rFonts w:ascii="Arial" w:hAnsi="Arial" w:cs="Arial"/>
          <w:sz w:val="22"/>
          <w:szCs w:val="22"/>
        </w:rPr>
        <w:t>settlement</w:t>
      </w:r>
      <w:r w:rsidRPr="00C6771F">
        <w:rPr>
          <w:rFonts w:ascii="Arial" w:eastAsia="Times New Roman" w:hAnsi="Arial" w:cs="Arial"/>
          <w:sz w:val="22"/>
          <w:szCs w:val="22"/>
        </w:rPr>
        <w:t xml:space="preserve"> of accounts including those pertaining to prior years without request for write-off;</w:t>
      </w:r>
    </w:p>
    <w:p w14:paraId="7CC4195C" w14:textId="77777777" w:rsidR="00022067" w:rsidRPr="00C6771F" w:rsidRDefault="00022067" w:rsidP="00022067">
      <w:pPr>
        <w:pStyle w:val="ListParagraph"/>
        <w:rPr>
          <w:rFonts w:ascii="Arial" w:eastAsia="Times New Roman" w:hAnsi="Arial" w:cs="Arial"/>
          <w:sz w:val="22"/>
          <w:szCs w:val="22"/>
        </w:rPr>
      </w:pPr>
    </w:p>
    <w:p w14:paraId="0A0DDD6E" w14:textId="77777777" w:rsidR="00022067" w:rsidRPr="00C6771F" w:rsidRDefault="00022067" w:rsidP="004F07E2">
      <w:pPr>
        <w:pStyle w:val="ListParagraph"/>
        <w:numPr>
          <w:ilvl w:val="2"/>
          <w:numId w:val="40"/>
        </w:numPr>
        <w:ind w:left="851" w:hanging="425"/>
        <w:jc w:val="both"/>
        <w:rPr>
          <w:rFonts w:ascii="Arial" w:eastAsia="Times New Roman" w:hAnsi="Arial" w:cs="Arial"/>
          <w:sz w:val="22"/>
          <w:szCs w:val="22"/>
        </w:rPr>
      </w:pPr>
      <w:r w:rsidRPr="00C6771F">
        <w:rPr>
          <w:rFonts w:ascii="Arial" w:hAnsi="Arial" w:cs="Arial"/>
          <w:sz w:val="22"/>
          <w:szCs w:val="22"/>
        </w:rPr>
        <w:t>Document</w:t>
      </w:r>
      <w:r w:rsidRPr="00C6771F">
        <w:rPr>
          <w:rFonts w:ascii="Arial" w:eastAsia="Times New Roman" w:hAnsi="Arial" w:cs="Arial"/>
          <w:sz w:val="22"/>
          <w:szCs w:val="22"/>
        </w:rPr>
        <w:t xml:space="preserve"> all efforts to collect the dormant accounts; and</w:t>
      </w:r>
    </w:p>
    <w:p w14:paraId="50F473F1" w14:textId="77777777" w:rsidR="00022067" w:rsidRPr="00C6771F" w:rsidRDefault="00022067" w:rsidP="00022067">
      <w:pPr>
        <w:pStyle w:val="ListParagraph"/>
        <w:rPr>
          <w:rFonts w:ascii="Arial" w:eastAsia="Times New Roman" w:hAnsi="Arial" w:cs="Arial"/>
          <w:sz w:val="22"/>
          <w:szCs w:val="22"/>
        </w:rPr>
      </w:pPr>
    </w:p>
    <w:p w14:paraId="4D10BA1E" w14:textId="634B8E57" w:rsidR="00022067" w:rsidRPr="00C6771F" w:rsidRDefault="00022067" w:rsidP="004F07E2">
      <w:pPr>
        <w:pStyle w:val="ListParagraph"/>
        <w:numPr>
          <w:ilvl w:val="2"/>
          <w:numId w:val="40"/>
        </w:numPr>
        <w:ind w:left="851" w:hanging="425"/>
        <w:jc w:val="both"/>
        <w:rPr>
          <w:rFonts w:ascii="Arial" w:eastAsia="Times New Roman" w:hAnsi="Arial" w:cs="Arial"/>
          <w:sz w:val="22"/>
          <w:szCs w:val="22"/>
        </w:rPr>
      </w:pPr>
      <w:r w:rsidRPr="00C6771F">
        <w:rPr>
          <w:rFonts w:ascii="Arial" w:eastAsia="Times New Roman" w:hAnsi="Arial" w:cs="Arial"/>
          <w:sz w:val="22"/>
          <w:szCs w:val="22"/>
        </w:rPr>
        <w:t xml:space="preserve">When all efforts have failed, request the </w:t>
      </w:r>
      <w:r w:rsidR="004F07E2">
        <w:rPr>
          <w:rFonts w:ascii="Arial" w:eastAsia="Times New Roman" w:hAnsi="Arial" w:cs="Arial"/>
          <w:sz w:val="22"/>
          <w:szCs w:val="22"/>
        </w:rPr>
        <w:t>COA</w:t>
      </w:r>
      <w:r w:rsidRPr="00C6771F">
        <w:rPr>
          <w:rFonts w:ascii="Arial" w:eastAsia="Times New Roman" w:hAnsi="Arial" w:cs="Arial"/>
          <w:sz w:val="22"/>
          <w:szCs w:val="22"/>
        </w:rPr>
        <w:t xml:space="preserve"> for write-off as provided for under COA Circular No. 2016-005 dated December 19, 2016.</w:t>
      </w:r>
    </w:p>
    <w:p w14:paraId="465B30CB" w14:textId="77777777" w:rsidR="003617D6" w:rsidRPr="00C6771F" w:rsidRDefault="003617D6" w:rsidP="003617D6">
      <w:pPr>
        <w:pStyle w:val="ListParagraph"/>
        <w:rPr>
          <w:rFonts w:ascii="Arial" w:hAnsi="Arial" w:cs="Arial"/>
          <w:sz w:val="22"/>
          <w:szCs w:val="22"/>
        </w:rPr>
      </w:pPr>
    </w:p>
    <w:p w14:paraId="414FEAAA" w14:textId="6FABB921" w:rsidR="001B788B" w:rsidRPr="00C6771F" w:rsidRDefault="001B788B" w:rsidP="001B788B">
      <w:pPr>
        <w:pStyle w:val="ListParagraph"/>
        <w:numPr>
          <w:ilvl w:val="0"/>
          <w:numId w:val="40"/>
        </w:numPr>
        <w:ind w:left="360"/>
        <w:jc w:val="both"/>
        <w:rPr>
          <w:rFonts w:ascii="Arial" w:hAnsi="Arial" w:cs="Arial"/>
          <w:bCs/>
          <w:sz w:val="22"/>
          <w:szCs w:val="22"/>
        </w:rPr>
      </w:pPr>
      <w:r w:rsidRPr="00C6771F">
        <w:rPr>
          <w:rFonts w:ascii="Arial" w:hAnsi="Arial" w:cs="Arial"/>
          <w:bCs/>
          <w:sz w:val="22"/>
          <w:szCs w:val="22"/>
        </w:rPr>
        <w:t xml:space="preserve">The System did not exercise due diligence in the examination of the title and documents presented by the former owner in connection with the acquisition of the 150 hectares agricultural lot.  Further, it did not consider the possible disadvantages amounting to P284.237 million on the swapping of shares of stocks between </w:t>
      </w:r>
      <w:r w:rsidR="00B04D9E">
        <w:rPr>
          <w:rFonts w:ascii="Arial" w:hAnsi="Arial" w:cs="Arial"/>
          <w:bCs/>
          <w:sz w:val="22"/>
          <w:szCs w:val="22"/>
        </w:rPr>
        <w:t>Monterossa Development Corporation (MDC)</w:t>
      </w:r>
      <w:r w:rsidRPr="00C6771F">
        <w:rPr>
          <w:rFonts w:ascii="Arial" w:hAnsi="Arial" w:cs="Arial"/>
          <w:bCs/>
          <w:sz w:val="22"/>
          <w:szCs w:val="22"/>
        </w:rPr>
        <w:t xml:space="preserve"> and an AFPRSBS’ subsidiary realty corporation in 1999, thus, unfavorable to the Members of the System and is inconsistent with Section 2 of PD No. 1445.</w:t>
      </w:r>
    </w:p>
    <w:p w14:paraId="31EA4E08" w14:textId="77777777" w:rsidR="001B788B" w:rsidRPr="00C6771F" w:rsidRDefault="001B788B" w:rsidP="001B788B">
      <w:pPr>
        <w:pStyle w:val="ListParagraph"/>
        <w:ind w:left="360"/>
        <w:jc w:val="both"/>
        <w:rPr>
          <w:rFonts w:ascii="Arial" w:hAnsi="Arial" w:cs="Arial"/>
          <w:sz w:val="22"/>
          <w:szCs w:val="22"/>
        </w:rPr>
      </w:pPr>
    </w:p>
    <w:p w14:paraId="04C04D52" w14:textId="77777777" w:rsidR="001B788B" w:rsidRPr="00C6771F" w:rsidRDefault="001B788B" w:rsidP="001B788B">
      <w:pPr>
        <w:pStyle w:val="ListParagraph"/>
        <w:ind w:left="360"/>
        <w:jc w:val="both"/>
        <w:rPr>
          <w:rFonts w:ascii="Arial" w:hAnsi="Arial" w:cs="Arial"/>
          <w:bCs/>
          <w:sz w:val="22"/>
          <w:szCs w:val="22"/>
        </w:rPr>
      </w:pPr>
      <w:r w:rsidRPr="00C6771F">
        <w:rPr>
          <w:rFonts w:ascii="Arial" w:hAnsi="Arial" w:cs="Arial"/>
          <w:bCs/>
          <w:sz w:val="22"/>
          <w:szCs w:val="22"/>
        </w:rPr>
        <w:t>We recommended that Management:</w:t>
      </w:r>
    </w:p>
    <w:p w14:paraId="6062F00B" w14:textId="77777777" w:rsidR="001B788B" w:rsidRPr="00C6771F" w:rsidRDefault="001B788B" w:rsidP="001B788B">
      <w:pPr>
        <w:jc w:val="both"/>
        <w:rPr>
          <w:rFonts w:ascii="Arial" w:hAnsi="Arial" w:cs="Arial"/>
          <w:sz w:val="22"/>
          <w:szCs w:val="22"/>
        </w:rPr>
      </w:pPr>
    </w:p>
    <w:p w14:paraId="4E9FCB1C" w14:textId="77777777" w:rsidR="001B788B" w:rsidRPr="00C6771F" w:rsidRDefault="001B788B" w:rsidP="001B788B">
      <w:pPr>
        <w:pStyle w:val="ListParagraph"/>
        <w:numPr>
          <w:ilvl w:val="2"/>
          <w:numId w:val="40"/>
        </w:numPr>
        <w:ind w:left="851" w:hanging="425"/>
        <w:jc w:val="both"/>
        <w:rPr>
          <w:rFonts w:ascii="Arial" w:hAnsi="Arial" w:cs="Arial"/>
          <w:sz w:val="22"/>
          <w:szCs w:val="22"/>
        </w:rPr>
      </w:pPr>
      <w:r w:rsidRPr="00C6771F">
        <w:rPr>
          <w:rFonts w:ascii="Arial" w:hAnsi="Arial" w:cs="Arial"/>
          <w:sz w:val="22"/>
          <w:szCs w:val="22"/>
        </w:rPr>
        <w:t xml:space="preserve">Submit all BOT’s directives, decisions, minutes of meeting and preliminaries to establish the true intention of the swap; </w:t>
      </w:r>
    </w:p>
    <w:p w14:paraId="633FC756" w14:textId="77777777" w:rsidR="001B788B" w:rsidRPr="00C6771F" w:rsidRDefault="001B788B" w:rsidP="001B788B">
      <w:pPr>
        <w:jc w:val="both"/>
        <w:rPr>
          <w:rFonts w:ascii="Arial" w:hAnsi="Arial" w:cs="Arial"/>
          <w:sz w:val="22"/>
          <w:szCs w:val="22"/>
        </w:rPr>
      </w:pPr>
    </w:p>
    <w:p w14:paraId="20CF2A1A" w14:textId="77777777" w:rsidR="001B788B" w:rsidRPr="00C6771F" w:rsidRDefault="001B788B" w:rsidP="001B788B">
      <w:pPr>
        <w:pStyle w:val="ListParagraph"/>
        <w:numPr>
          <w:ilvl w:val="2"/>
          <w:numId w:val="40"/>
        </w:numPr>
        <w:ind w:left="851" w:hanging="425"/>
        <w:jc w:val="both"/>
        <w:rPr>
          <w:rFonts w:ascii="Arial" w:hAnsi="Arial" w:cs="Arial"/>
          <w:sz w:val="22"/>
          <w:szCs w:val="22"/>
        </w:rPr>
      </w:pPr>
      <w:r w:rsidRPr="00C6771F">
        <w:rPr>
          <w:rFonts w:ascii="Arial" w:hAnsi="Arial" w:cs="Arial"/>
          <w:sz w:val="22"/>
          <w:szCs w:val="22"/>
        </w:rPr>
        <w:t>Make the officers directly and indirectly involved in the corporates swap liable for the loss of P284.237 million; and</w:t>
      </w:r>
    </w:p>
    <w:p w14:paraId="468EE496" w14:textId="77777777" w:rsidR="001B788B" w:rsidRPr="00C6771F" w:rsidRDefault="001B788B" w:rsidP="001B788B">
      <w:pPr>
        <w:jc w:val="both"/>
        <w:rPr>
          <w:rFonts w:ascii="Arial" w:hAnsi="Arial" w:cs="Arial"/>
          <w:sz w:val="22"/>
          <w:szCs w:val="22"/>
        </w:rPr>
      </w:pPr>
    </w:p>
    <w:p w14:paraId="4F77C867" w14:textId="0D37CBE3" w:rsidR="001B788B" w:rsidRPr="00B04D9E" w:rsidRDefault="001B788B" w:rsidP="00B04D9E">
      <w:pPr>
        <w:pStyle w:val="ListParagraph"/>
        <w:numPr>
          <w:ilvl w:val="2"/>
          <w:numId w:val="40"/>
        </w:numPr>
        <w:ind w:left="851" w:hanging="425"/>
        <w:jc w:val="both"/>
        <w:rPr>
          <w:rFonts w:ascii="Arial" w:hAnsi="Arial" w:cs="Arial"/>
          <w:bCs/>
          <w:sz w:val="22"/>
          <w:szCs w:val="22"/>
        </w:rPr>
      </w:pPr>
      <w:r w:rsidRPr="00C6771F">
        <w:rPr>
          <w:rFonts w:ascii="Arial" w:hAnsi="Arial" w:cs="Arial"/>
          <w:sz w:val="22"/>
          <w:szCs w:val="22"/>
        </w:rPr>
        <w:t>Prepare the necessary accounting of the sales price of the 120 condominium units and the interest from 1999 to present to expedite the execution of judgment in case it becomes final and executory.</w:t>
      </w:r>
    </w:p>
    <w:p w14:paraId="30958D92" w14:textId="77777777" w:rsidR="00B04D9E" w:rsidRPr="00B04D9E" w:rsidRDefault="00B04D9E" w:rsidP="00B04D9E">
      <w:pPr>
        <w:jc w:val="both"/>
        <w:rPr>
          <w:rFonts w:ascii="Arial" w:hAnsi="Arial" w:cs="Arial"/>
          <w:bCs/>
          <w:sz w:val="22"/>
          <w:szCs w:val="22"/>
        </w:rPr>
      </w:pPr>
    </w:p>
    <w:p w14:paraId="71DC3D99" w14:textId="231CFC39" w:rsidR="00022067" w:rsidRPr="00C6771F" w:rsidRDefault="00B04D9E" w:rsidP="00022067">
      <w:pPr>
        <w:pStyle w:val="ListParagraph"/>
        <w:numPr>
          <w:ilvl w:val="0"/>
          <w:numId w:val="40"/>
        </w:numPr>
        <w:ind w:left="360"/>
        <w:jc w:val="both"/>
        <w:rPr>
          <w:rFonts w:ascii="Arial" w:hAnsi="Arial" w:cs="Arial"/>
          <w:bCs/>
          <w:sz w:val="22"/>
          <w:szCs w:val="22"/>
        </w:rPr>
      </w:pPr>
      <w:r>
        <w:rPr>
          <w:rFonts w:ascii="Arial" w:hAnsi="Arial" w:cs="Arial"/>
          <w:bCs/>
          <w:sz w:val="22"/>
          <w:szCs w:val="22"/>
        </w:rPr>
        <w:t>The System</w:t>
      </w:r>
      <w:r w:rsidR="00022067" w:rsidRPr="00C6771F">
        <w:rPr>
          <w:rFonts w:ascii="Arial" w:hAnsi="Arial" w:cs="Arial"/>
          <w:bCs/>
          <w:sz w:val="22"/>
          <w:szCs w:val="22"/>
        </w:rPr>
        <w:t xml:space="preserve"> did not register the certificate of sale of the foreclosed properties from the real estate corporation thereby depriving it of economic benefits including but not limited to receiving rental income and consolidation of title under its name contrary to the Section 6 of Act No. 3135 and Article 428 of the Civil Code.</w:t>
      </w:r>
    </w:p>
    <w:p w14:paraId="5E466B16" w14:textId="237F6BD5" w:rsidR="0038395B" w:rsidRPr="00C6771F" w:rsidRDefault="0038395B" w:rsidP="00022067">
      <w:pPr>
        <w:tabs>
          <w:tab w:val="left" w:pos="990"/>
        </w:tabs>
        <w:suppressAutoHyphens w:val="0"/>
        <w:contextualSpacing/>
        <w:jc w:val="both"/>
        <w:rPr>
          <w:rFonts w:ascii="Arial" w:hAnsi="Arial" w:cs="Arial"/>
          <w:sz w:val="22"/>
          <w:szCs w:val="22"/>
        </w:rPr>
      </w:pPr>
    </w:p>
    <w:p w14:paraId="38A5F70E" w14:textId="1923949A" w:rsidR="00E83AE5" w:rsidRPr="00B04D9E" w:rsidRDefault="00F76DD5" w:rsidP="00B04D9E">
      <w:pPr>
        <w:pStyle w:val="ListParagraph"/>
        <w:ind w:left="360"/>
        <w:jc w:val="both"/>
        <w:rPr>
          <w:rFonts w:ascii="Arial" w:hAnsi="Arial" w:cs="Arial"/>
          <w:bCs/>
          <w:sz w:val="22"/>
          <w:szCs w:val="22"/>
        </w:rPr>
      </w:pPr>
      <w:r>
        <w:rPr>
          <w:rFonts w:ascii="Arial" w:hAnsi="Arial" w:cs="Arial"/>
          <w:bCs/>
          <w:sz w:val="22"/>
          <w:szCs w:val="22"/>
        </w:rPr>
        <w:t>We recommended and</w:t>
      </w:r>
      <w:r w:rsidR="00022067" w:rsidRPr="00C6771F">
        <w:rPr>
          <w:rFonts w:ascii="Arial" w:hAnsi="Arial" w:cs="Arial"/>
          <w:bCs/>
          <w:sz w:val="22"/>
          <w:szCs w:val="22"/>
        </w:rPr>
        <w:t xml:space="preserve"> Management agreed to pay the deficiency tax assessments and cause the registratio</w:t>
      </w:r>
      <w:r w:rsidR="004F07E2">
        <w:rPr>
          <w:rFonts w:ascii="Arial" w:hAnsi="Arial" w:cs="Arial"/>
          <w:bCs/>
          <w:sz w:val="22"/>
          <w:szCs w:val="22"/>
        </w:rPr>
        <w:t xml:space="preserve">n of certificate of sale with </w:t>
      </w:r>
      <w:r w:rsidR="00B04D9E">
        <w:rPr>
          <w:rFonts w:ascii="Arial" w:hAnsi="Arial" w:cs="Arial"/>
          <w:bCs/>
          <w:sz w:val="22"/>
          <w:szCs w:val="22"/>
        </w:rPr>
        <w:t xml:space="preserve">the </w:t>
      </w:r>
      <w:r w:rsidR="004F07E2">
        <w:rPr>
          <w:rFonts w:ascii="Arial" w:hAnsi="Arial" w:cs="Arial"/>
          <w:bCs/>
          <w:sz w:val="22"/>
          <w:szCs w:val="22"/>
        </w:rPr>
        <w:t>Registry of Deeds</w:t>
      </w:r>
      <w:r w:rsidR="00022067" w:rsidRPr="00C6771F">
        <w:rPr>
          <w:rFonts w:ascii="Arial" w:hAnsi="Arial" w:cs="Arial"/>
          <w:bCs/>
          <w:sz w:val="22"/>
          <w:szCs w:val="22"/>
        </w:rPr>
        <w:t>.</w:t>
      </w:r>
    </w:p>
    <w:p w14:paraId="22BF284E" w14:textId="77777777" w:rsidR="00022067" w:rsidRPr="00C6771F" w:rsidRDefault="00022067" w:rsidP="00022067">
      <w:pPr>
        <w:ind w:left="426"/>
        <w:jc w:val="both"/>
        <w:rPr>
          <w:rFonts w:ascii="Arial" w:hAnsi="Arial" w:cs="Arial"/>
          <w:sz w:val="22"/>
          <w:szCs w:val="22"/>
        </w:rPr>
      </w:pPr>
    </w:p>
    <w:p w14:paraId="26338C6A" w14:textId="38266E60" w:rsidR="00175CD6" w:rsidRPr="00C6771F" w:rsidRDefault="00C174F6" w:rsidP="00175CD6">
      <w:pPr>
        <w:jc w:val="both"/>
        <w:rPr>
          <w:rFonts w:ascii="Arial" w:hAnsi="Arial" w:cs="Arial"/>
          <w:sz w:val="22"/>
          <w:szCs w:val="22"/>
        </w:rPr>
      </w:pPr>
      <w:r>
        <w:rPr>
          <w:rFonts w:ascii="Arial" w:hAnsi="Arial" w:cs="Arial"/>
          <w:sz w:val="22"/>
          <w:szCs w:val="22"/>
        </w:rPr>
        <w:t>O</w:t>
      </w:r>
      <w:r w:rsidR="00175CD6" w:rsidRPr="00C6771F">
        <w:rPr>
          <w:rFonts w:ascii="Arial" w:hAnsi="Arial" w:cs="Arial"/>
          <w:sz w:val="22"/>
          <w:szCs w:val="22"/>
        </w:rPr>
        <w:t xml:space="preserve">ther audit observations together with the recommendations are discussed in Part II of this </w:t>
      </w:r>
      <w:r w:rsidR="00B04D9E">
        <w:rPr>
          <w:rFonts w:ascii="Arial" w:hAnsi="Arial" w:cs="Arial"/>
          <w:sz w:val="22"/>
          <w:szCs w:val="22"/>
        </w:rPr>
        <w:t>R</w:t>
      </w:r>
      <w:r w:rsidR="00175CD6" w:rsidRPr="00C6771F">
        <w:rPr>
          <w:rFonts w:ascii="Arial" w:hAnsi="Arial" w:cs="Arial"/>
          <w:sz w:val="22"/>
          <w:szCs w:val="22"/>
        </w:rPr>
        <w:t>eport.</w:t>
      </w:r>
    </w:p>
    <w:p w14:paraId="229E797A" w14:textId="77777777" w:rsidR="00175CD6" w:rsidRPr="00C6771F" w:rsidRDefault="00175CD6" w:rsidP="00175CD6">
      <w:pPr>
        <w:pStyle w:val="NoSpacing"/>
        <w:jc w:val="both"/>
        <w:rPr>
          <w:rFonts w:ascii="Arial" w:hAnsi="Arial" w:cs="Arial"/>
          <w:sz w:val="22"/>
          <w:szCs w:val="22"/>
          <w:u w:val="single"/>
          <w:lang w:eastAsia="en-US"/>
        </w:rPr>
      </w:pPr>
    </w:p>
    <w:p w14:paraId="34A7154A" w14:textId="77777777" w:rsidR="00DD3AF7" w:rsidRPr="00C6771F" w:rsidRDefault="00DD3AF7" w:rsidP="006D48F1">
      <w:pPr>
        <w:tabs>
          <w:tab w:val="left" w:pos="1260"/>
        </w:tabs>
        <w:suppressAutoHyphens w:val="0"/>
        <w:jc w:val="both"/>
        <w:rPr>
          <w:rFonts w:ascii="Arial" w:hAnsi="Arial" w:cs="Arial"/>
          <w:sz w:val="22"/>
          <w:szCs w:val="22"/>
          <w:u w:val="single"/>
        </w:rPr>
      </w:pPr>
    </w:p>
    <w:p w14:paraId="08E874CE" w14:textId="77777777" w:rsidR="00132627" w:rsidRPr="00C6771F" w:rsidRDefault="00132627">
      <w:pPr>
        <w:pStyle w:val="BodyText"/>
        <w:spacing w:after="0"/>
        <w:ind w:right="108"/>
        <w:jc w:val="both"/>
        <w:rPr>
          <w:rFonts w:ascii="Arial" w:hAnsi="Arial" w:cs="Arial"/>
          <w:b/>
          <w:sz w:val="22"/>
          <w:szCs w:val="22"/>
        </w:rPr>
      </w:pPr>
      <w:r w:rsidRPr="00C6771F">
        <w:rPr>
          <w:rFonts w:ascii="Arial" w:hAnsi="Arial" w:cs="Arial"/>
          <w:b/>
          <w:sz w:val="22"/>
          <w:szCs w:val="22"/>
          <w:lang w:val="en-PH"/>
        </w:rPr>
        <w:t>STATUS OF IMPLEMENTATION OF PRIOR YEARS’ AUDIT RECOMMENDATIONS</w:t>
      </w:r>
    </w:p>
    <w:p w14:paraId="58D5A9CC" w14:textId="77777777" w:rsidR="00554033" w:rsidRPr="00C6771F" w:rsidRDefault="00554033">
      <w:pPr>
        <w:rPr>
          <w:rFonts w:ascii="Arial" w:hAnsi="Arial" w:cs="Arial"/>
          <w:sz w:val="22"/>
          <w:szCs w:val="22"/>
        </w:rPr>
      </w:pPr>
    </w:p>
    <w:p w14:paraId="17DFE256" w14:textId="0574525F" w:rsidR="00330D13" w:rsidRPr="008F6D71" w:rsidRDefault="00E86256" w:rsidP="00554033">
      <w:pPr>
        <w:jc w:val="both"/>
        <w:rPr>
          <w:rFonts w:ascii="Arial" w:hAnsi="Arial" w:cs="Arial"/>
          <w:color w:val="000000" w:themeColor="text1"/>
          <w:sz w:val="22"/>
          <w:szCs w:val="22"/>
        </w:rPr>
      </w:pPr>
      <w:r w:rsidRPr="008F6D71">
        <w:rPr>
          <w:rFonts w:ascii="Arial" w:hAnsi="Arial" w:cs="Arial"/>
          <w:color w:val="000000" w:themeColor="text1"/>
          <w:sz w:val="22"/>
          <w:szCs w:val="22"/>
        </w:rPr>
        <w:t>Out of the 5</w:t>
      </w:r>
      <w:r w:rsidR="00B0237A" w:rsidRPr="008F6D71">
        <w:rPr>
          <w:rFonts w:ascii="Arial" w:hAnsi="Arial" w:cs="Arial"/>
          <w:color w:val="000000" w:themeColor="text1"/>
          <w:sz w:val="22"/>
          <w:szCs w:val="22"/>
        </w:rPr>
        <w:t>0</w:t>
      </w:r>
      <w:r w:rsidRPr="008F6D71">
        <w:rPr>
          <w:rFonts w:ascii="Arial" w:hAnsi="Arial" w:cs="Arial"/>
          <w:color w:val="000000" w:themeColor="text1"/>
          <w:sz w:val="22"/>
          <w:szCs w:val="22"/>
        </w:rPr>
        <w:t xml:space="preserve"> audit recommendations embodied in the CY 201</w:t>
      </w:r>
      <w:r w:rsidR="009A1E68" w:rsidRPr="008F6D71">
        <w:rPr>
          <w:rFonts w:ascii="Arial" w:hAnsi="Arial" w:cs="Arial"/>
          <w:color w:val="000000" w:themeColor="text1"/>
          <w:sz w:val="22"/>
          <w:szCs w:val="22"/>
        </w:rPr>
        <w:t>8</w:t>
      </w:r>
      <w:r w:rsidRPr="008F6D71">
        <w:rPr>
          <w:rFonts w:ascii="Arial" w:hAnsi="Arial" w:cs="Arial"/>
          <w:color w:val="000000" w:themeColor="text1"/>
          <w:sz w:val="22"/>
          <w:szCs w:val="22"/>
        </w:rPr>
        <w:t xml:space="preserve"> Annual Audit Repor</w:t>
      </w:r>
      <w:r w:rsidR="00580CAF" w:rsidRPr="008F6D71">
        <w:rPr>
          <w:rFonts w:ascii="Arial" w:hAnsi="Arial" w:cs="Arial"/>
          <w:color w:val="000000" w:themeColor="text1"/>
          <w:sz w:val="22"/>
          <w:szCs w:val="22"/>
        </w:rPr>
        <w:t xml:space="preserve">t, </w:t>
      </w:r>
      <w:r w:rsidR="00B75334" w:rsidRPr="008F6D71">
        <w:rPr>
          <w:rFonts w:ascii="Arial" w:hAnsi="Arial" w:cs="Arial"/>
          <w:color w:val="000000" w:themeColor="text1"/>
          <w:sz w:val="22"/>
          <w:szCs w:val="22"/>
        </w:rPr>
        <w:t>11</w:t>
      </w:r>
      <w:r w:rsidR="00580CAF" w:rsidRPr="008F6D71">
        <w:rPr>
          <w:rFonts w:ascii="Arial" w:hAnsi="Arial" w:cs="Arial"/>
          <w:color w:val="000000" w:themeColor="text1"/>
          <w:sz w:val="22"/>
          <w:szCs w:val="22"/>
        </w:rPr>
        <w:t xml:space="preserve"> were fully implemented, 2</w:t>
      </w:r>
      <w:r w:rsidR="00B75334" w:rsidRPr="008F6D71">
        <w:rPr>
          <w:rFonts w:ascii="Arial" w:hAnsi="Arial" w:cs="Arial"/>
          <w:color w:val="000000" w:themeColor="text1"/>
          <w:sz w:val="22"/>
          <w:szCs w:val="22"/>
        </w:rPr>
        <w:t>7</w:t>
      </w:r>
      <w:r w:rsidRPr="008F6D71">
        <w:rPr>
          <w:rFonts w:ascii="Arial" w:hAnsi="Arial" w:cs="Arial"/>
          <w:color w:val="000000" w:themeColor="text1"/>
          <w:sz w:val="22"/>
          <w:szCs w:val="22"/>
        </w:rPr>
        <w:t xml:space="preserve"> were partially implemented, </w:t>
      </w:r>
      <w:r w:rsidR="00795BDC" w:rsidRPr="008F6D71">
        <w:rPr>
          <w:rFonts w:ascii="Arial" w:hAnsi="Arial" w:cs="Arial"/>
          <w:color w:val="000000" w:themeColor="text1"/>
          <w:sz w:val="22"/>
          <w:szCs w:val="22"/>
        </w:rPr>
        <w:t>nine</w:t>
      </w:r>
      <w:r w:rsidR="00580CAF" w:rsidRPr="008F6D71">
        <w:rPr>
          <w:rFonts w:ascii="Arial" w:hAnsi="Arial" w:cs="Arial"/>
          <w:color w:val="000000" w:themeColor="text1"/>
          <w:sz w:val="22"/>
          <w:szCs w:val="22"/>
        </w:rPr>
        <w:t xml:space="preserve"> were not implemented and </w:t>
      </w:r>
      <w:r w:rsidR="00795BDC" w:rsidRPr="008F6D71">
        <w:rPr>
          <w:rFonts w:ascii="Arial" w:hAnsi="Arial" w:cs="Arial"/>
          <w:color w:val="000000" w:themeColor="text1"/>
          <w:sz w:val="22"/>
          <w:szCs w:val="22"/>
        </w:rPr>
        <w:t>three</w:t>
      </w:r>
      <w:r w:rsidRPr="008F6D71">
        <w:rPr>
          <w:rFonts w:ascii="Arial" w:hAnsi="Arial" w:cs="Arial"/>
          <w:color w:val="000000" w:themeColor="text1"/>
          <w:sz w:val="22"/>
          <w:szCs w:val="22"/>
        </w:rPr>
        <w:t xml:space="preserve"> were reconsidered.  Out of the </w:t>
      </w:r>
      <w:r w:rsidR="00795BDC" w:rsidRPr="008F6D71">
        <w:rPr>
          <w:rFonts w:ascii="Arial" w:hAnsi="Arial" w:cs="Arial"/>
          <w:color w:val="000000" w:themeColor="text1"/>
          <w:sz w:val="22"/>
          <w:szCs w:val="22"/>
        </w:rPr>
        <w:t>nine</w:t>
      </w:r>
      <w:r w:rsidRPr="008F6D71">
        <w:rPr>
          <w:rFonts w:ascii="Arial" w:hAnsi="Arial" w:cs="Arial"/>
          <w:color w:val="000000" w:themeColor="text1"/>
          <w:sz w:val="22"/>
          <w:szCs w:val="22"/>
        </w:rPr>
        <w:t xml:space="preserve"> unimplemented recommendations, </w:t>
      </w:r>
      <w:r w:rsidR="00795BDC" w:rsidRPr="008F6D71">
        <w:rPr>
          <w:rFonts w:ascii="Arial" w:hAnsi="Arial" w:cs="Arial"/>
          <w:color w:val="000000" w:themeColor="text1"/>
          <w:sz w:val="22"/>
          <w:szCs w:val="22"/>
        </w:rPr>
        <w:t>six</w:t>
      </w:r>
      <w:r w:rsidRPr="008F6D71">
        <w:rPr>
          <w:rFonts w:ascii="Arial" w:hAnsi="Arial" w:cs="Arial"/>
          <w:color w:val="000000" w:themeColor="text1"/>
          <w:sz w:val="22"/>
          <w:szCs w:val="22"/>
        </w:rPr>
        <w:t xml:space="preserve"> were reiterated</w:t>
      </w:r>
      <w:r w:rsidR="00B0237A" w:rsidRPr="008F6D71">
        <w:rPr>
          <w:rFonts w:ascii="Arial" w:hAnsi="Arial" w:cs="Arial"/>
          <w:color w:val="000000" w:themeColor="text1"/>
          <w:sz w:val="22"/>
          <w:szCs w:val="22"/>
        </w:rPr>
        <w:t xml:space="preserve"> </w:t>
      </w:r>
      <w:r w:rsidR="0012739C" w:rsidRPr="008F6D71">
        <w:rPr>
          <w:rFonts w:ascii="Arial" w:hAnsi="Arial" w:cs="Arial"/>
          <w:color w:val="000000" w:themeColor="text1"/>
          <w:sz w:val="22"/>
          <w:szCs w:val="22"/>
        </w:rPr>
        <w:t xml:space="preserve">in Part II of this </w:t>
      </w:r>
      <w:r w:rsidR="00DC725A">
        <w:rPr>
          <w:rFonts w:ascii="Arial" w:hAnsi="Arial" w:cs="Arial"/>
          <w:color w:val="000000" w:themeColor="text1"/>
          <w:sz w:val="22"/>
          <w:szCs w:val="22"/>
        </w:rPr>
        <w:t>Report</w:t>
      </w:r>
      <w:r w:rsidR="005C60D2" w:rsidRPr="008F6D71">
        <w:rPr>
          <w:rFonts w:ascii="Arial" w:hAnsi="Arial" w:cs="Arial"/>
          <w:color w:val="000000" w:themeColor="text1"/>
          <w:sz w:val="22"/>
          <w:szCs w:val="22"/>
        </w:rPr>
        <w:t xml:space="preserve">.  </w:t>
      </w:r>
      <w:r w:rsidR="006E28F8" w:rsidRPr="008F6D71">
        <w:rPr>
          <w:rFonts w:ascii="Arial" w:hAnsi="Arial" w:cs="Arial"/>
          <w:color w:val="000000" w:themeColor="text1"/>
          <w:sz w:val="22"/>
          <w:szCs w:val="22"/>
        </w:rPr>
        <w:t xml:space="preserve">Details are presented in Part III of this </w:t>
      </w:r>
      <w:r w:rsidR="00B04D9E">
        <w:rPr>
          <w:rFonts w:ascii="Arial" w:hAnsi="Arial" w:cs="Arial"/>
          <w:color w:val="000000" w:themeColor="text1"/>
          <w:sz w:val="22"/>
          <w:szCs w:val="22"/>
        </w:rPr>
        <w:t>R</w:t>
      </w:r>
      <w:r w:rsidR="006E28F8" w:rsidRPr="008F6D71">
        <w:rPr>
          <w:rFonts w:ascii="Arial" w:hAnsi="Arial" w:cs="Arial"/>
          <w:color w:val="000000" w:themeColor="text1"/>
          <w:sz w:val="22"/>
          <w:szCs w:val="22"/>
        </w:rPr>
        <w:t>eport.</w:t>
      </w:r>
    </w:p>
    <w:sectPr w:rsidR="00330D13" w:rsidRPr="008F6D71" w:rsidSect="00873C62">
      <w:footerReference w:type="default" r:id="rId8"/>
      <w:pgSz w:w="12240" w:h="15840"/>
      <w:pgMar w:top="1440" w:right="1440" w:bottom="1440" w:left="1440" w:header="720" w:footer="1152" w:gutter="720"/>
      <w:pgNumType w:fmt="lowerRoman" w:start="1"/>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A276F" w14:textId="77777777" w:rsidR="006F311A" w:rsidRDefault="006F311A">
      <w:r>
        <w:separator/>
      </w:r>
    </w:p>
  </w:endnote>
  <w:endnote w:type="continuationSeparator" w:id="0">
    <w:p w14:paraId="67C0E4E6" w14:textId="77777777" w:rsidR="006F311A" w:rsidRDefault="006F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1924" w14:textId="77777777" w:rsidR="00286E04" w:rsidRPr="0049159A" w:rsidRDefault="00286E04" w:rsidP="0049159A">
    <w:pPr>
      <w:pStyle w:val="Footer"/>
      <w:jc w:val="right"/>
      <w:rPr>
        <w:rFonts w:ascii="Arial" w:hAnsi="Arial" w:cs="Arial"/>
        <w:sz w:val="20"/>
        <w:szCs w:val="20"/>
        <w:lang w:val="en-PH"/>
      </w:rPr>
    </w:pPr>
  </w:p>
  <w:p w14:paraId="59434E72" w14:textId="77777777" w:rsidR="00286E04" w:rsidRPr="0049159A" w:rsidRDefault="00286E04" w:rsidP="0049159A">
    <w:pPr>
      <w:pStyle w:val="Footer"/>
      <w:jc w:val="right"/>
      <w:rPr>
        <w:rFonts w:ascii="Arial" w:hAnsi="Arial" w:cs="Arial"/>
        <w:sz w:val="20"/>
        <w:szCs w:val="20"/>
      </w:rPr>
    </w:pPr>
    <w:r w:rsidRPr="0049159A">
      <w:rPr>
        <w:rFonts w:ascii="Arial" w:hAnsi="Arial" w:cs="Arial"/>
        <w:sz w:val="20"/>
        <w:szCs w:val="20"/>
      </w:rPr>
      <w:fldChar w:fldCharType="begin"/>
    </w:r>
    <w:r w:rsidRPr="0049159A">
      <w:rPr>
        <w:rFonts w:ascii="Arial" w:hAnsi="Arial" w:cs="Arial"/>
        <w:sz w:val="20"/>
        <w:szCs w:val="20"/>
      </w:rPr>
      <w:instrText xml:space="preserve"> PAGE </w:instrText>
    </w:r>
    <w:r w:rsidRPr="0049159A">
      <w:rPr>
        <w:rFonts w:ascii="Arial" w:hAnsi="Arial" w:cs="Arial"/>
        <w:sz w:val="20"/>
        <w:szCs w:val="20"/>
      </w:rPr>
      <w:fldChar w:fldCharType="separate"/>
    </w:r>
    <w:r w:rsidR="009139B4">
      <w:rPr>
        <w:rFonts w:ascii="Arial" w:hAnsi="Arial" w:cs="Arial"/>
        <w:noProof/>
        <w:sz w:val="20"/>
        <w:szCs w:val="20"/>
      </w:rPr>
      <w:t>iii</w:t>
    </w:r>
    <w:r w:rsidRPr="0049159A">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71B4F" w14:textId="77777777" w:rsidR="006F311A" w:rsidRDefault="006F311A">
      <w:r>
        <w:separator/>
      </w:r>
    </w:p>
  </w:footnote>
  <w:footnote w:type="continuationSeparator" w:id="0">
    <w:p w14:paraId="3A0BA5CC" w14:textId="77777777" w:rsidR="006F311A" w:rsidRDefault="006F3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000002"/>
    <w:multiLevelType w:val="singleLevel"/>
    <w:tmpl w:val="00000002"/>
    <w:name w:val="WW8Num1"/>
    <w:lvl w:ilvl="0">
      <w:start w:val="1"/>
      <w:numFmt w:val="lowerLetter"/>
      <w:lvlText w:val="%1."/>
      <w:lvlJc w:val="left"/>
      <w:pPr>
        <w:tabs>
          <w:tab w:val="num" w:pos="0"/>
        </w:tabs>
        <w:ind w:left="1080" w:hanging="360"/>
      </w:pPr>
      <w:rPr>
        <w:rFonts w:hint="default"/>
      </w:rPr>
    </w:lvl>
  </w:abstractNum>
  <w:abstractNum w:abstractNumId="2">
    <w:nsid w:val="00000003"/>
    <w:multiLevelType w:val="multilevel"/>
    <w:tmpl w:val="8AECEE88"/>
    <w:name w:val="WW8Num8"/>
    <w:lvl w:ilvl="0">
      <w:start w:val="1"/>
      <w:numFmt w:val="upperRoman"/>
      <w:lvlText w:val="%1."/>
      <w:lvlJc w:val="left"/>
      <w:pPr>
        <w:tabs>
          <w:tab w:val="num" w:pos="720"/>
        </w:tabs>
        <w:ind w:left="1080" w:hanging="720"/>
      </w:pPr>
      <w:rPr>
        <w:rFonts w:ascii="Arial" w:hAnsi="Arial" w:cs="Arial" w:hint="default"/>
        <w:b/>
        <w:sz w:val="22"/>
        <w:szCs w:val="22"/>
      </w:rPr>
    </w:lvl>
    <w:lvl w:ilvl="1">
      <w:start w:val="1"/>
      <w:numFmt w:val="decimal"/>
      <w:lvlText w:val="%1.%2"/>
      <w:lvlJc w:val="left"/>
      <w:pPr>
        <w:tabs>
          <w:tab w:val="num" w:pos="0"/>
        </w:tabs>
        <w:ind w:left="720" w:hanging="360"/>
      </w:pPr>
      <w:rPr>
        <w:rFonts w:ascii="Arial" w:hAnsi="Arial" w:cs="Arial" w:hint="default"/>
        <w:b/>
        <w:sz w:val="22"/>
        <w:szCs w:val="22"/>
      </w:rPr>
    </w:lvl>
    <w:lvl w:ilvl="2">
      <w:start w:val="1"/>
      <w:numFmt w:val="decimal"/>
      <w:lvlText w:val="%1.%2.%3"/>
      <w:lvlJc w:val="left"/>
      <w:pPr>
        <w:tabs>
          <w:tab w:val="num" w:pos="0"/>
        </w:tabs>
        <w:ind w:left="1080" w:hanging="720"/>
      </w:pPr>
      <w:rPr>
        <w:rFonts w:ascii="Arial" w:hAnsi="Arial" w:cs="Arial" w:hint="default"/>
        <w:b/>
        <w:sz w:val="22"/>
        <w:szCs w:val="22"/>
      </w:rPr>
    </w:lvl>
    <w:lvl w:ilvl="3">
      <w:start w:val="1"/>
      <w:numFmt w:val="decimal"/>
      <w:lvlText w:val="%1.%2.%3.%4"/>
      <w:lvlJc w:val="left"/>
      <w:pPr>
        <w:tabs>
          <w:tab w:val="num" w:pos="0"/>
        </w:tabs>
        <w:ind w:left="1080" w:hanging="720"/>
      </w:pPr>
      <w:rPr>
        <w:rFonts w:ascii="Arial" w:hAnsi="Arial" w:cs="Arial" w:hint="default"/>
        <w:b/>
        <w:sz w:val="22"/>
        <w:szCs w:val="22"/>
      </w:rPr>
    </w:lvl>
    <w:lvl w:ilvl="4">
      <w:start w:val="1"/>
      <w:numFmt w:val="decimal"/>
      <w:lvlText w:val="%1.%2.%3.%4.%5"/>
      <w:lvlJc w:val="left"/>
      <w:pPr>
        <w:tabs>
          <w:tab w:val="num" w:pos="0"/>
        </w:tabs>
        <w:ind w:left="1440" w:hanging="1080"/>
      </w:pPr>
      <w:rPr>
        <w:rFonts w:ascii="Arial" w:hAnsi="Arial" w:cs="Arial" w:hint="default"/>
        <w:b/>
        <w:sz w:val="22"/>
        <w:szCs w:val="22"/>
      </w:rPr>
    </w:lvl>
    <w:lvl w:ilvl="5">
      <w:start w:val="1"/>
      <w:numFmt w:val="decimal"/>
      <w:lvlText w:val="%1.%2.%3.%4.%5.%6"/>
      <w:lvlJc w:val="left"/>
      <w:pPr>
        <w:tabs>
          <w:tab w:val="num" w:pos="0"/>
        </w:tabs>
        <w:ind w:left="1440" w:hanging="1080"/>
      </w:pPr>
      <w:rPr>
        <w:rFonts w:ascii="Arial" w:hAnsi="Arial" w:cs="Arial" w:hint="default"/>
        <w:b/>
        <w:sz w:val="22"/>
        <w:szCs w:val="22"/>
      </w:rPr>
    </w:lvl>
    <w:lvl w:ilvl="6">
      <w:start w:val="1"/>
      <w:numFmt w:val="decimal"/>
      <w:lvlText w:val="%1.%2.%3.%4.%5.%6.%7"/>
      <w:lvlJc w:val="left"/>
      <w:pPr>
        <w:tabs>
          <w:tab w:val="num" w:pos="0"/>
        </w:tabs>
        <w:ind w:left="1800" w:hanging="1440"/>
      </w:pPr>
      <w:rPr>
        <w:rFonts w:ascii="Arial" w:hAnsi="Arial" w:cs="Arial" w:hint="default"/>
        <w:b/>
        <w:sz w:val="22"/>
        <w:szCs w:val="22"/>
      </w:rPr>
    </w:lvl>
    <w:lvl w:ilvl="7">
      <w:start w:val="1"/>
      <w:numFmt w:val="decimal"/>
      <w:lvlText w:val="%1.%2.%3.%4.%5.%6.%7.%8"/>
      <w:lvlJc w:val="left"/>
      <w:pPr>
        <w:tabs>
          <w:tab w:val="num" w:pos="0"/>
        </w:tabs>
        <w:ind w:left="1800" w:hanging="1440"/>
      </w:pPr>
      <w:rPr>
        <w:rFonts w:ascii="Arial" w:hAnsi="Arial" w:cs="Arial" w:hint="default"/>
        <w:b/>
        <w:sz w:val="22"/>
        <w:szCs w:val="22"/>
      </w:rPr>
    </w:lvl>
    <w:lvl w:ilvl="8">
      <w:start w:val="1"/>
      <w:numFmt w:val="decimal"/>
      <w:lvlText w:val="%1.%2.%3.%4.%5.%6.%7.%8.%9"/>
      <w:lvlJc w:val="left"/>
      <w:pPr>
        <w:tabs>
          <w:tab w:val="num" w:pos="0"/>
        </w:tabs>
        <w:ind w:left="2160" w:hanging="1800"/>
      </w:pPr>
      <w:rPr>
        <w:rFonts w:ascii="Arial" w:hAnsi="Arial" w:cs="Arial" w:hint="default"/>
        <w:b/>
        <w:sz w:val="22"/>
        <w:szCs w:val="22"/>
      </w:rPr>
    </w:lvl>
  </w:abstractNum>
  <w:abstractNum w:abstractNumId="3">
    <w:nsid w:val="00000004"/>
    <w:multiLevelType w:val="singleLevel"/>
    <w:tmpl w:val="00000004"/>
    <w:name w:val="WW8Num9"/>
    <w:lvl w:ilvl="0">
      <w:start w:val="1"/>
      <w:numFmt w:val="bullet"/>
      <w:lvlText w:val=""/>
      <w:lvlJc w:val="left"/>
      <w:pPr>
        <w:tabs>
          <w:tab w:val="num" w:pos="0"/>
        </w:tabs>
        <w:ind w:left="1440" w:hanging="360"/>
      </w:pPr>
      <w:rPr>
        <w:rFonts w:ascii="Symbol" w:hAnsi="Symbol" w:cs="Symbol" w:hint="default"/>
        <w:sz w:val="22"/>
        <w:szCs w:val="22"/>
      </w:rPr>
    </w:lvl>
  </w:abstractNum>
  <w:abstractNum w:abstractNumId="4">
    <w:nsid w:val="00000005"/>
    <w:multiLevelType w:val="singleLevel"/>
    <w:tmpl w:val="00000005"/>
    <w:name w:val="WW8Num23"/>
    <w:lvl w:ilvl="0">
      <w:start w:val="1"/>
      <w:numFmt w:val="decimal"/>
      <w:lvlText w:val="%1."/>
      <w:lvlJc w:val="left"/>
      <w:pPr>
        <w:tabs>
          <w:tab w:val="num" w:pos="0"/>
        </w:tabs>
        <w:ind w:left="720" w:hanging="360"/>
      </w:pPr>
      <w:rPr>
        <w:rFonts w:ascii="Arial" w:hAnsi="Arial" w:cs="Arial" w:hint="default"/>
        <w:b w:val="0"/>
        <w:color w:val="FF0000"/>
        <w:sz w:val="22"/>
        <w:szCs w:val="22"/>
      </w:rPr>
    </w:lvl>
  </w:abstractNum>
  <w:abstractNum w:abstractNumId="5">
    <w:nsid w:val="00000006"/>
    <w:multiLevelType w:val="multilevel"/>
    <w:tmpl w:val="00000006"/>
    <w:name w:val="WW8Num2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1.%2"/>
      <w:lvlJc w:val="left"/>
      <w:pPr>
        <w:tabs>
          <w:tab w:val="num" w:pos="720"/>
        </w:tabs>
        <w:ind w:left="720" w:hanging="360"/>
      </w:pPr>
      <w:rPr>
        <w:rFonts w:ascii="Arial" w:hAnsi="Arial" w:cs="Arial" w:hint="default"/>
        <w:sz w:val="22"/>
        <w:szCs w:val="22"/>
      </w:rPr>
    </w:lvl>
    <w:lvl w:ilvl="2">
      <w:start w:val="1"/>
      <w:numFmt w:val="decimal"/>
      <w:lvlText w:val="%1.%2.%3"/>
      <w:lvlJc w:val="left"/>
      <w:pPr>
        <w:tabs>
          <w:tab w:val="num" w:pos="0"/>
        </w:tabs>
        <w:ind w:left="1080" w:hanging="720"/>
      </w:pPr>
      <w:rPr>
        <w:rFonts w:ascii="Arial" w:hAnsi="Arial" w:cs="Arial" w:hint="default"/>
        <w:sz w:val="22"/>
        <w:szCs w:val="22"/>
      </w:rPr>
    </w:lvl>
    <w:lvl w:ilvl="3">
      <w:start w:val="1"/>
      <w:numFmt w:val="decimal"/>
      <w:lvlText w:val="%1.%2.%3.%4"/>
      <w:lvlJc w:val="left"/>
      <w:pPr>
        <w:tabs>
          <w:tab w:val="num" w:pos="0"/>
        </w:tabs>
        <w:ind w:left="1080" w:hanging="720"/>
      </w:pPr>
      <w:rPr>
        <w:rFonts w:ascii="Arial" w:hAnsi="Arial" w:cs="Arial" w:hint="default"/>
        <w:sz w:val="22"/>
        <w:szCs w:val="22"/>
      </w:rPr>
    </w:lvl>
    <w:lvl w:ilvl="4">
      <w:start w:val="1"/>
      <w:numFmt w:val="decimal"/>
      <w:lvlText w:val="%1.%2.%3.%4.%5"/>
      <w:lvlJc w:val="left"/>
      <w:pPr>
        <w:tabs>
          <w:tab w:val="num" w:pos="0"/>
        </w:tabs>
        <w:ind w:left="1440" w:hanging="1080"/>
      </w:pPr>
      <w:rPr>
        <w:rFonts w:ascii="Arial" w:hAnsi="Arial" w:cs="Arial" w:hint="default"/>
        <w:sz w:val="22"/>
        <w:szCs w:val="22"/>
      </w:rPr>
    </w:lvl>
    <w:lvl w:ilvl="5">
      <w:start w:val="1"/>
      <w:numFmt w:val="decimal"/>
      <w:lvlText w:val="%1.%2.%3.%4.%5.%6"/>
      <w:lvlJc w:val="left"/>
      <w:pPr>
        <w:tabs>
          <w:tab w:val="num" w:pos="0"/>
        </w:tabs>
        <w:ind w:left="1440" w:hanging="1080"/>
      </w:pPr>
      <w:rPr>
        <w:rFonts w:ascii="Arial" w:hAnsi="Arial" w:cs="Arial" w:hint="default"/>
        <w:sz w:val="22"/>
        <w:szCs w:val="22"/>
      </w:rPr>
    </w:lvl>
    <w:lvl w:ilvl="6">
      <w:start w:val="1"/>
      <w:numFmt w:val="decimal"/>
      <w:lvlText w:val="%1.%2.%3.%4.%5.%6.%7"/>
      <w:lvlJc w:val="left"/>
      <w:pPr>
        <w:tabs>
          <w:tab w:val="num" w:pos="0"/>
        </w:tabs>
        <w:ind w:left="1800" w:hanging="1440"/>
      </w:pPr>
      <w:rPr>
        <w:rFonts w:ascii="Arial" w:hAnsi="Arial" w:cs="Arial" w:hint="default"/>
        <w:sz w:val="22"/>
        <w:szCs w:val="22"/>
      </w:rPr>
    </w:lvl>
    <w:lvl w:ilvl="7">
      <w:start w:val="1"/>
      <w:numFmt w:val="decimal"/>
      <w:lvlText w:val="%1.%2.%3.%4.%5.%6.%7.%8"/>
      <w:lvlJc w:val="left"/>
      <w:pPr>
        <w:tabs>
          <w:tab w:val="num" w:pos="0"/>
        </w:tabs>
        <w:ind w:left="1800" w:hanging="1440"/>
      </w:pPr>
      <w:rPr>
        <w:rFonts w:ascii="Arial" w:hAnsi="Arial" w:cs="Arial" w:hint="default"/>
        <w:sz w:val="22"/>
        <w:szCs w:val="22"/>
      </w:rPr>
    </w:lvl>
    <w:lvl w:ilvl="8">
      <w:start w:val="1"/>
      <w:numFmt w:val="decimal"/>
      <w:lvlText w:val="%1.%2.%3.%4.%5.%6.%7.%8.%9"/>
      <w:lvlJc w:val="left"/>
      <w:pPr>
        <w:tabs>
          <w:tab w:val="num" w:pos="0"/>
        </w:tabs>
        <w:ind w:left="2160" w:hanging="1800"/>
      </w:pPr>
      <w:rPr>
        <w:rFonts w:ascii="Arial" w:hAnsi="Arial" w:cs="Arial" w:hint="default"/>
        <w:sz w:val="22"/>
        <w:szCs w:val="22"/>
      </w:rPr>
    </w:lvl>
  </w:abstractNum>
  <w:abstractNum w:abstractNumId="6">
    <w:nsid w:val="00000007"/>
    <w:multiLevelType w:val="multilevel"/>
    <w:tmpl w:val="00000007"/>
    <w:name w:val="WW8Num30"/>
    <w:lvl w:ilvl="0">
      <w:start w:val="1"/>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0"/>
        </w:tabs>
        <w:ind w:left="720" w:hanging="360"/>
      </w:pPr>
      <w:rPr>
        <w:rFonts w:ascii="Arial" w:hAnsi="Arial" w:cs="Arial" w:hint="default"/>
        <w:sz w:val="22"/>
        <w:szCs w:val="22"/>
      </w:rPr>
    </w:lvl>
    <w:lvl w:ilvl="2">
      <w:start w:val="1"/>
      <w:numFmt w:val="decimal"/>
      <w:lvlText w:val="%1.%2.%3"/>
      <w:lvlJc w:val="left"/>
      <w:pPr>
        <w:tabs>
          <w:tab w:val="num" w:pos="0"/>
        </w:tabs>
        <w:ind w:left="1440" w:hanging="720"/>
      </w:pPr>
      <w:rPr>
        <w:rFonts w:ascii="Arial" w:hAnsi="Arial" w:cs="Arial" w:hint="default"/>
        <w:sz w:val="22"/>
        <w:szCs w:val="22"/>
      </w:rPr>
    </w:lvl>
    <w:lvl w:ilvl="3">
      <w:start w:val="1"/>
      <w:numFmt w:val="decimal"/>
      <w:lvlText w:val="%1.%2.%3.%4"/>
      <w:lvlJc w:val="left"/>
      <w:pPr>
        <w:tabs>
          <w:tab w:val="num" w:pos="0"/>
        </w:tabs>
        <w:ind w:left="1800" w:hanging="720"/>
      </w:pPr>
      <w:rPr>
        <w:rFonts w:ascii="Arial" w:hAnsi="Arial" w:cs="Arial" w:hint="default"/>
        <w:sz w:val="22"/>
        <w:szCs w:val="22"/>
      </w:rPr>
    </w:lvl>
    <w:lvl w:ilvl="4">
      <w:start w:val="1"/>
      <w:numFmt w:val="decimal"/>
      <w:lvlText w:val="%1.%2.%3.%4.%5"/>
      <w:lvlJc w:val="left"/>
      <w:pPr>
        <w:tabs>
          <w:tab w:val="num" w:pos="0"/>
        </w:tabs>
        <w:ind w:left="2520" w:hanging="1080"/>
      </w:pPr>
      <w:rPr>
        <w:rFonts w:ascii="Arial" w:hAnsi="Arial" w:cs="Arial" w:hint="default"/>
        <w:sz w:val="22"/>
        <w:szCs w:val="22"/>
      </w:rPr>
    </w:lvl>
    <w:lvl w:ilvl="5">
      <w:start w:val="1"/>
      <w:numFmt w:val="decimal"/>
      <w:lvlText w:val="%1.%2.%3.%4.%5.%6"/>
      <w:lvlJc w:val="left"/>
      <w:pPr>
        <w:tabs>
          <w:tab w:val="num" w:pos="0"/>
        </w:tabs>
        <w:ind w:left="2880" w:hanging="1080"/>
      </w:pPr>
      <w:rPr>
        <w:rFonts w:ascii="Arial" w:hAnsi="Arial" w:cs="Arial" w:hint="default"/>
        <w:sz w:val="22"/>
        <w:szCs w:val="22"/>
      </w:rPr>
    </w:lvl>
    <w:lvl w:ilvl="6">
      <w:start w:val="1"/>
      <w:numFmt w:val="decimal"/>
      <w:lvlText w:val="%1.%2.%3.%4.%5.%6.%7"/>
      <w:lvlJc w:val="left"/>
      <w:pPr>
        <w:tabs>
          <w:tab w:val="num" w:pos="0"/>
        </w:tabs>
        <w:ind w:left="3600" w:hanging="1440"/>
      </w:pPr>
      <w:rPr>
        <w:rFonts w:ascii="Arial" w:hAnsi="Arial" w:cs="Arial" w:hint="default"/>
        <w:sz w:val="22"/>
        <w:szCs w:val="22"/>
      </w:rPr>
    </w:lvl>
    <w:lvl w:ilvl="7">
      <w:start w:val="1"/>
      <w:numFmt w:val="decimal"/>
      <w:lvlText w:val="%1.%2.%3.%4.%5.%6.%7.%8"/>
      <w:lvlJc w:val="left"/>
      <w:pPr>
        <w:tabs>
          <w:tab w:val="num" w:pos="0"/>
        </w:tabs>
        <w:ind w:left="3960" w:hanging="1440"/>
      </w:pPr>
      <w:rPr>
        <w:rFonts w:ascii="Arial" w:hAnsi="Arial" w:cs="Arial" w:hint="default"/>
        <w:sz w:val="22"/>
        <w:szCs w:val="22"/>
      </w:rPr>
    </w:lvl>
    <w:lvl w:ilvl="8">
      <w:start w:val="1"/>
      <w:numFmt w:val="decimal"/>
      <w:lvlText w:val="%1.%2.%3.%4.%5.%6.%7.%8.%9"/>
      <w:lvlJc w:val="left"/>
      <w:pPr>
        <w:tabs>
          <w:tab w:val="num" w:pos="0"/>
        </w:tabs>
        <w:ind w:left="4680" w:hanging="1800"/>
      </w:pPr>
      <w:rPr>
        <w:rFonts w:ascii="Arial" w:hAnsi="Arial" w:cs="Arial" w:hint="default"/>
        <w:sz w:val="22"/>
        <w:szCs w:val="22"/>
      </w:rPr>
    </w:lvl>
  </w:abstractNum>
  <w:abstractNum w:abstractNumId="7">
    <w:nsid w:val="00000008"/>
    <w:multiLevelType w:val="singleLevel"/>
    <w:tmpl w:val="00000008"/>
    <w:name w:val="WW8Num3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8">
    <w:nsid w:val="00000009"/>
    <w:multiLevelType w:val="multilevel"/>
    <w:tmpl w:val="00000009"/>
    <w:name w:val="WW8Num44"/>
    <w:lvl w:ilvl="0">
      <w:start w:val="3"/>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0"/>
        </w:tabs>
        <w:ind w:left="360" w:hanging="36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9">
    <w:nsid w:val="0000000A"/>
    <w:multiLevelType w:val="singleLevel"/>
    <w:tmpl w:val="0000000A"/>
    <w:name w:val="WW8Num46"/>
    <w:lvl w:ilvl="0">
      <w:start w:val="1"/>
      <w:numFmt w:val="lowerLetter"/>
      <w:lvlText w:val="%1."/>
      <w:lvlJc w:val="left"/>
      <w:pPr>
        <w:tabs>
          <w:tab w:val="num" w:pos="0"/>
        </w:tabs>
        <w:ind w:left="1080" w:hanging="360"/>
      </w:pPr>
      <w:rPr>
        <w:rFonts w:ascii="Arial" w:hAnsi="Arial" w:cs="Arial" w:hint="default"/>
        <w:b w:val="0"/>
      </w:rPr>
    </w:lvl>
  </w:abstractNum>
  <w:abstractNum w:abstractNumId="10">
    <w:nsid w:val="0000000B"/>
    <w:multiLevelType w:val="singleLevel"/>
    <w:tmpl w:val="0000000B"/>
    <w:name w:val="WW8Num48"/>
    <w:lvl w:ilvl="0">
      <w:start w:val="1"/>
      <w:numFmt w:val="lowerRoman"/>
      <w:lvlText w:val="%1."/>
      <w:lvlJc w:val="left"/>
      <w:pPr>
        <w:tabs>
          <w:tab w:val="num" w:pos="0"/>
        </w:tabs>
        <w:ind w:left="2160" w:hanging="720"/>
      </w:pPr>
      <w:rPr>
        <w:rFonts w:ascii="Arial" w:hAnsi="Arial" w:cs="Arial" w:hint="default"/>
        <w:sz w:val="22"/>
        <w:szCs w:val="22"/>
      </w:rPr>
    </w:lvl>
  </w:abstractNum>
  <w:abstractNum w:abstractNumId="11">
    <w:nsid w:val="0000000C"/>
    <w:multiLevelType w:val="singleLevel"/>
    <w:tmpl w:val="0000000C"/>
    <w:name w:val="WW8Num52"/>
    <w:lvl w:ilvl="0">
      <w:start w:val="1"/>
      <w:numFmt w:val="lowerLetter"/>
      <w:lvlText w:val="%1."/>
      <w:lvlJc w:val="left"/>
      <w:pPr>
        <w:tabs>
          <w:tab w:val="num" w:pos="0"/>
        </w:tabs>
        <w:ind w:left="2520" w:hanging="360"/>
      </w:pPr>
      <w:rPr>
        <w:rFonts w:ascii="Arial" w:hAnsi="Arial" w:cs="Arial" w:hint="default"/>
        <w:sz w:val="22"/>
        <w:szCs w:val="22"/>
      </w:rPr>
    </w:lvl>
  </w:abstractNum>
  <w:abstractNum w:abstractNumId="12">
    <w:nsid w:val="0000000D"/>
    <w:multiLevelType w:val="singleLevel"/>
    <w:tmpl w:val="0000000D"/>
    <w:name w:val="WW8Num56"/>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3">
    <w:nsid w:val="00DB1220"/>
    <w:multiLevelType w:val="hybridMultilevel"/>
    <w:tmpl w:val="B4B891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5CE4F94"/>
    <w:multiLevelType w:val="hybridMultilevel"/>
    <w:tmpl w:val="13BC859E"/>
    <w:lvl w:ilvl="0" w:tplc="8C26179C">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67A2286"/>
    <w:multiLevelType w:val="hybridMultilevel"/>
    <w:tmpl w:val="48CE5EE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0EDF2676"/>
    <w:multiLevelType w:val="hybridMultilevel"/>
    <w:tmpl w:val="A4D88406"/>
    <w:lvl w:ilvl="0" w:tplc="4642A6BA">
      <w:start w:val="1"/>
      <w:numFmt w:val="lowerRoman"/>
      <w:lvlText w:val="%1."/>
      <w:lvlJc w:val="left"/>
      <w:pPr>
        <w:ind w:left="2160" w:hanging="7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7">
    <w:nsid w:val="110C35A8"/>
    <w:multiLevelType w:val="hybridMultilevel"/>
    <w:tmpl w:val="6BEEFD04"/>
    <w:lvl w:ilvl="0" w:tplc="7BACE1D8">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
    <w:nsid w:val="124043D3"/>
    <w:multiLevelType w:val="hybridMultilevel"/>
    <w:tmpl w:val="DAF8D912"/>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nsid w:val="18DD1779"/>
    <w:multiLevelType w:val="hybridMultilevel"/>
    <w:tmpl w:val="079C3A1C"/>
    <w:lvl w:ilvl="0" w:tplc="294224D2">
      <w:start w:val="1"/>
      <w:numFmt w:val="lowerLetter"/>
      <w:lvlText w:val="%1."/>
      <w:lvlJc w:val="left"/>
      <w:pPr>
        <w:ind w:left="2514" w:hanging="360"/>
      </w:pPr>
      <w:rPr>
        <w:rFonts w:eastAsia="MS Mincho" w:cs="Times New Roman"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0">
    <w:nsid w:val="18FF26C8"/>
    <w:multiLevelType w:val="hybridMultilevel"/>
    <w:tmpl w:val="404C28AC"/>
    <w:lvl w:ilvl="0" w:tplc="DC7AC7B6">
      <w:start w:val="1"/>
      <w:numFmt w:val="lowerLetter"/>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1DDD586B"/>
    <w:multiLevelType w:val="hybridMultilevel"/>
    <w:tmpl w:val="079C3A1C"/>
    <w:lvl w:ilvl="0" w:tplc="294224D2">
      <w:start w:val="1"/>
      <w:numFmt w:val="lowerLetter"/>
      <w:lvlText w:val="%1."/>
      <w:lvlJc w:val="left"/>
      <w:pPr>
        <w:ind w:left="2514" w:hanging="360"/>
      </w:pPr>
      <w:rPr>
        <w:rFonts w:eastAsia="MS Mincho" w:cs="Times New Roman"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22">
    <w:nsid w:val="1F2330D0"/>
    <w:multiLevelType w:val="hybridMultilevel"/>
    <w:tmpl w:val="6018D1C2"/>
    <w:lvl w:ilvl="0" w:tplc="4E8A72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23E503B"/>
    <w:multiLevelType w:val="hybridMultilevel"/>
    <w:tmpl w:val="7AE89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533610"/>
    <w:multiLevelType w:val="hybridMultilevel"/>
    <w:tmpl w:val="6194E15E"/>
    <w:lvl w:ilvl="0" w:tplc="3E42FE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7D2F6E"/>
    <w:multiLevelType w:val="hybridMultilevel"/>
    <w:tmpl w:val="8D38003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331869E3"/>
    <w:multiLevelType w:val="multilevel"/>
    <w:tmpl w:val="C89E0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33954E6"/>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5954DE2"/>
    <w:multiLevelType w:val="hybridMultilevel"/>
    <w:tmpl w:val="50A2E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040228"/>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6A04F78"/>
    <w:multiLevelType w:val="hybridMultilevel"/>
    <w:tmpl w:val="2D3CBA80"/>
    <w:lvl w:ilvl="0" w:tplc="21EE0EF8">
      <w:start w:val="1"/>
      <w:numFmt w:val="lowerRoman"/>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
    <w:nsid w:val="36B622D9"/>
    <w:multiLevelType w:val="hybridMultilevel"/>
    <w:tmpl w:val="353836C8"/>
    <w:lvl w:ilvl="0" w:tplc="43C6713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39715546"/>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99E1F69"/>
    <w:multiLevelType w:val="hybridMultilevel"/>
    <w:tmpl w:val="92C6470A"/>
    <w:lvl w:ilvl="0" w:tplc="DC7AC7B6">
      <w:start w:val="1"/>
      <w:numFmt w:val="lowerLetter"/>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nsid w:val="3CBA768B"/>
    <w:multiLevelType w:val="hybridMultilevel"/>
    <w:tmpl w:val="D298B9FA"/>
    <w:lvl w:ilvl="0" w:tplc="DC2ACF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01D60CC"/>
    <w:multiLevelType w:val="hybridMultilevel"/>
    <w:tmpl w:val="3B4431B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41604B11"/>
    <w:multiLevelType w:val="hybridMultilevel"/>
    <w:tmpl w:val="4ABC5C14"/>
    <w:lvl w:ilvl="0" w:tplc="6F2A40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1757389"/>
    <w:multiLevelType w:val="multilevel"/>
    <w:tmpl w:val="C12410E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ascii="Arial" w:hAnsi="Arial" w:cs="Arial" w:hint="default"/>
        <w:b w:val="0"/>
        <w:i w:val="0"/>
        <w:sz w:val="22"/>
        <w:szCs w:val="22"/>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754147E"/>
    <w:multiLevelType w:val="hybridMultilevel"/>
    <w:tmpl w:val="C0AAD75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4C1D37A1"/>
    <w:multiLevelType w:val="hybridMultilevel"/>
    <w:tmpl w:val="403A3AD8"/>
    <w:lvl w:ilvl="0" w:tplc="BD9A4C4E">
      <w:start w:val="1"/>
      <w:numFmt w:val="lowerLetter"/>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30218F"/>
    <w:multiLevelType w:val="hybridMultilevel"/>
    <w:tmpl w:val="5EB0121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4F681266"/>
    <w:multiLevelType w:val="hybridMultilevel"/>
    <w:tmpl w:val="B1BCE74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nsid w:val="53620D38"/>
    <w:multiLevelType w:val="hybridMultilevel"/>
    <w:tmpl w:val="F376B0D4"/>
    <w:lvl w:ilvl="0" w:tplc="8D24059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3">
    <w:nsid w:val="538B3553"/>
    <w:multiLevelType w:val="hybridMultilevel"/>
    <w:tmpl w:val="B6FA165E"/>
    <w:lvl w:ilvl="0" w:tplc="8F74E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92F172E"/>
    <w:multiLevelType w:val="hybridMultilevel"/>
    <w:tmpl w:val="6A26C286"/>
    <w:lvl w:ilvl="0" w:tplc="31FC1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9DC0BCA"/>
    <w:multiLevelType w:val="hybridMultilevel"/>
    <w:tmpl w:val="BE541B80"/>
    <w:lvl w:ilvl="0" w:tplc="34090019">
      <w:start w:val="1"/>
      <w:numFmt w:val="lowerLetter"/>
      <w:lvlText w:val="%1."/>
      <w:lvlJc w:val="left"/>
      <w:pPr>
        <w:ind w:left="720" w:hanging="360"/>
      </w:pPr>
      <w:rPr>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62564507"/>
    <w:multiLevelType w:val="hybridMultilevel"/>
    <w:tmpl w:val="CD106F70"/>
    <w:lvl w:ilvl="0" w:tplc="0F047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37B30A1"/>
    <w:multiLevelType w:val="hybridMultilevel"/>
    <w:tmpl w:val="5394E6C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nsid w:val="64E156A2"/>
    <w:multiLevelType w:val="hybridMultilevel"/>
    <w:tmpl w:val="3FE81C56"/>
    <w:lvl w:ilvl="0" w:tplc="90B4CA14">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nsid w:val="65AD6561"/>
    <w:multiLevelType w:val="hybridMultilevel"/>
    <w:tmpl w:val="D27EAB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9553913"/>
    <w:multiLevelType w:val="hybridMultilevel"/>
    <w:tmpl w:val="95CE74E2"/>
    <w:lvl w:ilvl="0" w:tplc="80D04BA0">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nsid w:val="6DE07A19"/>
    <w:multiLevelType w:val="hybridMultilevel"/>
    <w:tmpl w:val="B8344340"/>
    <w:lvl w:ilvl="0" w:tplc="A93E4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F364454"/>
    <w:multiLevelType w:val="hybridMultilevel"/>
    <w:tmpl w:val="81A8967E"/>
    <w:lvl w:ilvl="0" w:tplc="49C20B5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nsid w:val="73FE3424"/>
    <w:multiLevelType w:val="multilevel"/>
    <w:tmpl w:val="017AE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5150983"/>
    <w:multiLevelType w:val="multilevel"/>
    <w:tmpl w:val="A4B09B36"/>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080" w:hanging="360"/>
      </w:pPr>
      <w:rPr>
        <w:rFonts w:ascii="Arial" w:hAnsi="Arial" w:cs="Arial"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nsid w:val="777E7952"/>
    <w:multiLevelType w:val="hybridMultilevel"/>
    <w:tmpl w:val="A282C994"/>
    <w:lvl w:ilvl="0" w:tplc="04090019">
      <w:start w:val="1"/>
      <w:numFmt w:val="lowerLetter"/>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6">
    <w:nsid w:val="7C0F2282"/>
    <w:multiLevelType w:val="hybridMultilevel"/>
    <w:tmpl w:val="B7328FFA"/>
    <w:lvl w:ilvl="0" w:tplc="DC3A5C1E">
      <w:start w:val="1"/>
      <w:numFmt w:val="lowerLetter"/>
      <w:lvlText w:val="%1."/>
      <w:lvlJc w:val="left"/>
      <w:pPr>
        <w:ind w:left="1080" w:hanging="360"/>
      </w:pPr>
      <w:rPr>
        <w:rFonts w:hint="default"/>
        <w:b w:val="0"/>
        <w:sz w:val="22"/>
        <w:szCs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 w:numId="2">
    <w:abstractNumId w:val="2"/>
  </w:num>
  <w:num w:numId="3">
    <w:abstractNumId w:val="54"/>
  </w:num>
  <w:num w:numId="4">
    <w:abstractNumId w:val="13"/>
  </w:num>
  <w:num w:numId="5">
    <w:abstractNumId w:val="49"/>
  </w:num>
  <w:num w:numId="6">
    <w:abstractNumId w:val="37"/>
  </w:num>
  <w:num w:numId="7">
    <w:abstractNumId w:val="53"/>
  </w:num>
  <w:num w:numId="8">
    <w:abstractNumId w:val="28"/>
  </w:num>
  <w:num w:numId="9">
    <w:abstractNumId w:val="16"/>
  </w:num>
  <w:num w:numId="10">
    <w:abstractNumId w:val="56"/>
  </w:num>
  <w:num w:numId="11">
    <w:abstractNumId w:val="47"/>
  </w:num>
  <w:num w:numId="12">
    <w:abstractNumId w:val="26"/>
  </w:num>
  <w:num w:numId="13">
    <w:abstractNumId w:val="48"/>
  </w:num>
  <w:num w:numId="14">
    <w:abstractNumId w:val="51"/>
  </w:num>
  <w:num w:numId="15">
    <w:abstractNumId w:val="18"/>
  </w:num>
  <w:num w:numId="16">
    <w:abstractNumId w:val="15"/>
  </w:num>
  <w:num w:numId="17">
    <w:abstractNumId w:val="20"/>
  </w:num>
  <w:num w:numId="18">
    <w:abstractNumId w:val="30"/>
  </w:num>
  <w:num w:numId="19">
    <w:abstractNumId w:val="40"/>
  </w:num>
  <w:num w:numId="20">
    <w:abstractNumId w:val="17"/>
  </w:num>
  <w:num w:numId="21">
    <w:abstractNumId w:val="42"/>
  </w:num>
  <w:num w:numId="22">
    <w:abstractNumId w:val="25"/>
  </w:num>
  <w:num w:numId="23">
    <w:abstractNumId w:val="41"/>
  </w:num>
  <w:num w:numId="24">
    <w:abstractNumId w:val="50"/>
  </w:num>
  <w:num w:numId="25">
    <w:abstractNumId w:val="31"/>
  </w:num>
  <w:num w:numId="26">
    <w:abstractNumId w:val="45"/>
  </w:num>
  <w:num w:numId="27">
    <w:abstractNumId w:val="19"/>
  </w:num>
  <w:num w:numId="28">
    <w:abstractNumId w:val="24"/>
  </w:num>
  <w:num w:numId="29">
    <w:abstractNumId w:val="46"/>
  </w:num>
  <w:num w:numId="30">
    <w:abstractNumId w:val="22"/>
  </w:num>
  <w:num w:numId="31">
    <w:abstractNumId w:val="35"/>
  </w:num>
  <w:num w:numId="32">
    <w:abstractNumId w:val="43"/>
  </w:num>
  <w:num w:numId="33">
    <w:abstractNumId w:val="44"/>
  </w:num>
  <w:num w:numId="34">
    <w:abstractNumId w:val="14"/>
  </w:num>
  <w:num w:numId="35">
    <w:abstractNumId w:val="33"/>
  </w:num>
  <w:num w:numId="36">
    <w:abstractNumId w:val="52"/>
  </w:num>
  <w:num w:numId="37">
    <w:abstractNumId w:val="32"/>
  </w:num>
  <w:num w:numId="38">
    <w:abstractNumId w:val="21"/>
  </w:num>
  <w:num w:numId="39">
    <w:abstractNumId w:val="27"/>
  </w:num>
  <w:num w:numId="40">
    <w:abstractNumId w:val="29"/>
  </w:num>
  <w:num w:numId="41">
    <w:abstractNumId w:val="55"/>
  </w:num>
  <w:num w:numId="42">
    <w:abstractNumId w:val="23"/>
  </w:num>
  <w:num w:numId="43">
    <w:abstractNumId w:val="39"/>
  </w:num>
  <w:num w:numId="44">
    <w:abstractNumId w:val="34"/>
  </w:num>
  <w:num w:numId="45">
    <w:abstractNumId w:val="36"/>
  </w:num>
  <w:num w:numId="46">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2D"/>
    <w:rsid w:val="000007DD"/>
    <w:rsid w:val="00001031"/>
    <w:rsid w:val="000016DA"/>
    <w:rsid w:val="000049DB"/>
    <w:rsid w:val="00007AD3"/>
    <w:rsid w:val="00014880"/>
    <w:rsid w:val="00021434"/>
    <w:rsid w:val="00022067"/>
    <w:rsid w:val="00022DB4"/>
    <w:rsid w:val="00026B41"/>
    <w:rsid w:val="000412E7"/>
    <w:rsid w:val="00051F91"/>
    <w:rsid w:val="000530F0"/>
    <w:rsid w:val="00054096"/>
    <w:rsid w:val="000541D9"/>
    <w:rsid w:val="000670BC"/>
    <w:rsid w:val="00073F5C"/>
    <w:rsid w:val="000773CD"/>
    <w:rsid w:val="00077807"/>
    <w:rsid w:val="000817E5"/>
    <w:rsid w:val="000824E0"/>
    <w:rsid w:val="00084595"/>
    <w:rsid w:val="0008464A"/>
    <w:rsid w:val="00084B02"/>
    <w:rsid w:val="000901D9"/>
    <w:rsid w:val="0009599A"/>
    <w:rsid w:val="000A0C65"/>
    <w:rsid w:val="000A51FE"/>
    <w:rsid w:val="000B0495"/>
    <w:rsid w:val="000B4221"/>
    <w:rsid w:val="000B68CC"/>
    <w:rsid w:val="000C18D8"/>
    <w:rsid w:val="000C2766"/>
    <w:rsid w:val="000C4DFD"/>
    <w:rsid w:val="000C76C0"/>
    <w:rsid w:val="000D0802"/>
    <w:rsid w:val="000D2B65"/>
    <w:rsid w:val="000E16CC"/>
    <w:rsid w:val="000E3C60"/>
    <w:rsid w:val="000F0549"/>
    <w:rsid w:val="00100462"/>
    <w:rsid w:val="001037D0"/>
    <w:rsid w:val="001037D6"/>
    <w:rsid w:val="00105A14"/>
    <w:rsid w:val="00105D6F"/>
    <w:rsid w:val="00111FE7"/>
    <w:rsid w:val="00113944"/>
    <w:rsid w:val="00113C6D"/>
    <w:rsid w:val="00114351"/>
    <w:rsid w:val="0012477D"/>
    <w:rsid w:val="0012739C"/>
    <w:rsid w:val="00132627"/>
    <w:rsid w:val="00133AF6"/>
    <w:rsid w:val="00134867"/>
    <w:rsid w:val="00151727"/>
    <w:rsid w:val="00153A3E"/>
    <w:rsid w:val="00175C68"/>
    <w:rsid w:val="00175CD6"/>
    <w:rsid w:val="00191296"/>
    <w:rsid w:val="001927C0"/>
    <w:rsid w:val="00193E38"/>
    <w:rsid w:val="0019544D"/>
    <w:rsid w:val="001971C5"/>
    <w:rsid w:val="001A095A"/>
    <w:rsid w:val="001A44DB"/>
    <w:rsid w:val="001A4CC1"/>
    <w:rsid w:val="001A5E31"/>
    <w:rsid w:val="001A62CE"/>
    <w:rsid w:val="001A746D"/>
    <w:rsid w:val="001B62F4"/>
    <w:rsid w:val="001B656C"/>
    <w:rsid w:val="001B788B"/>
    <w:rsid w:val="001D48F3"/>
    <w:rsid w:val="001D7D97"/>
    <w:rsid w:val="001E215C"/>
    <w:rsid w:val="001E27B3"/>
    <w:rsid w:val="001E32C9"/>
    <w:rsid w:val="001F3D01"/>
    <w:rsid w:val="001F67EB"/>
    <w:rsid w:val="001F7AAC"/>
    <w:rsid w:val="00200F41"/>
    <w:rsid w:val="002050E1"/>
    <w:rsid w:val="00205C02"/>
    <w:rsid w:val="00207BD8"/>
    <w:rsid w:val="00212F6C"/>
    <w:rsid w:val="002135C4"/>
    <w:rsid w:val="00213AD1"/>
    <w:rsid w:val="00214D78"/>
    <w:rsid w:val="002151A7"/>
    <w:rsid w:val="0021583A"/>
    <w:rsid w:val="0022027C"/>
    <w:rsid w:val="002264CE"/>
    <w:rsid w:val="00227B4F"/>
    <w:rsid w:val="00232A39"/>
    <w:rsid w:val="00232DA9"/>
    <w:rsid w:val="002341B3"/>
    <w:rsid w:val="002341B7"/>
    <w:rsid w:val="00236EC4"/>
    <w:rsid w:val="002406D7"/>
    <w:rsid w:val="002411FE"/>
    <w:rsid w:val="002510A8"/>
    <w:rsid w:val="002544D0"/>
    <w:rsid w:val="00254AB1"/>
    <w:rsid w:val="002564E7"/>
    <w:rsid w:val="00264AFF"/>
    <w:rsid w:val="00264F7B"/>
    <w:rsid w:val="00272549"/>
    <w:rsid w:val="002778E5"/>
    <w:rsid w:val="00280064"/>
    <w:rsid w:val="00286E04"/>
    <w:rsid w:val="00286EB1"/>
    <w:rsid w:val="00291544"/>
    <w:rsid w:val="002975A1"/>
    <w:rsid w:val="002A6351"/>
    <w:rsid w:val="002A7F38"/>
    <w:rsid w:val="002B64EB"/>
    <w:rsid w:val="002C1C0D"/>
    <w:rsid w:val="002D0C31"/>
    <w:rsid w:val="002E12BC"/>
    <w:rsid w:val="002E345B"/>
    <w:rsid w:val="002F2C7E"/>
    <w:rsid w:val="002F3C1C"/>
    <w:rsid w:val="002F4467"/>
    <w:rsid w:val="00303248"/>
    <w:rsid w:val="00304A38"/>
    <w:rsid w:val="00305409"/>
    <w:rsid w:val="0030553F"/>
    <w:rsid w:val="00314B41"/>
    <w:rsid w:val="00315AEA"/>
    <w:rsid w:val="00320041"/>
    <w:rsid w:val="003212C9"/>
    <w:rsid w:val="00323228"/>
    <w:rsid w:val="00330D13"/>
    <w:rsid w:val="00331553"/>
    <w:rsid w:val="00332970"/>
    <w:rsid w:val="003330EF"/>
    <w:rsid w:val="00336143"/>
    <w:rsid w:val="00336555"/>
    <w:rsid w:val="0033761E"/>
    <w:rsid w:val="003418AD"/>
    <w:rsid w:val="003433D1"/>
    <w:rsid w:val="00343703"/>
    <w:rsid w:val="00345BD0"/>
    <w:rsid w:val="00346FDF"/>
    <w:rsid w:val="003562FC"/>
    <w:rsid w:val="003570A6"/>
    <w:rsid w:val="003617D6"/>
    <w:rsid w:val="00363178"/>
    <w:rsid w:val="0036556B"/>
    <w:rsid w:val="00371C82"/>
    <w:rsid w:val="00375788"/>
    <w:rsid w:val="003809C5"/>
    <w:rsid w:val="0038395B"/>
    <w:rsid w:val="00384778"/>
    <w:rsid w:val="003A05C1"/>
    <w:rsid w:val="003A4B03"/>
    <w:rsid w:val="003B7B95"/>
    <w:rsid w:val="003C0FF1"/>
    <w:rsid w:val="003C3031"/>
    <w:rsid w:val="003D1CC9"/>
    <w:rsid w:val="003D5B99"/>
    <w:rsid w:val="003E10D7"/>
    <w:rsid w:val="003F0B55"/>
    <w:rsid w:val="003F68A1"/>
    <w:rsid w:val="004015D1"/>
    <w:rsid w:val="00402535"/>
    <w:rsid w:val="004053DF"/>
    <w:rsid w:val="00423C37"/>
    <w:rsid w:val="0042515E"/>
    <w:rsid w:val="00431618"/>
    <w:rsid w:val="004318CC"/>
    <w:rsid w:val="00433A1A"/>
    <w:rsid w:val="00435E95"/>
    <w:rsid w:val="00451DCA"/>
    <w:rsid w:val="004571BB"/>
    <w:rsid w:val="00471125"/>
    <w:rsid w:val="0048382D"/>
    <w:rsid w:val="0048632A"/>
    <w:rsid w:val="0048759E"/>
    <w:rsid w:val="0049159A"/>
    <w:rsid w:val="00493206"/>
    <w:rsid w:val="004A1F33"/>
    <w:rsid w:val="004B0852"/>
    <w:rsid w:val="004B35C3"/>
    <w:rsid w:val="004B710A"/>
    <w:rsid w:val="004C1C2D"/>
    <w:rsid w:val="004C4D4F"/>
    <w:rsid w:val="004C4FD3"/>
    <w:rsid w:val="004D248F"/>
    <w:rsid w:val="004D2679"/>
    <w:rsid w:val="004D2E0D"/>
    <w:rsid w:val="004D6160"/>
    <w:rsid w:val="004D685E"/>
    <w:rsid w:val="004E0673"/>
    <w:rsid w:val="004E581E"/>
    <w:rsid w:val="004F07E2"/>
    <w:rsid w:val="004F650A"/>
    <w:rsid w:val="00500629"/>
    <w:rsid w:val="00503255"/>
    <w:rsid w:val="005136B0"/>
    <w:rsid w:val="00515F20"/>
    <w:rsid w:val="0052064A"/>
    <w:rsid w:val="0052203C"/>
    <w:rsid w:val="00524168"/>
    <w:rsid w:val="0052580F"/>
    <w:rsid w:val="00527AD6"/>
    <w:rsid w:val="00530A63"/>
    <w:rsid w:val="005400FB"/>
    <w:rsid w:val="00541AB2"/>
    <w:rsid w:val="005516C4"/>
    <w:rsid w:val="00554033"/>
    <w:rsid w:val="00554126"/>
    <w:rsid w:val="00554EB8"/>
    <w:rsid w:val="00556824"/>
    <w:rsid w:val="00556AFD"/>
    <w:rsid w:val="00560A4F"/>
    <w:rsid w:val="00567208"/>
    <w:rsid w:val="0057015D"/>
    <w:rsid w:val="005727A0"/>
    <w:rsid w:val="00573438"/>
    <w:rsid w:val="00574DF8"/>
    <w:rsid w:val="005763FC"/>
    <w:rsid w:val="00580BAC"/>
    <w:rsid w:val="00580CAF"/>
    <w:rsid w:val="00581AE3"/>
    <w:rsid w:val="00591E84"/>
    <w:rsid w:val="0059440B"/>
    <w:rsid w:val="00596F78"/>
    <w:rsid w:val="005A3300"/>
    <w:rsid w:val="005A62E0"/>
    <w:rsid w:val="005A6719"/>
    <w:rsid w:val="005B26FF"/>
    <w:rsid w:val="005B2D15"/>
    <w:rsid w:val="005B67B5"/>
    <w:rsid w:val="005C0126"/>
    <w:rsid w:val="005C26C9"/>
    <w:rsid w:val="005C60D2"/>
    <w:rsid w:val="005C629C"/>
    <w:rsid w:val="005E1034"/>
    <w:rsid w:val="005E2462"/>
    <w:rsid w:val="005F104E"/>
    <w:rsid w:val="005F3A92"/>
    <w:rsid w:val="005F3EA7"/>
    <w:rsid w:val="005F56E8"/>
    <w:rsid w:val="006030F2"/>
    <w:rsid w:val="00607D21"/>
    <w:rsid w:val="00610611"/>
    <w:rsid w:val="00611B62"/>
    <w:rsid w:val="006178E7"/>
    <w:rsid w:val="00617BB7"/>
    <w:rsid w:val="0062342D"/>
    <w:rsid w:val="006326A4"/>
    <w:rsid w:val="00634A43"/>
    <w:rsid w:val="00641095"/>
    <w:rsid w:val="00642426"/>
    <w:rsid w:val="006441E7"/>
    <w:rsid w:val="00644B3E"/>
    <w:rsid w:val="00650BFB"/>
    <w:rsid w:val="006531CD"/>
    <w:rsid w:val="00660545"/>
    <w:rsid w:val="00660F35"/>
    <w:rsid w:val="006635B0"/>
    <w:rsid w:val="00667085"/>
    <w:rsid w:val="006671C0"/>
    <w:rsid w:val="00667D9B"/>
    <w:rsid w:val="006960D7"/>
    <w:rsid w:val="006969F4"/>
    <w:rsid w:val="00696CFC"/>
    <w:rsid w:val="006A311C"/>
    <w:rsid w:val="006B212A"/>
    <w:rsid w:val="006B3EDB"/>
    <w:rsid w:val="006B735B"/>
    <w:rsid w:val="006B7C68"/>
    <w:rsid w:val="006C0A2C"/>
    <w:rsid w:val="006C0C13"/>
    <w:rsid w:val="006C4A3A"/>
    <w:rsid w:val="006D0B70"/>
    <w:rsid w:val="006D48F1"/>
    <w:rsid w:val="006E28F8"/>
    <w:rsid w:val="006E6934"/>
    <w:rsid w:val="006F311A"/>
    <w:rsid w:val="006F70F4"/>
    <w:rsid w:val="00700C25"/>
    <w:rsid w:val="007060C6"/>
    <w:rsid w:val="0070631D"/>
    <w:rsid w:val="00711DEC"/>
    <w:rsid w:val="0071331F"/>
    <w:rsid w:val="007203BB"/>
    <w:rsid w:val="00720F46"/>
    <w:rsid w:val="00721BE3"/>
    <w:rsid w:val="0072385F"/>
    <w:rsid w:val="00724565"/>
    <w:rsid w:val="00731F60"/>
    <w:rsid w:val="00732EAC"/>
    <w:rsid w:val="00735051"/>
    <w:rsid w:val="007360AA"/>
    <w:rsid w:val="00742DB2"/>
    <w:rsid w:val="00746360"/>
    <w:rsid w:val="00747E54"/>
    <w:rsid w:val="0075079C"/>
    <w:rsid w:val="00756F16"/>
    <w:rsid w:val="00760D27"/>
    <w:rsid w:val="00761C50"/>
    <w:rsid w:val="007635E2"/>
    <w:rsid w:val="00764877"/>
    <w:rsid w:val="007702C9"/>
    <w:rsid w:val="00771ED8"/>
    <w:rsid w:val="00773464"/>
    <w:rsid w:val="007737A7"/>
    <w:rsid w:val="00774EED"/>
    <w:rsid w:val="00776376"/>
    <w:rsid w:val="00781E8D"/>
    <w:rsid w:val="00782171"/>
    <w:rsid w:val="007866EF"/>
    <w:rsid w:val="00787E22"/>
    <w:rsid w:val="00793827"/>
    <w:rsid w:val="00794A38"/>
    <w:rsid w:val="00795BDC"/>
    <w:rsid w:val="00796127"/>
    <w:rsid w:val="007A2813"/>
    <w:rsid w:val="007A2B7F"/>
    <w:rsid w:val="007A4CC0"/>
    <w:rsid w:val="007B0F8E"/>
    <w:rsid w:val="007B2A4E"/>
    <w:rsid w:val="007B526F"/>
    <w:rsid w:val="007B6E8D"/>
    <w:rsid w:val="007C5CE4"/>
    <w:rsid w:val="007C7684"/>
    <w:rsid w:val="007D4177"/>
    <w:rsid w:val="007D4DCC"/>
    <w:rsid w:val="007D7DFA"/>
    <w:rsid w:val="007E0360"/>
    <w:rsid w:val="007E0BA7"/>
    <w:rsid w:val="007E5A13"/>
    <w:rsid w:val="00806FC9"/>
    <w:rsid w:val="00811E38"/>
    <w:rsid w:val="008121F3"/>
    <w:rsid w:val="00814933"/>
    <w:rsid w:val="00816E62"/>
    <w:rsid w:val="00823E2D"/>
    <w:rsid w:val="00825EE8"/>
    <w:rsid w:val="008306EB"/>
    <w:rsid w:val="00831B2E"/>
    <w:rsid w:val="0083305B"/>
    <w:rsid w:val="00835778"/>
    <w:rsid w:val="00840983"/>
    <w:rsid w:val="008452ED"/>
    <w:rsid w:val="00851DD0"/>
    <w:rsid w:val="00863A35"/>
    <w:rsid w:val="00873710"/>
    <w:rsid w:val="00873C62"/>
    <w:rsid w:val="00877B9D"/>
    <w:rsid w:val="008841B8"/>
    <w:rsid w:val="00885653"/>
    <w:rsid w:val="00895C0E"/>
    <w:rsid w:val="00896AA0"/>
    <w:rsid w:val="008A2126"/>
    <w:rsid w:val="008C1CA5"/>
    <w:rsid w:val="008C1E07"/>
    <w:rsid w:val="008C27E8"/>
    <w:rsid w:val="008C2A81"/>
    <w:rsid w:val="008C65A3"/>
    <w:rsid w:val="008D3283"/>
    <w:rsid w:val="008D4650"/>
    <w:rsid w:val="008D4EF6"/>
    <w:rsid w:val="008F14F0"/>
    <w:rsid w:val="008F50EF"/>
    <w:rsid w:val="008F53D6"/>
    <w:rsid w:val="008F5452"/>
    <w:rsid w:val="008F66DA"/>
    <w:rsid w:val="008F6D71"/>
    <w:rsid w:val="00902CA6"/>
    <w:rsid w:val="00904A69"/>
    <w:rsid w:val="0090762B"/>
    <w:rsid w:val="0091315C"/>
    <w:rsid w:val="009139B4"/>
    <w:rsid w:val="00914442"/>
    <w:rsid w:val="00917B6C"/>
    <w:rsid w:val="009205A3"/>
    <w:rsid w:val="009207AD"/>
    <w:rsid w:val="009213A7"/>
    <w:rsid w:val="009307D5"/>
    <w:rsid w:val="00934F40"/>
    <w:rsid w:val="00935403"/>
    <w:rsid w:val="00942592"/>
    <w:rsid w:val="0094768C"/>
    <w:rsid w:val="00950C1F"/>
    <w:rsid w:val="009547C4"/>
    <w:rsid w:val="009629DB"/>
    <w:rsid w:val="0096400C"/>
    <w:rsid w:val="009671FD"/>
    <w:rsid w:val="00972538"/>
    <w:rsid w:val="00973467"/>
    <w:rsid w:val="00980260"/>
    <w:rsid w:val="00980ECE"/>
    <w:rsid w:val="00987FC2"/>
    <w:rsid w:val="00991DC1"/>
    <w:rsid w:val="00992FA5"/>
    <w:rsid w:val="009A1E68"/>
    <w:rsid w:val="009C2C2F"/>
    <w:rsid w:val="009C598D"/>
    <w:rsid w:val="009E5C97"/>
    <w:rsid w:val="009F0094"/>
    <w:rsid w:val="009F13BC"/>
    <w:rsid w:val="00A06AFA"/>
    <w:rsid w:val="00A0721A"/>
    <w:rsid w:val="00A1006C"/>
    <w:rsid w:val="00A14870"/>
    <w:rsid w:val="00A16DCD"/>
    <w:rsid w:val="00A22E1F"/>
    <w:rsid w:val="00A379C9"/>
    <w:rsid w:val="00A604BB"/>
    <w:rsid w:val="00A64B12"/>
    <w:rsid w:val="00A66A45"/>
    <w:rsid w:val="00A70DAC"/>
    <w:rsid w:val="00A8798A"/>
    <w:rsid w:val="00A87ABB"/>
    <w:rsid w:val="00A9103A"/>
    <w:rsid w:val="00A9205B"/>
    <w:rsid w:val="00A93422"/>
    <w:rsid w:val="00AB518C"/>
    <w:rsid w:val="00AD4CD7"/>
    <w:rsid w:val="00AD6772"/>
    <w:rsid w:val="00AD7A2F"/>
    <w:rsid w:val="00AE27A2"/>
    <w:rsid w:val="00AF180C"/>
    <w:rsid w:val="00B00B23"/>
    <w:rsid w:val="00B00E54"/>
    <w:rsid w:val="00B0237A"/>
    <w:rsid w:val="00B04D2F"/>
    <w:rsid w:val="00B04D9E"/>
    <w:rsid w:val="00B10859"/>
    <w:rsid w:val="00B118E9"/>
    <w:rsid w:val="00B15CDC"/>
    <w:rsid w:val="00B240AE"/>
    <w:rsid w:val="00B24198"/>
    <w:rsid w:val="00B34634"/>
    <w:rsid w:val="00B36A9E"/>
    <w:rsid w:val="00B44EF2"/>
    <w:rsid w:val="00B60C60"/>
    <w:rsid w:val="00B6142A"/>
    <w:rsid w:val="00B63448"/>
    <w:rsid w:val="00B640ED"/>
    <w:rsid w:val="00B658EB"/>
    <w:rsid w:val="00B70C8B"/>
    <w:rsid w:val="00B72DCB"/>
    <w:rsid w:val="00B73C09"/>
    <w:rsid w:val="00B7445E"/>
    <w:rsid w:val="00B74B3A"/>
    <w:rsid w:val="00B75334"/>
    <w:rsid w:val="00B75B4B"/>
    <w:rsid w:val="00B80C67"/>
    <w:rsid w:val="00B84C92"/>
    <w:rsid w:val="00B930C6"/>
    <w:rsid w:val="00B963E1"/>
    <w:rsid w:val="00BA08ED"/>
    <w:rsid w:val="00BA540B"/>
    <w:rsid w:val="00BA5A4F"/>
    <w:rsid w:val="00BA6166"/>
    <w:rsid w:val="00BB2F83"/>
    <w:rsid w:val="00BB3B1C"/>
    <w:rsid w:val="00BB72CC"/>
    <w:rsid w:val="00BB78C7"/>
    <w:rsid w:val="00BB7A97"/>
    <w:rsid w:val="00BC2054"/>
    <w:rsid w:val="00BC4AEF"/>
    <w:rsid w:val="00BD6140"/>
    <w:rsid w:val="00BE3DCC"/>
    <w:rsid w:val="00BE5705"/>
    <w:rsid w:val="00BE7105"/>
    <w:rsid w:val="00BF02D5"/>
    <w:rsid w:val="00BF42BA"/>
    <w:rsid w:val="00BF5CBF"/>
    <w:rsid w:val="00C0048A"/>
    <w:rsid w:val="00C0050F"/>
    <w:rsid w:val="00C00905"/>
    <w:rsid w:val="00C05010"/>
    <w:rsid w:val="00C07D03"/>
    <w:rsid w:val="00C10FC6"/>
    <w:rsid w:val="00C1380A"/>
    <w:rsid w:val="00C174F6"/>
    <w:rsid w:val="00C257D7"/>
    <w:rsid w:val="00C2696D"/>
    <w:rsid w:val="00C27B4A"/>
    <w:rsid w:val="00C27BA4"/>
    <w:rsid w:val="00C27C2F"/>
    <w:rsid w:val="00C416C1"/>
    <w:rsid w:val="00C53E36"/>
    <w:rsid w:val="00C60206"/>
    <w:rsid w:val="00C60914"/>
    <w:rsid w:val="00C657D2"/>
    <w:rsid w:val="00C6771F"/>
    <w:rsid w:val="00C72CB5"/>
    <w:rsid w:val="00C740AF"/>
    <w:rsid w:val="00C76E70"/>
    <w:rsid w:val="00C869E5"/>
    <w:rsid w:val="00CA1422"/>
    <w:rsid w:val="00CA578C"/>
    <w:rsid w:val="00CB26C6"/>
    <w:rsid w:val="00CB49CE"/>
    <w:rsid w:val="00CB51AE"/>
    <w:rsid w:val="00CB6156"/>
    <w:rsid w:val="00CC3547"/>
    <w:rsid w:val="00CC3E36"/>
    <w:rsid w:val="00CE170B"/>
    <w:rsid w:val="00CE2EBD"/>
    <w:rsid w:val="00CF1FE3"/>
    <w:rsid w:val="00CF29FB"/>
    <w:rsid w:val="00CF61E1"/>
    <w:rsid w:val="00CF63F9"/>
    <w:rsid w:val="00D00BDB"/>
    <w:rsid w:val="00D067D4"/>
    <w:rsid w:val="00D0756C"/>
    <w:rsid w:val="00D0764F"/>
    <w:rsid w:val="00D12819"/>
    <w:rsid w:val="00D13164"/>
    <w:rsid w:val="00D17805"/>
    <w:rsid w:val="00D21AC9"/>
    <w:rsid w:val="00D34B07"/>
    <w:rsid w:val="00D35861"/>
    <w:rsid w:val="00D42D08"/>
    <w:rsid w:val="00D478A5"/>
    <w:rsid w:val="00D50130"/>
    <w:rsid w:val="00D60AB7"/>
    <w:rsid w:val="00D60FA1"/>
    <w:rsid w:val="00D611D6"/>
    <w:rsid w:val="00D63C5D"/>
    <w:rsid w:val="00D64E85"/>
    <w:rsid w:val="00D65C3E"/>
    <w:rsid w:val="00D66AFC"/>
    <w:rsid w:val="00D743D3"/>
    <w:rsid w:val="00D83A6D"/>
    <w:rsid w:val="00D86CFB"/>
    <w:rsid w:val="00D911D8"/>
    <w:rsid w:val="00D93BD8"/>
    <w:rsid w:val="00D951C1"/>
    <w:rsid w:val="00DA2B0A"/>
    <w:rsid w:val="00DA3006"/>
    <w:rsid w:val="00DA4F4E"/>
    <w:rsid w:val="00DB187F"/>
    <w:rsid w:val="00DB384B"/>
    <w:rsid w:val="00DB7E0E"/>
    <w:rsid w:val="00DC20E2"/>
    <w:rsid w:val="00DC2D07"/>
    <w:rsid w:val="00DC725A"/>
    <w:rsid w:val="00DC7B77"/>
    <w:rsid w:val="00DC7C04"/>
    <w:rsid w:val="00DD17F3"/>
    <w:rsid w:val="00DD2D37"/>
    <w:rsid w:val="00DD3AF7"/>
    <w:rsid w:val="00DD791B"/>
    <w:rsid w:val="00DD79CD"/>
    <w:rsid w:val="00DE22F6"/>
    <w:rsid w:val="00DE51C3"/>
    <w:rsid w:val="00DE56E0"/>
    <w:rsid w:val="00E04C22"/>
    <w:rsid w:val="00E04EBA"/>
    <w:rsid w:val="00E05A8A"/>
    <w:rsid w:val="00E10208"/>
    <w:rsid w:val="00E10278"/>
    <w:rsid w:val="00E11212"/>
    <w:rsid w:val="00E12BFF"/>
    <w:rsid w:val="00E12C4A"/>
    <w:rsid w:val="00E130F6"/>
    <w:rsid w:val="00E13343"/>
    <w:rsid w:val="00E13C0D"/>
    <w:rsid w:val="00E14746"/>
    <w:rsid w:val="00E153C9"/>
    <w:rsid w:val="00E176D0"/>
    <w:rsid w:val="00E1774C"/>
    <w:rsid w:val="00E178C7"/>
    <w:rsid w:val="00E2512D"/>
    <w:rsid w:val="00E25740"/>
    <w:rsid w:val="00E25E02"/>
    <w:rsid w:val="00E30A05"/>
    <w:rsid w:val="00E415A3"/>
    <w:rsid w:val="00E47A40"/>
    <w:rsid w:val="00E50DD5"/>
    <w:rsid w:val="00E5257B"/>
    <w:rsid w:val="00E6379F"/>
    <w:rsid w:val="00E67575"/>
    <w:rsid w:val="00E7121A"/>
    <w:rsid w:val="00E72E53"/>
    <w:rsid w:val="00E72EBC"/>
    <w:rsid w:val="00E766F2"/>
    <w:rsid w:val="00E767DA"/>
    <w:rsid w:val="00E81596"/>
    <w:rsid w:val="00E82021"/>
    <w:rsid w:val="00E83AE5"/>
    <w:rsid w:val="00E86256"/>
    <w:rsid w:val="00E90E63"/>
    <w:rsid w:val="00E93B8B"/>
    <w:rsid w:val="00E93D9C"/>
    <w:rsid w:val="00E9605E"/>
    <w:rsid w:val="00EA0B68"/>
    <w:rsid w:val="00EA6C15"/>
    <w:rsid w:val="00EB19AD"/>
    <w:rsid w:val="00EB75DF"/>
    <w:rsid w:val="00EC066A"/>
    <w:rsid w:val="00ED2757"/>
    <w:rsid w:val="00ED51DB"/>
    <w:rsid w:val="00EE5593"/>
    <w:rsid w:val="00EF314B"/>
    <w:rsid w:val="00EF7F5F"/>
    <w:rsid w:val="00F16F88"/>
    <w:rsid w:val="00F1764C"/>
    <w:rsid w:val="00F2205D"/>
    <w:rsid w:val="00F25A72"/>
    <w:rsid w:val="00F25E8C"/>
    <w:rsid w:val="00F2620B"/>
    <w:rsid w:val="00F26710"/>
    <w:rsid w:val="00F31FA8"/>
    <w:rsid w:val="00F330F1"/>
    <w:rsid w:val="00F3369D"/>
    <w:rsid w:val="00F404C7"/>
    <w:rsid w:val="00F432B0"/>
    <w:rsid w:val="00F45988"/>
    <w:rsid w:val="00F461C1"/>
    <w:rsid w:val="00F466DC"/>
    <w:rsid w:val="00F46738"/>
    <w:rsid w:val="00F47E85"/>
    <w:rsid w:val="00F555D4"/>
    <w:rsid w:val="00F563F0"/>
    <w:rsid w:val="00F76BAA"/>
    <w:rsid w:val="00F76DD5"/>
    <w:rsid w:val="00F807D7"/>
    <w:rsid w:val="00F832D5"/>
    <w:rsid w:val="00F84784"/>
    <w:rsid w:val="00F9054A"/>
    <w:rsid w:val="00F95D26"/>
    <w:rsid w:val="00FA00CF"/>
    <w:rsid w:val="00FA0741"/>
    <w:rsid w:val="00FA1662"/>
    <w:rsid w:val="00FA1B9B"/>
    <w:rsid w:val="00FA2C69"/>
    <w:rsid w:val="00FA3BC7"/>
    <w:rsid w:val="00FA6791"/>
    <w:rsid w:val="00FB40D6"/>
    <w:rsid w:val="00FB773E"/>
    <w:rsid w:val="00FC0082"/>
    <w:rsid w:val="00FC5025"/>
    <w:rsid w:val="00FD06E7"/>
    <w:rsid w:val="00FD0E8A"/>
    <w:rsid w:val="00FD2219"/>
    <w:rsid w:val="00FE14B7"/>
    <w:rsid w:val="00FE2DA6"/>
    <w:rsid w:val="00FE3477"/>
    <w:rsid w:val="00FE44C0"/>
    <w:rsid w:val="00FF0559"/>
    <w:rsid w:val="00FF081A"/>
    <w:rsid w:val="00FF1140"/>
    <w:rsid w:val="00FF1FF0"/>
    <w:rsid w:val="00FF3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11F49E"/>
  <w15:docId w15:val="{42A18528-0A9C-417F-93B7-31EFDFBE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ind w:left="0" w:right="360" w:firstLine="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ascii="Arial" w:hAnsi="Arial" w:cs="Arial" w:hint="default"/>
      <w:b/>
      <w:sz w:val="22"/>
      <w:szCs w:val="22"/>
    </w:rPr>
  </w:style>
  <w:style w:type="character" w:customStyle="1" w:styleId="WW8Num9z0">
    <w:name w:val="WW8Num9z0"/>
    <w:rPr>
      <w:rFonts w:ascii="Symbol" w:hAnsi="Symbol" w:cs="Symbol" w:hint="default"/>
      <w:sz w:val="22"/>
      <w:szCs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rPr>
  </w:style>
  <w:style w:type="character" w:customStyle="1" w:styleId="WW8Num11z1">
    <w:name w:val="WW8Num11z1"/>
    <w:rPr>
      <w:rFonts w:hint="default"/>
      <w:b w:val="0"/>
      <w:i w:val="0"/>
    </w:rPr>
  </w:style>
  <w:style w:type="character" w:customStyle="1" w:styleId="WW8Num11z2">
    <w:name w:val="WW8Num11z2"/>
    <w:rPr>
      <w:rFonts w:hint="default"/>
      <w:b/>
    </w:rPr>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b w:val="0"/>
    </w:rPr>
  </w:style>
  <w:style w:type="character" w:customStyle="1" w:styleId="WW8Num16z1">
    <w:name w:val="WW8Num16z1"/>
    <w:rPr>
      <w:rFonts w:hint="default"/>
      <w:b w:val="0"/>
      <w:i w:val="0"/>
      <w:sz w:val="22"/>
      <w:szCs w:val="22"/>
    </w:rPr>
  </w:style>
  <w:style w:type="character" w:customStyle="1" w:styleId="WW8Num16z3">
    <w:name w:val="WW8Num16z3"/>
    <w:rPr>
      <w:rFonts w:hint="default"/>
    </w:rPr>
  </w:style>
  <w:style w:type="character" w:customStyle="1" w:styleId="WW8Num17z0">
    <w:name w:val="WW8Num17z0"/>
    <w:rPr>
      <w:rFonts w:hint="default"/>
    </w:rPr>
  </w:style>
  <w:style w:type="character" w:customStyle="1" w:styleId="WW8Num17z1">
    <w:name w:val="WW8Num17z1"/>
    <w:rPr>
      <w:rFonts w:hint="default"/>
      <w:b w:val="0"/>
      <w:i w:val="0"/>
      <w:sz w:val="22"/>
      <w:szCs w:val="22"/>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val="0"/>
      <w:i w:val="0"/>
      <w:color w:val="000000"/>
    </w:rPr>
  </w:style>
  <w:style w:type="character" w:customStyle="1" w:styleId="WW8Num19z1">
    <w:name w:val="WW8Num19z1"/>
    <w:rPr>
      <w:rFonts w:hint="default"/>
      <w:b w:val="0"/>
      <w:i w:val="0"/>
      <w:sz w:val="22"/>
      <w:szCs w:val="22"/>
    </w:rPr>
  </w:style>
  <w:style w:type="character" w:customStyle="1" w:styleId="WW8Num19z2">
    <w:name w:val="WW8Num19z2"/>
    <w:rPr>
      <w:rFonts w:hint="default"/>
      <w:b w:val="0"/>
      <w:sz w:val="22"/>
      <w:szCs w:val="22"/>
    </w:rPr>
  </w:style>
  <w:style w:type="character" w:customStyle="1" w:styleId="WW8Num19z3">
    <w:name w:val="WW8Num19z3"/>
    <w:rPr>
      <w:rFonts w:hint="default"/>
      <w:b/>
      <w:i w:val="0"/>
    </w:rPr>
  </w:style>
  <w:style w:type="character" w:customStyle="1" w:styleId="WW8Num19z5">
    <w:name w:val="WW8Num19z5"/>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color w:val="FF0000"/>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hint="default"/>
      <w:sz w:val="22"/>
      <w:szCs w:val="22"/>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MS Mincho" w:hAnsi="Arial" w:cs="Arial"/>
      <w:b/>
      <w:i w:val="0"/>
      <w:sz w:val="22"/>
      <w:szCs w:val="22"/>
    </w:rPr>
  </w:style>
  <w:style w:type="character" w:customStyle="1" w:styleId="WW8Num26z1">
    <w:name w:val="WW8Num26z1"/>
    <w:rPr>
      <w:rFonts w:hint="default"/>
      <w:b w:val="0"/>
      <w:i w:val="0"/>
      <w:color w:val="auto"/>
      <w:sz w:val="22"/>
      <w:szCs w:val="22"/>
    </w:rPr>
  </w:style>
  <w:style w:type="character" w:customStyle="1" w:styleId="WW8Num26z2">
    <w:name w:val="WW8Num26z2"/>
    <w:rPr>
      <w:rFonts w:hint="default"/>
      <w:b w:val="0"/>
      <w:sz w:val="22"/>
      <w:szCs w:val="22"/>
    </w:rPr>
  </w:style>
  <w:style w:type="character" w:customStyle="1" w:styleId="WW8Num26z3">
    <w:name w:val="WW8Num26z3"/>
    <w:rPr>
      <w:rFonts w:hint="default"/>
      <w:b w:val="0"/>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hint="default"/>
      <w:b w:val="0"/>
    </w:rPr>
  </w:style>
  <w:style w:type="character" w:customStyle="1" w:styleId="WW8Num29z0">
    <w:name w:val="WW8Num29z0"/>
    <w:rPr>
      <w:rFonts w:hint="default"/>
    </w:rPr>
  </w:style>
  <w:style w:type="character" w:customStyle="1" w:styleId="WW8Num30z0">
    <w:name w:val="WW8Num30z0"/>
    <w:rPr>
      <w:rFonts w:ascii="Arial" w:hAnsi="Arial" w:cs="Arial" w:hint="default"/>
      <w:sz w:val="22"/>
      <w:szCs w:val="22"/>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val="0"/>
    </w:rPr>
  </w:style>
  <w:style w:type="character" w:customStyle="1" w:styleId="WW8Num32z1">
    <w:name w:val="WW8Num32z1"/>
    <w:rPr>
      <w:rFonts w:hint="default"/>
      <w:b w:val="0"/>
      <w:i w:val="0"/>
    </w:rPr>
  </w:style>
  <w:style w:type="character" w:customStyle="1" w:styleId="WW8Num32z2">
    <w:name w:val="WW8Num32z2"/>
    <w:rPr>
      <w:rFonts w:hint="default"/>
      <w:b/>
    </w:rPr>
  </w:style>
  <w:style w:type="character" w:customStyle="1" w:styleId="WW8Num33z0">
    <w:name w:val="WW8Num33z0"/>
    <w:rPr>
      <w:rFonts w:ascii="Arial" w:hAnsi="Arial" w:cs="Arial"/>
      <w:sz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5z1">
    <w:name w:val="WW8Num35z1"/>
    <w:rPr>
      <w:rFonts w:ascii="Arial" w:hAnsi="Arial" w:cs="Arial" w:hint="default"/>
      <w:b w:val="0"/>
      <w:i w:val="0"/>
      <w:color w:val="auto"/>
      <w:sz w:val="22"/>
      <w:szCs w:val="22"/>
    </w:rPr>
  </w:style>
  <w:style w:type="character" w:customStyle="1" w:styleId="WW8Num36z0">
    <w:name w:val="WW8Num36z0"/>
    <w:rPr>
      <w:rFonts w:ascii="Symbol" w:hAnsi="Symbol" w:cs="Symbol" w:hint="default"/>
      <w:sz w:val="22"/>
      <w:szCs w:val="22"/>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b w:val="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Arial" w:hAnsi="Arial" w:cs="Arial" w:hint="default"/>
      <w:sz w:val="22"/>
      <w:szCs w:val="22"/>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s="Arial" w:hint="default"/>
      <w:b w:val="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hint="default"/>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eastAsia="MS Mincho" w:cs="Times New Roman" w:hint="default"/>
    </w:rPr>
  </w:style>
  <w:style w:type="character" w:customStyle="1" w:styleId="WW8Num56z0">
    <w:name w:val="WW8Num56z0"/>
    <w:rPr>
      <w:rFonts w:ascii="Arial" w:hAnsi="Arial" w:cs="Arial" w:hint="default"/>
      <w:b w:val="0"/>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BodyTextIndentChar">
    <w:name w:val="Body Text Indent Char"/>
    <w:rPr>
      <w:rFonts w:eastAsia="Calibri"/>
      <w:sz w:val="24"/>
      <w:szCs w:val="24"/>
      <w:lang w:val="en-US" w:eastAsia="ar-SA" w:bidi="ar-SA"/>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basedOn w:val="DefaultParagraphFont"/>
  </w:style>
  <w:style w:type="character" w:customStyle="1" w:styleId="CommentSubjectChar">
    <w:name w:val="Comment Subject Char"/>
    <w:rPr>
      <w:b/>
      <w:bCs/>
    </w:rPr>
  </w:style>
  <w:style w:type="character" w:styleId="PageNumber">
    <w:name w:val="page number"/>
    <w:basedOn w:val="DefaultParagraphFont"/>
  </w:style>
  <w:style w:type="character" w:customStyle="1" w:styleId="BodyTextChar">
    <w:name w:val="Body Text Char"/>
    <w:rPr>
      <w:sz w:val="24"/>
      <w:szCs w:val="24"/>
      <w:lang w:val="en-U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rPr>
      <w:rFonts w:eastAsia="Calibri"/>
    </w:rPr>
  </w:style>
  <w:style w:type="paragraph" w:styleId="ListParagraph">
    <w:name w:val="List Paragraph"/>
    <w:aliases w:val="Resume Title"/>
    <w:basedOn w:val="Normal"/>
    <w:link w:val="ListParagraphChar"/>
    <w:uiPriority w:val="34"/>
    <w:qFormat/>
    <w:pPr>
      <w:ind w:left="720"/>
    </w:pPr>
    <w:rPr>
      <w:rFonts w:eastAsia="Calibri"/>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Strong">
    <w:name w:val="Strong"/>
    <w:uiPriority w:val="22"/>
    <w:qFormat/>
    <w:rsid w:val="004318CC"/>
    <w:rPr>
      <w:b/>
      <w:bCs/>
    </w:rPr>
  </w:style>
  <w:style w:type="table" w:styleId="TableGrid">
    <w:name w:val="Table Grid"/>
    <w:basedOn w:val="TableNormal"/>
    <w:uiPriority w:val="59"/>
    <w:rsid w:val="006B2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6772"/>
    <w:pPr>
      <w:suppressAutoHyphens/>
    </w:pPr>
    <w:rPr>
      <w:sz w:val="24"/>
      <w:szCs w:val="24"/>
      <w:lang w:eastAsia="ar-SA"/>
    </w:rPr>
  </w:style>
  <w:style w:type="character" w:customStyle="1" w:styleId="ListParagraphChar">
    <w:name w:val="List Paragraph Char"/>
    <w:aliases w:val="Resume Title Char"/>
    <w:link w:val="ListParagraph"/>
    <w:uiPriority w:val="34"/>
    <w:rsid w:val="003617D6"/>
    <w:rPr>
      <w:rFonts w:eastAsia="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40336">
      <w:bodyDiv w:val="1"/>
      <w:marLeft w:val="0"/>
      <w:marRight w:val="0"/>
      <w:marTop w:val="0"/>
      <w:marBottom w:val="0"/>
      <w:divBdr>
        <w:top w:val="none" w:sz="0" w:space="0" w:color="auto"/>
        <w:left w:val="none" w:sz="0" w:space="0" w:color="auto"/>
        <w:bottom w:val="none" w:sz="0" w:space="0" w:color="auto"/>
        <w:right w:val="none" w:sz="0" w:space="0" w:color="auto"/>
      </w:divBdr>
    </w:div>
    <w:div w:id="1151486706">
      <w:bodyDiv w:val="1"/>
      <w:marLeft w:val="0"/>
      <w:marRight w:val="0"/>
      <w:marTop w:val="0"/>
      <w:marBottom w:val="0"/>
      <w:divBdr>
        <w:top w:val="none" w:sz="0" w:space="0" w:color="auto"/>
        <w:left w:val="none" w:sz="0" w:space="0" w:color="auto"/>
        <w:bottom w:val="none" w:sz="0" w:space="0" w:color="auto"/>
        <w:right w:val="none" w:sz="0" w:space="0" w:color="auto"/>
      </w:divBdr>
    </w:div>
    <w:div w:id="1898974277">
      <w:bodyDiv w:val="1"/>
      <w:marLeft w:val="0"/>
      <w:marRight w:val="0"/>
      <w:marTop w:val="0"/>
      <w:marBottom w:val="0"/>
      <w:divBdr>
        <w:top w:val="none" w:sz="0" w:space="0" w:color="auto"/>
        <w:left w:val="none" w:sz="0" w:space="0" w:color="auto"/>
        <w:bottom w:val="none" w:sz="0" w:space="0" w:color="auto"/>
        <w:right w:val="none" w:sz="0" w:space="0" w:color="auto"/>
      </w:divBdr>
    </w:div>
    <w:div w:id="20668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2EBBB-7344-41D1-AB8E-E6FA266D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Executive Summary</vt:lpstr>
    </vt:vector>
  </TitlesOfParts>
  <Company>Hewlett-Packard Company</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COA-AFP Retirement and Separation Benefits System</dc:creator>
  <cp:keywords>CGS-Cluster 2</cp:keywords>
  <cp:lastModifiedBy>GSIS</cp:lastModifiedBy>
  <cp:revision>52</cp:revision>
  <cp:lastPrinted>2020-08-20T01:56:00Z</cp:lastPrinted>
  <dcterms:created xsi:type="dcterms:W3CDTF">2020-07-13T07:35:00Z</dcterms:created>
  <dcterms:modified xsi:type="dcterms:W3CDTF">2020-08-20T08:16:00Z</dcterms:modified>
  <cp:category>Annual Audit Report</cp:category>
</cp:coreProperties>
</file>