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0D96A" w14:textId="25D55616" w:rsidR="00A72CC8" w:rsidRPr="00345AA4" w:rsidRDefault="009B5E7B" w:rsidP="00A72CC8">
      <w:pPr>
        <w:pStyle w:val="NoSpacing"/>
        <w:rPr>
          <w:rFonts w:ascii="Arial" w:hAnsi="Arial" w:cs="Arial"/>
          <w:b/>
          <w:color w:val="000000" w:themeColor="text1"/>
        </w:rPr>
      </w:pPr>
      <w:r>
        <w:rPr>
          <w:rFonts w:ascii="Arial" w:hAnsi="Arial" w:cs="Arial"/>
          <w:b/>
          <w:color w:val="000000" w:themeColor="text1"/>
        </w:rPr>
        <w:t xml:space="preserve">AUDIT </w:t>
      </w:r>
      <w:r w:rsidR="00A72CC8" w:rsidRPr="00345AA4">
        <w:rPr>
          <w:rFonts w:ascii="Arial" w:hAnsi="Arial" w:cs="Arial"/>
          <w:b/>
          <w:color w:val="000000" w:themeColor="text1"/>
        </w:rPr>
        <w:t>OBSERVATIONS AND RECOMMENDATIONS</w:t>
      </w:r>
    </w:p>
    <w:p w14:paraId="0F4173FA" w14:textId="77777777" w:rsidR="00A72CC8" w:rsidRPr="00345AA4" w:rsidRDefault="00A72CC8" w:rsidP="00A72CC8">
      <w:pPr>
        <w:spacing w:after="0" w:line="240" w:lineRule="auto"/>
        <w:jc w:val="center"/>
        <w:rPr>
          <w:rFonts w:ascii="Arial" w:hAnsi="Arial" w:cs="Arial"/>
          <w:b/>
          <w:bCs/>
          <w:color w:val="000000" w:themeColor="text1"/>
        </w:rPr>
      </w:pPr>
    </w:p>
    <w:p w14:paraId="5D0B07B3" w14:textId="77777777" w:rsidR="00A72CC8" w:rsidRPr="00345AA4" w:rsidRDefault="00A72CC8" w:rsidP="00A72CC8">
      <w:pPr>
        <w:spacing w:after="0" w:line="240" w:lineRule="auto"/>
        <w:jc w:val="center"/>
        <w:rPr>
          <w:rFonts w:ascii="Arial" w:hAnsi="Arial" w:cs="Arial"/>
          <w:b/>
          <w:bCs/>
          <w:color w:val="000000" w:themeColor="text1"/>
        </w:rPr>
      </w:pPr>
    </w:p>
    <w:p w14:paraId="0B333B9E" w14:textId="77777777" w:rsidR="00A72CC8" w:rsidRPr="00345AA4" w:rsidRDefault="00A72CC8" w:rsidP="006B52EE">
      <w:pPr>
        <w:pStyle w:val="ListParagraph"/>
        <w:numPr>
          <w:ilvl w:val="0"/>
          <w:numId w:val="2"/>
        </w:numPr>
        <w:ind w:left="450" w:hanging="450"/>
        <w:rPr>
          <w:rFonts w:ascii="Arial" w:hAnsi="Arial" w:cs="Arial"/>
          <w:b/>
          <w:bCs/>
          <w:color w:val="000000" w:themeColor="text1"/>
          <w:sz w:val="22"/>
          <w:szCs w:val="22"/>
        </w:rPr>
      </w:pPr>
      <w:r w:rsidRPr="00345AA4">
        <w:rPr>
          <w:rFonts w:ascii="Arial" w:hAnsi="Arial" w:cs="Arial"/>
          <w:b/>
          <w:bCs/>
          <w:color w:val="000000" w:themeColor="text1"/>
          <w:sz w:val="22"/>
          <w:szCs w:val="22"/>
        </w:rPr>
        <w:t>Financial Audit</w:t>
      </w:r>
    </w:p>
    <w:p w14:paraId="4782CADB" w14:textId="77777777" w:rsidR="00A72CC8" w:rsidRPr="00345AA4" w:rsidRDefault="00A72CC8" w:rsidP="00A72CC8">
      <w:pPr>
        <w:pStyle w:val="ListParagraph"/>
        <w:rPr>
          <w:rFonts w:ascii="Arial" w:hAnsi="Arial" w:cs="Arial"/>
          <w:b/>
          <w:bCs/>
          <w:color w:val="000000" w:themeColor="text1"/>
          <w:sz w:val="22"/>
          <w:szCs w:val="22"/>
        </w:rPr>
      </w:pPr>
    </w:p>
    <w:p w14:paraId="2AB46D13" w14:textId="7E9EE50B" w:rsidR="00A72CC8" w:rsidRPr="00345AA4" w:rsidRDefault="00A72CC8" w:rsidP="001C4C9A">
      <w:pPr>
        <w:pStyle w:val="ListParagraph"/>
        <w:numPr>
          <w:ilvl w:val="0"/>
          <w:numId w:val="1"/>
        </w:numPr>
        <w:ind w:left="426" w:hanging="426"/>
        <w:jc w:val="both"/>
        <w:rPr>
          <w:rFonts w:ascii="Arial" w:hAnsi="Arial" w:cs="Arial"/>
          <w:b/>
          <w:color w:val="000000" w:themeColor="text1"/>
        </w:rPr>
      </w:pPr>
      <w:r w:rsidRPr="00345AA4">
        <w:rPr>
          <w:rFonts w:ascii="Arial" w:hAnsi="Arial" w:cs="Arial"/>
          <w:b/>
          <w:color w:val="000000" w:themeColor="text1"/>
          <w:sz w:val="22"/>
          <w:szCs w:val="22"/>
        </w:rPr>
        <w:t>Seven</w:t>
      </w:r>
      <w:r w:rsidR="00352E95" w:rsidRPr="00345AA4">
        <w:rPr>
          <w:rFonts w:ascii="Arial" w:hAnsi="Arial" w:cs="Arial"/>
          <w:b/>
          <w:color w:val="000000" w:themeColor="text1"/>
          <w:sz w:val="22"/>
          <w:szCs w:val="22"/>
        </w:rPr>
        <w:t xml:space="preserve">ty-one </w:t>
      </w:r>
      <w:r w:rsidR="00770325" w:rsidRPr="00345AA4">
        <w:rPr>
          <w:rFonts w:ascii="Arial" w:hAnsi="Arial" w:cs="Arial"/>
          <w:b/>
          <w:color w:val="000000" w:themeColor="text1"/>
          <w:sz w:val="22"/>
          <w:szCs w:val="22"/>
        </w:rPr>
        <w:t xml:space="preserve">General Ledger (GL) </w:t>
      </w:r>
      <w:r w:rsidR="00352E95" w:rsidRPr="00345AA4">
        <w:rPr>
          <w:rFonts w:ascii="Arial" w:hAnsi="Arial" w:cs="Arial"/>
          <w:b/>
          <w:color w:val="000000" w:themeColor="text1"/>
          <w:sz w:val="22"/>
          <w:szCs w:val="22"/>
        </w:rPr>
        <w:t>accounts amounting to</w:t>
      </w:r>
      <w:r w:rsidRPr="00345AA4">
        <w:rPr>
          <w:rFonts w:ascii="Arial" w:hAnsi="Arial" w:cs="Arial"/>
          <w:b/>
          <w:color w:val="000000" w:themeColor="text1"/>
          <w:sz w:val="22"/>
          <w:szCs w:val="22"/>
        </w:rPr>
        <w:t xml:space="preserve"> P9.</w:t>
      </w:r>
      <w:r w:rsidR="006D5758" w:rsidRPr="00345AA4">
        <w:rPr>
          <w:rFonts w:ascii="Arial" w:hAnsi="Arial" w:cs="Arial"/>
          <w:b/>
          <w:color w:val="000000" w:themeColor="text1"/>
          <w:sz w:val="22"/>
          <w:szCs w:val="22"/>
        </w:rPr>
        <w:t>873</w:t>
      </w:r>
      <w:r w:rsidRPr="00345AA4">
        <w:rPr>
          <w:rFonts w:ascii="Arial" w:hAnsi="Arial" w:cs="Arial"/>
          <w:b/>
          <w:color w:val="000000" w:themeColor="text1"/>
          <w:sz w:val="22"/>
          <w:szCs w:val="22"/>
        </w:rPr>
        <w:t xml:space="preserve"> billion </w:t>
      </w:r>
      <w:r w:rsidR="006E5BB2" w:rsidRPr="00345AA4">
        <w:rPr>
          <w:rFonts w:ascii="Arial" w:hAnsi="Arial" w:cs="Arial"/>
          <w:b/>
          <w:color w:val="000000" w:themeColor="text1"/>
          <w:sz w:val="22"/>
          <w:szCs w:val="22"/>
        </w:rPr>
        <w:t xml:space="preserve">are </w:t>
      </w:r>
      <w:r w:rsidR="00352E95" w:rsidRPr="00345AA4">
        <w:rPr>
          <w:rFonts w:ascii="Arial" w:hAnsi="Arial" w:cs="Arial"/>
          <w:b/>
          <w:color w:val="000000" w:themeColor="text1"/>
          <w:sz w:val="22"/>
          <w:szCs w:val="22"/>
        </w:rPr>
        <w:t xml:space="preserve">of doubtful validity due to non-submission </w:t>
      </w:r>
      <w:r w:rsidRPr="00345AA4">
        <w:rPr>
          <w:rFonts w:ascii="Arial" w:hAnsi="Arial" w:cs="Arial"/>
          <w:b/>
          <w:color w:val="000000" w:themeColor="text1"/>
          <w:sz w:val="22"/>
          <w:szCs w:val="22"/>
        </w:rPr>
        <w:t xml:space="preserve">of </w:t>
      </w:r>
      <w:r w:rsidR="00352E95" w:rsidRPr="00345AA4">
        <w:rPr>
          <w:rFonts w:ascii="Arial" w:hAnsi="Arial" w:cs="Arial"/>
          <w:b/>
          <w:color w:val="000000" w:themeColor="text1"/>
          <w:sz w:val="22"/>
          <w:szCs w:val="22"/>
        </w:rPr>
        <w:t xml:space="preserve">reliable </w:t>
      </w:r>
      <w:r w:rsidRPr="00345AA4">
        <w:rPr>
          <w:rFonts w:ascii="Arial" w:hAnsi="Arial" w:cs="Arial"/>
          <w:b/>
          <w:color w:val="000000" w:themeColor="text1"/>
          <w:sz w:val="22"/>
          <w:szCs w:val="22"/>
        </w:rPr>
        <w:t>schedule</w:t>
      </w:r>
      <w:r w:rsidR="006E5BB2" w:rsidRPr="00345AA4">
        <w:rPr>
          <w:rFonts w:ascii="Arial" w:hAnsi="Arial" w:cs="Arial"/>
          <w:b/>
          <w:color w:val="000000" w:themeColor="text1"/>
          <w:sz w:val="22"/>
          <w:szCs w:val="22"/>
        </w:rPr>
        <w:t>s</w:t>
      </w:r>
      <w:r w:rsidRPr="00345AA4">
        <w:rPr>
          <w:rFonts w:ascii="Arial" w:hAnsi="Arial" w:cs="Arial"/>
          <w:b/>
          <w:color w:val="000000" w:themeColor="text1"/>
          <w:sz w:val="22"/>
          <w:szCs w:val="22"/>
        </w:rPr>
        <w:t xml:space="preserve"> to support the account</w:t>
      </w:r>
      <w:r w:rsidR="006E5BB2" w:rsidRPr="00345AA4">
        <w:rPr>
          <w:rFonts w:ascii="Arial" w:hAnsi="Arial" w:cs="Arial"/>
          <w:b/>
          <w:color w:val="000000" w:themeColor="text1"/>
          <w:sz w:val="22"/>
          <w:szCs w:val="22"/>
        </w:rPr>
        <w:t>s’</w:t>
      </w:r>
      <w:r w:rsidRPr="00345AA4">
        <w:rPr>
          <w:rFonts w:ascii="Arial" w:hAnsi="Arial" w:cs="Arial"/>
          <w:b/>
          <w:color w:val="000000" w:themeColor="text1"/>
          <w:sz w:val="22"/>
          <w:szCs w:val="22"/>
        </w:rPr>
        <w:t xml:space="preserve"> balance</w:t>
      </w:r>
      <w:r w:rsidR="006E5BB2" w:rsidRPr="00345AA4">
        <w:rPr>
          <w:rFonts w:ascii="Arial" w:hAnsi="Arial" w:cs="Arial"/>
          <w:b/>
          <w:color w:val="000000" w:themeColor="text1"/>
          <w:sz w:val="22"/>
          <w:szCs w:val="22"/>
        </w:rPr>
        <w:t>s</w:t>
      </w:r>
      <w:r w:rsidR="00A85B97" w:rsidRPr="00345AA4">
        <w:rPr>
          <w:rFonts w:ascii="Arial" w:hAnsi="Arial" w:cs="Arial"/>
          <w:b/>
          <w:color w:val="000000" w:themeColor="text1"/>
          <w:sz w:val="22"/>
          <w:szCs w:val="22"/>
        </w:rPr>
        <w:t>,</w:t>
      </w:r>
      <w:r w:rsidRPr="00345AA4">
        <w:rPr>
          <w:rFonts w:ascii="Arial" w:hAnsi="Arial" w:cs="Arial"/>
          <w:b/>
          <w:color w:val="000000" w:themeColor="text1"/>
          <w:sz w:val="22"/>
          <w:szCs w:val="22"/>
        </w:rPr>
        <w:t xml:space="preserve"> contrary to Sections 112 and 121 of </w:t>
      </w:r>
      <w:r w:rsidR="00555874" w:rsidRPr="00345AA4">
        <w:rPr>
          <w:rFonts w:ascii="Arial" w:hAnsi="Arial" w:cs="Arial"/>
          <w:b/>
          <w:color w:val="000000" w:themeColor="text1"/>
          <w:sz w:val="22"/>
          <w:szCs w:val="22"/>
        </w:rPr>
        <w:t>Presidential Decree (</w:t>
      </w:r>
      <w:r w:rsidRPr="00345AA4">
        <w:rPr>
          <w:rFonts w:ascii="Arial" w:hAnsi="Arial" w:cs="Arial"/>
          <w:b/>
          <w:color w:val="000000" w:themeColor="text1"/>
          <w:sz w:val="22"/>
          <w:szCs w:val="22"/>
        </w:rPr>
        <w:t>PD</w:t>
      </w:r>
      <w:r w:rsidR="00555874" w:rsidRPr="00345AA4">
        <w:rPr>
          <w:rFonts w:ascii="Arial" w:hAnsi="Arial" w:cs="Arial"/>
          <w:b/>
          <w:color w:val="000000" w:themeColor="text1"/>
          <w:sz w:val="22"/>
          <w:szCs w:val="22"/>
        </w:rPr>
        <w:t>)</w:t>
      </w:r>
      <w:r w:rsidRPr="00345AA4">
        <w:rPr>
          <w:rFonts w:ascii="Arial" w:hAnsi="Arial" w:cs="Arial"/>
          <w:b/>
          <w:color w:val="000000" w:themeColor="text1"/>
          <w:sz w:val="22"/>
          <w:szCs w:val="22"/>
        </w:rPr>
        <w:t xml:space="preserve"> No. 1445 and Paragraph 15 of </w:t>
      </w:r>
      <w:r w:rsidR="00555874" w:rsidRPr="00345AA4">
        <w:rPr>
          <w:rFonts w:ascii="Arial" w:hAnsi="Arial" w:cs="Arial"/>
          <w:b/>
          <w:color w:val="000000" w:themeColor="text1"/>
          <w:sz w:val="22"/>
          <w:szCs w:val="22"/>
        </w:rPr>
        <w:t>Philippine Accounting Standard (</w:t>
      </w:r>
      <w:r w:rsidRPr="00345AA4">
        <w:rPr>
          <w:rFonts w:ascii="Arial" w:hAnsi="Arial" w:cs="Arial"/>
          <w:b/>
          <w:color w:val="000000" w:themeColor="text1"/>
          <w:sz w:val="22"/>
          <w:szCs w:val="22"/>
        </w:rPr>
        <w:t>PAS</w:t>
      </w:r>
      <w:r w:rsidR="00555874" w:rsidRPr="00345AA4">
        <w:rPr>
          <w:rFonts w:ascii="Arial" w:hAnsi="Arial" w:cs="Arial"/>
          <w:b/>
          <w:color w:val="000000" w:themeColor="text1"/>
          <w:sz w:val="22"/>
          <w:szCs w:val="22"/>
        </w:rPr>
        <w:t>)</w:t>
      </w:r>
      <w:r w:rsidRPr="00345AA4">
        <w:rPr>
          <w:rFonts w:ascii="Arial" w:hAnsi="Arial" w:cs="Arial"/>
          <w:b/>
          <w:color w:val="000000" w:themeColor="text1"/>
          <w:sz w:val="22"/>
          <w:szCs w:val="22"/>
        </w:rPr>
        <w:t xml:space="preserve"> 1</w:t>
      </w:r>
      <w:r w:rsidR="006E5BB2" w:rsidRPr="00345AA4">
        <w:rPr>
          <w:rFonts w:ascii="Arial" w:hAnsi="Arial" w:cs="Arial"/>
          <w:b/>
          <w:color w:val="000000" w:themeColor="text1"/>
          <w:sz w:val="22"/>
          <w:szCs w:val="22"/>
        </w:rPr>
        <w:t>.</w:t>
      </w:r>
      <w:r w:rsidRPr="00345AA4">
        <w:rPr>
          <w:rFonts w:ascii="Arial" w:hAnsi="Arial" w:cs="Arial"/>
          <w:b/>
          <w:color w:val="000000" w:themeColor="text1"/>
          <w:sz w:val="22"/>
          <w:szCs w:val="22"/>
        </w:rPr>
        <w:t xml:space="preserve"> </w:t>
      </w:r>
    </w:p>
    <w:p w14:paraId="66C94D8A" w14:textId="77777777" w:rsidR="006E5BB2" w:rsidRPr="00345AA4" w:rsidRDefault="006E5BB2" w:rsidP="000937A5">
      <w:pPr>
        <w:pStyle w:val="ListParagraph"/>
        <w:tabs>
          <w:tab w:val="left" w:pos="990"/>
        </w:tabs>
        <w:ind w:left="900"/>
        <w:contextualSpacing/>
        <w:jc w:val="both"/>
        <w:rPr>
          <w:rFonts w:ascii="Arial" w:eastAsia="Calibri" w:hAnsi="Arial" w:cs="Arial"/>
          <w:color w:val="000000" w:themeColor="text1"/>
          <w:sz w:val="22"/>
          <w:szCs w:val="22"/>
        </w:rPr>
      </w:pPr>
    </w:p>
    <w:p w14:paraId="53B08697" w14:textId="5204BC10" w:rsidR="00A72CC8" w:rsidRPr="00345AA4" w:rsidRDefault="00A72CC8" w:rsidP="00A72CC8">
      <w:pPr>
        <w:pStyle w:val="ListParagraph"/>
        <w:numPr>
          <w:ilvl w:val="1"/>
          <w:numId w:val="1"/>
        </w:numPr>
        <w:tabs>
          <w:tab w:val="left" w:pos="990"/>
        </w:tabs>
        <w:ind w:left="900" w:hanging="540"/>
        <w:contextualSpacing/>
        <w:jc w:val="both"/>
        <w:rPr>
          <w:rFonts w:ascii="Arial" w:eastAsia="Calibri" w:hAnsi="Arial" w:cs="Arial"/>
          <w:color w:val="000000" w:themeColor="text1"/>
          <w:sz w:val="22"/>
          <w:szCs w:val="22"/>
        </w:rPr>
      </w:pPr>
      <w:r w:rsidRPr="00345AA4">
        <w:rPr>
          <w:rFonts w:ascii="Arial" w:hAnsi="Arial" w:cs="Arial"/>
          <w:color w:val="000000" w:themeColor="text1"/>
          <w:sz w:val="22"/>
          <w:szCs w:val="22"/>
        </w:rPr>
        <w:t>Sections</w:t>
      </w:r>
      <w:r w:rsidRPr="00345AA4">
        <w:rPr>
          <w:rFonts w:ascii="Arial" w:eastAsia="Calibri" w:hAnsi="Arial" w:cs="Arial"/>
          <w:color w:val="000000" w:themeColor="text1"/>
          <w:sz w:val="22"/>
          <w:szCs w:val="22"/>
        </w:rPr>
        <w:t xml:space="preserve"> </w:t>
      </w:r>
      <w:r w:rsidR="006B5D04" w:rsidRPr="00345AA4">
        <w:rPr>
          <w:rFonts w:ascii="Arial" w:eastAsia="Calibri" w:hAnsi="Arial" w:cs="Arial"/>
          <w:color w:val="000000" w:themeColor="text1"/>
          <w:sz w:val="22"/>
          <w:szCs w:val="22"/>
        </w:rPr>
        <w:t>112</w:t>
      </w:r>
      <w:r w:rsidRPr="00345AA4">
        <w:rPr>
          <w:rFonts w:ascii="Arial" w:eastAsia="Calibri" w:hAnsi="Arial" w:cs="Arial"/>
          <w:color w:val="000000" w:themeColor="text1"/>
          <w:sz w:val="22"/>
          <w:szCs w:val="22"/>
        </w:rPr>
        <w:t xml:space="preserve"> and </w:t>
      </w:r>
      <w:r w:rsidR="006B5D04" w:rsidRPr="00345AA4">
        <w:rPr>
          <w:rFonts w:ascii="Arial" w:eastAsia="Calibri" w:hAnsi="Arial" w:cs="Arial"/>
          <w:color w:val="000000" w:themeColor="text1"/>
          <w:sz w:val="22"/>
          <w:szCs w:val="22"/>
        </w:rPr>
        <w:t>121</w:t>
      </w:r>
      <w:r w:rsidRPr="00345AA4">
        <w:rPr>
          <w:rFonts w:ascii="Arial" w:eastAsia="Calibri" w:hAnsi="Arial" w:cs="Arial"/>
          <w:color w:val="000000" w:themeColor="text1"/>
          <w:sz w:val="22"/>
          <w:szCs w:val="22"/>
        </w:rPr>
        <w:t xml:space="preserve"> of PD No. 1445 state that:</w:t>
      </w:r>
    </w:p>
    <w:p w14:paraId="3628386E" w14:textId="77777777" w:rsidR="00A72CC8" w:rsidRPr="00345AA4" w:rsidRDefault="00A72CC8" w:rsidP="00A72CC8">
      <w:pPr>
        <w:pStyle w:val="NoSpacing"/>
        <w:jc w:val="both"/>
        <w:rPr>
          <w:rFonts w:ascii="Arial" w:hAnsi="Arial" w:cs="Arial"/>
          <w:color w:val="000000" w:themeColor="text1"/>
        </w:rPr>
      </w:pPr>
    </w:p>
    <w:p w14:paraId="4009AB2E" w14:textId="77777777" w:rsidR="00A72CC8" w:rsidRPr="00345AA4" w:rsidRDefault="00A72CC8" w:rsidP="00E64C19">
      <w:pPr>
        <w:pStyle w:val="NoSpacing"/>
        <w:ind w:left="1440" w:right="702"/>
        <w:jc w:val="both"/>
        <w:rPr>
          <w:rFonts w:ascii="Arial" w:hAnsi="Arial" w:cs="Arial"/>
          <w:i/>
          <w:color w:val="000000" w:themeColor="text1"/>
        </w:rPr>
      </w:pPr>
      <w:r w:rsidRPr="00345AA4">
        <w:rPr>
          <w:rFonts w:ascii="Arial" w:hAnsi="Arial" w:cs="Arial"/>
          <w:i/>
          <w:color w:val="000000" w:themeColor="text1"/>
        </w:rPr>
        <w:t>Section 112. Recording of financial transaction. Each government agency shall record its financial transactions and operations conformity with generally accepted accounting principles and in accordance with pertinent laws and regulations.</w:t>
      </w:r>
    </w:p>
    <w:p w14:paraId="4DF8C7AC" w14:textId="77777777" w:rsidR="00A72CC8" w:rsidRPr="00345AA4" w:rsidRDefault="00A72CC8" w:rsidP="00A72CC8">
      <w:pPr>
        <w:pStyle w:val="NoSpacing"/>
        <w:ind w:left="993" w:right="702"/>
        <w:jc w:val="both"/>
        <w:rPr>
          <w:rFonts w:ascii="Arial" w:hAnsi="Arial" w:cs="Arial"/>
          <w:color w:val="000000" w:themeColor="text1"/>
        </w:rPr>
      </w:pPr>
    </w:p>
    <w:p w14:paraId="5C10E1A8" w14:textId="77777777" w:rsidR="00A72CC8" w:rsidRPr="00345AA4" w:rsidRDefault="00A72CC8" w:rsidP="00352E95">
      <w:pPr>
        <w:pStyle w:val="NoSpacing"/>
        <w:ind w:left="1440" w:right="702"/>
        <w:jc w:val="both"/>
        <w:rPr>
          <w:rFonts w:ascii="Arial" w:hAnsi="Arial" w:cs="Arial"/>
          <w:i/>
          <w:color w:val="000000" w:themeColor="text1"/>
        </w:rPr>
      </w:pPr>
      <w:r w:rsidRPr="00345AA4">
        <w:rPr>
          <w:rFonts w:ascii="Arial" w:hAnsi="Arial" w:cs="Arial"/>
          <w:i/>
          <w:color w:val="000000" w:themeColor="text1"/>
        </w:rPr>
        <w:t>Paragraph 2 of Section 121. The financial statements shall be based on official accounting records kept in accordance with law and the generally accepted accounting principles and standards.</w:t>
      </w:r>
    </w:p>
    <w:p w14:paraId="0EADD183" w14:textId="77777777" w:rsidR="00A72CC8" w:rsidRPr="00345AA4" w:rsidRDefault="00A72CC8" w:rsidP="00A72CC8">
      <w:pPr>
        <w:pStyle w:val="NoSpacing"/>
        <w:jc w:val="both"/>
        <w:rPr>
          <w:rFonts w:ascii="Arial" w:hAnsi="Arial" w:cs="Arial"/>
          <w:color w:val="000000" w:themeColor="text1"/>
        </w:rPr>
      </w:pPr>
    </w:p>
    <w:p w14:paraId="3D4B3C26" w14:textId="77777777" w:rsidR="006B5D04" w:rsidRPr="00345AA4" w:rsidRDefault="006B5D04" w:rsidP="006B5D04">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Further, Paragraph 15 of PAS 1 on fair presentation and compliance with PFRS states that:</w:t>
      </w:r>
    </w:p>
    <w:p w14:paraId="0A4F4211" w14:textId="77777777" w:rsidR="006B5D04" w:rsidRPr="00345AA4" w:rsidRDefault="006B5D04" w:rsidP="006B5D04">
      <w:pPr>
        <w:pStyle w:val="ListParagraph"/>
        <w:tabs>
          <w:tab w:val="left" w:pos="990"/>
        </w:tabs>
        <w:ind w:left="900"/>
        <w:contextualSpacing/>
        <w:jc w:val="both"/>
        <w:rPr>
          <w:rFonts w:ascii="Arial" w:hAnsi="Arial" w:cs="Arial"/>
          <w:color w:val="000000" w:themeColor="text1"/>
          <w:sz w:val="22"/>
          <w:szCs w:val="22"/>
        </w:rPr>
      </w:pPr>
    </w:p>
    <w:p w14:paraId="1DA64BDD" w14:textId="5AB4959D" w:rsidR="006B5D04" w:rsidRPr="00345AA4" w:rsidRDefault="006B5D04" w:rsidP="000937A5">
      <w:pPr>
        <w:pStyle w:val="NoSpacing"/>
        <w:ind w:left="1440" w:right="702"/>
        <w:jc w:val="both"/>
        <w:rPr>
          <w:rFonts w:ascii="Arial" w:hAnsi="Arial" w:cs="Arial"/>
          <w:i/>
          <w:color w:val="000000" w:themeColor="text1"/>
        </w:rPr>
      </w:pPr>
      <w:r w:rsidRPr="00345AA4">
        <w:rPr>
          <w:rFonts w:ascii="Arial" w:hAnsi="Arial" w:cs="Arial"/>
          <w:i/>
          <w:color w:val="000000" w:themeColor="text1"/>
        </w:rPr>
        <w:t>Financial statements shall present fairly the financial position, financial performance and cash flows of an entity.</w:t>
      </w:r>
      <w:r w:rsidR="00A6310E" w:rsidRPr="00345AA4">
        <w:rPr>
          <w:rFonts w:ascii="Arial" w:hAnsi="Arial" w:cs="Arial"/>
          <w:i/>
          <w:color w:val="000000" w:themeColor="text1"/>
        </w:rPr>
        <w:t xml:space="preserve"> </w:t>
      </w:r>
      <w:r w:rsidRPr="00345AA4">
        <w:rPr>
          <w:rFonts w:ascii="Arial" w:hAnsi="Arial" w:cs="Arial"/>
          <w:i/>
          <w:color w:val="000000" w:themeColor="text1"/>
        </w:rPr>
        <w:t>Fair presentation requires the faithful representation of the effects of transactions, other events and conditions in accordance with the definitions and recognition criteria for assets, liabilities, income and expenses set out in the Framework. Xxx</w:t>
      </w:r>
    </w:p>
    <w:p w14:paraId="0FB90DEB" w14:textId="77777777" w:rsidR="00A72CC8" w:rsidRPr="00345AA4" w:rsidRDefault="00A72CC8" w:rsidP="00A72CC8">
      <w:pPr>
        <w:pStyle w:val="ListParagraph"/>
        <w:tabs>
          <w:tab w:val="left" w:pos="990"/>
        </w:tabs>
        <w:ind w:left="900"/>
        <w:contextualSpacing/>
        <w:jc w:val="both"/>
        <w:rPr>
          <w:rFonts w:ascii="Arial" w:hAnsi="Arial" w:cs="Arial"/>
          <w:color w:val="000000" w:themeColor="text1"/>
          <w:sz w:val="22"/>
          <w:szCs w:val="22"/>
        </w:rPr>
      </w:pPr>
    </w:p>
    <w:p w14:paraId="49579F6D" w14:textId="14E97184" w:rsidR="00A72CC8" w:rsidRPr="00345AA4" w:rsidRDefault="00C67295" w:rsidP="00A72CC8">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Our e</w:t>
      </w:r>
      <w:r w:rsidR="00A72CC8" w:rsidRPr="00345AA4">
        <w:rPr>
          <w:rFonts w:ascii="Arial" w:hAnsi="Arial" w:cs="Arial"/>
          <w:color w:val="000000" w:themeColor="text1"/>
          <w:sz w:val="22"/>
          <w:szCs w:val="22"/>
        </w:rPr>
        <w:t xml:space="preserve">xamination of the </w:t>
      </w:r>
      <w:r w:rsidR="006B5D04" w:rsidRPr="00345AA4">
        <w:rPr>
          <w:rFonts w:ascii="Arial" w:hAnsi="Arial" w:cs="Arial"/>
          <w:color w:val="000000" w:themeColor="text1"/>
          <w:sz w:val="22"/>
          <w:szCs w:val="22"/>
        </w:rPr>
        <w:t>Trial Balance (</w:t>
      </w:r>
      <w:r w:rsidR="00A72CC8" w:rsidRPr="00345AA4">
        <w:rPr>
          <w:rFonts w:ascii="Arial" w:hAnsi="Arial" w:cs="Arial"/>
          <w:color w:val="000000" w:themeColor="text1"/>
          <w:sz w:val="22"/>
          <w:szCs w:val="22"/>
        </w:rPr>
        <w:t>TB</w:t>
      </w:r>
      <w:r w:rsidR="006B5D04" w:rsidRPr="00345AA4">
        <w:rPr>
          <w:rFonts w:ascii="Arial" w:hAnsi="Arial" w:cs="Arial"/>
          <w:color w:val="000000" w:themeColor="text1"/>
          <w:sz w:val="22"/>
          <w:szCs w:val="22"/>
        </w:rPr>
        <w:t>)</w:t>
      </w:r>
      <w:r w:rsidR="00A72CC8" w:rsidRPr="00345AA4">
        <w:rPr>
          <w:rFonts w:ascii="Arial" w:hAnsi="Arial" w:cs="Arial"/>
          <w:color w:val="000000" w:themeColor="text1"/>
          <w:sz w:val="22"/>
          <w:szCs w:val="22"/>
        </w:rPr>
        <w:t xml:space="preserve"> of </w:t>
      </w:r>
      <w:r w:rsidR="006B5D04" w:rsidRPr="00345AA4">
        <w:rPr>
          <w:rFonts w:ascii="Arial" w:hAnsi="Arial" w:cs="Arial"/>
          <w:color w:val="000000" w:themeColor="text1"/>
          <w:sz w:val="22"/>
          <w:szCs w:val="22"/>
        </w:rPr>
        <w:t>Armed Forces of the Philippines Retirement and Separation Benefits System (</w:t>
      </w:r>
      <w:r w:rsidR="00A72CC8" w:rsidRPr="00345AA4">
        <w:rPr>
          <w:rFonts w:ascii="Arial" w:hAnsi="Arial" w:cs="Arial"/>
          <w:color w:val="000000" w:themeColor="text1"/>
          <w:sz w:val="22"/>
          <w:szCs w:val="22"/>
        </w:rPr>
        <w:t>AFPRSBS</w:t>
      </w:r>
      <w:r w:rsidR="006B5D04" w:rsidRPr="00345AA4">
        <w:rPr>
          <w:rFonts w:ascii="Arial" w:hAnsi="Arial" w:cs="Arial"/>
          <w:color w:val="000000" w:themeColor="text1"/>
          <w:sz w:val="22"/>
          <w:szCs w:val="22"/>
        </w:rPr>
        <w:t>)</w:t>
      </w:r>
      <w:r w:rsidR="00A72CC8" w:rsidRPr="00345AA4">
        <w:rPr>
          <w:rFonts w:ascii="Arial" w:hAnsi="Arial" w:cs="Arial"/>
          <w:color w:val="000000" w:themeColor="text1"/>
          <w:sz w:val="22"/>
          <w:szCs w:val="22"/>
        </w:rPr>
        <w:t xml:space="preserve"> revealed that </w:t>
      </w:r>
      <w:r w:rsidRPr="00345AA4">
        <w:rPr>
          <w:rFonts w:ascii="Arial" w:hAnsi="Arial" w:cs="Arial"/>
          <w:color w:val="000000" w:themeColor="text1"/>
          <w:sz w:val="22"/>
          <w:szCs w:val="22"/>
        </w:rPr>
        <w:t>supporting schedules of</w:t>
      </w:r>
      <w:r w:rsidR="00A72CC8" w:rsidRPr="00345AA4">
        <w:rPr>
          <w:rFonts w:ascii="Arial" w:hAnsi="Arial" w:cs="Arial"/>
          <w:color w:val="000000" w:themeColor="text1"/>
          <w:sz w:val="22"/>
          <w:szCs w:val="22"/>
        </w:rPr>
        <w:t xml:space="preserve"> 71</w:t>
      </w:r>
      <w:r w:rsidR="00770325" w:rsidRPr="00345AA4">
        <w:rPr>
          <w:rFonts w:ascii="Arial" w:hAnsi="Arial" w:cs="Arial"/>
          <w:color w:val="000000" w:themeColor="text1"/>
          <w:sz w:val="22"/>
          <w:szCs w:val="22"/>
        </w:rPr>
        <w:t xml:space="preserve"> GL</w:t>
      </w:r>
      <w:r w:rsidR="00A72CC8" w:rsidRPr="00345AA4">
        <w:rPr>
          <w:rFonts w:ascii="Arial" w:hAnsi="Arial" w:cs="Arial"/>
          <w:color w:val="000000" w:themeColor="text1"/>
          <w:sz w:val="22"/>
          <w:szCs w:val="22"/>
        </w:rPr>
        <w:t xml:space="preserve"> accounts amounting to</w:t>
      </w:r>
      <w:r w:rsidRPr="00345AA4">
        <w:rPr>
          <w:rFonts w:ascii="Arial" w:hAnsi="Arial" w:cs="Arial"/>
          <w:color w:val="000000" w:themeColor="text1"/>
          <w:sz w:val="22"/>
          <w:szCs w:val="22"/>
        </w:rPr>
        <w:t xml:space="preserve"> P9.8</w:t>
      </w:r>
      <w:r w:rsidR="006D5758" w:rsidRPr="00345AA4">
        <w:rPr>
          <w:rFonts w:ascii="Arial" w:hAnsi="Arial" w:cs="Arial"/>
          <w:color w:val="000000" w:themeColor="text1"/>
          <w:sz w:val="22"/>
          <w:szCs w:val="22"/>
        </w:rPr>
        <w:t>73</w:t>
      </w:r>
      <w:r w:rsidRPr="00345AA4">
        <w:rPr>
          <w:rFonts w:ascii="Arial" w:hAnsi="Arial" w:cs="Arial"/>
          <w:color w:val="000000" w:themeColor="text1"/>
          <w:sz w:val="22"/>
          <w:szCs w:val="22"/>
        </w:rPr>
        <w:t xml:space="preserve"> billion were not submitted during the conduct of our audit. Such </w:t>
      </w:r>
      <w:r w:rsidR="00770325" w:rsidRPr="00345AA4">
        <w:rPr>
          <w:rFonts w:ascii="Arial" w:hAnsi="Arial" w:cs="Arial"/>
          <w:color w:val="000000" w:themeColor="text1"/>
          <w:sz w:val="22"/>
          <w:szCs w:val="22"/>
        </w:rPr>
        <w:t>schedules constitute</w:t>
      </w:r>
      <w:r w:rsidR="00A72CC8" w:rsidRPr="00345AA4">
        <w:rPr>
          <w:rFonts w:ascii="Arial" w:hAnsi="Arial" w:cs="Arial"/>
          <w:color w:val="000000" w:themeColor="text1"/>
          <w:sz w:val="22"/>
          <w:szCs w:val="22"/>
        </w:rPr>
        <w:t xml:space="preserve"> detailed information, explaining the balance in the controlling account appearing in the GL.  These accounts comprise 45 per cent of the total accounts as reflected in the TB.  Details are as follows: </w:t>
      </w:r>
    </w:p>
    <w:p w14:paraId="418BF522" w14:textId="77777777" w:rsidR="00A72CC8" w:rsidRPr="00345AA4" w:rsidRDefault="00A72CC8" w:rsidP="00A72CC8">
      <w:pPr>
        <w:tabs>
          <w:tab w:val="left" w:pos="990"/>
        </w:tabs>
        <w:contextualSpacing/>
        <w:jc w:val="both"/>
        <w:rPr>
          <w:rFonts w:ascii="Arial" w:hAnsi="Arial" w:cs="Arial"/>
          <w:color w:val="000000" w:themeColor="text1"/>
        </w:rPr>
      </w:pPr>
    </w:p>
    <w:tbl>
      <w:tblPr>
        <w:tblW w:w="7717" w:type="dxa"/>
        <w:tblInd w:w="995" w:type="dxa"/>
        <w:tblCellMar>
          <w:left w:w="72" w:type="dxa"/>
          <w:right w:w="72" w:type="dxa"/>
        </w:tblCellMar>
        <w:tblLook w:val="04A0" w:firstRow="1" w:lastRow="0" w:firstColumn="1" w:lastColumn="0" w:noHBand="0" w:noVBand="1"/>
      </w:tblPr>
      <w:tblGrid>
        <w:gridCol w:w="5557"/>
        <w:gridCol w:w="2160"/>
      </w:tblGrid>
      <w:tr w:rsidR="00345AA4" w:rsidRPr="00345AA4" w14:paraId="7C5BBF15" w14:textId="77777777" w:rsidTr="00FC0CFB">
        <w:trPr>
          <w:trHeight w:val="80"/>
          <w:tblHeader/>
        </w:trPr>
        <w:tc>
          <w:tcPr>
            <w:tcW w:w="5557" w:type="dxa"/>
            <w:tcBorders>
              <w:top w:val="single" w:sz="4" w:space="0" w:color="auto"/>
              <w:left w:val="nil"/>
              <w:bottom w:val="single" w:sz="4" w:space="0" w:color="auto"/>
              <w:right w:val="nil"/>
            </w:tcBorders>
            <w:shd w:val="clear" w:color="auto" w:fill="auto"/>
            <w:noWrap/>
            <w:vAlign w:val="center"/>
            <w:hideMark/>
          </w:tcPr>
          <w:p w14:paraId="3147FFB4" w14:textId="77777777" w:rsidR="00352E95" w:rsidRPr="00345AA4" w:rsidRDefault="00352E95" w:rsidP="00375E56">
            <w:pPr>
              <w:spacing w:after="0" w:line="240" w:lineRule="auto"/>
              <w:jc w:val="center"/>
              <w:rPr>
                <w:rFonts w:ascii="Arial" w:eastAsia="Times New Roman" w:hAnsi="Arial" w:cs="Arial"/>
                <w:b/>
                <w:bCs/>
                <w:color w:val="000000" w:themeColor="text1"/>
                <w:sz w:val="20"/>
                <w:szCs w:val="20"/>
              </w:rPr>
            </w:pPr>
            <w:r w:rsidRPr="00345AA4">
              <w:rPr>
                <w:rFonts w:ascii="Arial" w:eastAsia="Times New Roman" w:hAnsi="Arial" w:cs="Arial"/>
                <w:b/>
                <w:bCs/>
                <w:color w:val="000000" w:themeColor="text1"/>
                <w:sz w:val="20"/>
                <w:szCs w:val="20"/>
              </w:rPr>
              <w:t>Account description</w:t>
            </w:r>
          </w:p>
        </w:tc>
        <w:tc>
          <w:tcPr>
            <w:tcW w:w="2160" w:type="dxa"/>
            <w:tcBorders>
              <w:top w:val="single" w:sz="4" w:space="0" w:color="auto"/>
              <w:left w:val="nil"/>
              <w:bottom w:val="single" w:sz="4" w:space="0" w:color="auto"/>
              <w:right w:val="nil"/>
            </w:tcBorders>
            <w:shd w:val="clear" w:color="auto" w:fill="auto"/>
            <w:noWrap/>
            <w:vAlign w:val="bottom"/>
            <w:hideMark/>
          </w:tcPr>
          <w:p w14:paraId="32297AE0" w14:textId="46E9DDA9" w:rsidR="00352E95" w:rsidRPr="00345AA4" w:rsidRDefault="00352E95" w:rsidP="00375E56">
            <w:pPr>
              <w:spacing w:after="0" w:line="240" w:lineRule="auto"/>
              <w:jc w:val="center"/>
              <w:rPr>
                <w:rFonts w:ascii="Arial" w:eastAsia="Times New Roman" w:hAnsi="Arial" w:cs="Arial"/>
                <w:b/>
                <w:bCs/>
                <w:color w:val="000000" w:themeColor="text1"/>
                <w:sz w:val="20"/>
                <w:szCs w:val="20"/>
              </w:rPr>
            </w:pPr>
            <w:r w:rsidRPr="00345AA4">
              <w:rPr>
                <w:rFonts w:ascii="Arial" w:eastAsia="Times New Roman" w:hAnsi="Arial" w:cs="Arial"/>
                <w:b/>
                <w:bCs/>
                <w:color w:val="000000" w:themeColor="text1"/>
                <w:sz w:val="20"/>
                <w:szCs w:val="20"/>
              </w:rPr>
              <w:t xml:space="preserve">Balance as </w:t>
            </w:r>
            <w:r w:rsidR="00C5791B" w:rsidRPr="00345AA4">
              <w:rPr>
                <w:rFonts w:ascii="Arial" w:eastAsia="Times New Roman" w:hAnsi="Arial" w:cs="Arial"/>
                <w:b/>
                <w:bCs/>
                <w:color w:val="000000" w:themeColor="text1"/>
                <w:sz w:val="20"/>
                <w:szCs w:val="20"/>
              </w:rPr>
              <w:t xml:space="preserve">at </w:t>
            </w:r>
            <w:r w:rsidRPr="00345AA4">
              <w:rPr>
                <w:rFonts w:ascii="Arial" w:eastAsia="Times New Roman" w:hAnsi="Arial" w:cs="Arial"/>
                <w:b/>
                <w:bCs/>
                <w:color w:val="000000" w:themeColor="text1"/>
                <w:sz w:val="20"/>
                <w:szCs w:val="20"/>
              </w:rPr>
              <w:t>December 31, 2019</w:t>
            </w:r>
          </w:p>
        </w:tc>
      </w:tr>
      <w:tr w:rsidR="00345AA4" w:rsidRPr="00345AA4" w14:paraId="4A969A9D" w14:textId="77777777" w:rsidTr="00FC0CFB">
        <w:trPr>
          <w:trHeight w:val="80"/>
        </w:trPr>
        <w:tc>
          <w:tcPr>
            <w:tcW w:w="5557" w:type="dxa"/>
            <w:tcBorders>
              <w:top w:val="nil"/>
              <w:left w:val="nil"/>
              <w:bottom w:val="nil"/>
              <w:right w:val="nil"/>
            </w:tcBorders>
            <w:shd w:val="clear" w:color="auto" w:fill="auto"/>
            <w:noWrap/>
            <w:vAlign w:val="bottom"/>
          </w:tcPr>
          <w:p w14:paraId="66BE956B" w14:textId="77777777" w:rsidR="00352E95" w:rsidRPr="00345AA4" w:rsidRDefault="00352E95" w:rsidP="00375E56">
            <w:pPr>
              <w:spacing w:after="0" w:line="240" w:lineRule="auto"/>
              <w:rPr>
                <w:rFonts w:ascii="Arial" w:eastAsia="Times New Roman" w:hAnsi="Arial" w:cs="Arial"/>
                <w:color w:val="000000" w:themeColor="text1"/>
                <w:sz w:val="20"/>
                <w:szCs w:val="20"/>
              </w:rPr>
            </w:pPr>
          </w:p>
        </w:tc>
        <w:tc>
          <w:tcPr>
            <w:tcW w:w="2160" w:type="dxa"/>
            <w:tcBorders>
              <w:top w:val="nil"/>
              <w:left w:val="nil"/>
              <w:bottom w:val="nil"/>
              <w:right w:val="nil"/>
            </w:tcBorders>
            <w:shd w:val="clear" w:color="auto" w:fill="auto"/>
            <w:noWrap/>
            <w:vAlign w:val="bottom"/>
          </w:tcPr>
          <w:p w14:paraId="38770F66" w14:textId="77777777" w:rsidR="00352E95" w:rsidRPr="00345AA4" w:rsidRDefault="00352E95" w:rsidP="00375E56">
            <w:pPr>
              <w:spacing w:after="0" w:line="240" w:lineRule="auto"/>
              <w:jc w:val="right"/>
              <w:rPr>
                <w:rFonts w:ascii="Arial" w:eastAsia="Times New Roman" w:hAnsi="Arial" w:cs="Arial"/>
                <w:color w:val="000000" w:themeColor="text1"/>
                <w:sz w:val="20"/>
                <w:szCs w:val="20"/>
              </w:rPr>
            </w:pPr>
          </w:p>
        </w:tc>
      </w:tr>
      <w:tr w:rsidR="00345AA4" w:rsidRPr="00345AA4" w14:paraId="07BFCDDA" w14:textId="77777777" w:rsidTr="00FC0CFB">
        <w:trPr>
          <w:trHeight w:val="80"/>
        </w:trPr>
        <w:tc>
          <w:tcPr>
            <w:tcW w:w="5557" w:type="dxa"/>
            <w:tcBorders>
              <w:top w:val="nil"/>
              <w:left w:val="nil"/>
              <w:bottom w:val="nil"/>
              <w:right w:val="nil"/>
            </w:tcBorders>
            <w:shd w:val="clear" w:color="auto" w:fill="auto"/>
            <w:noWrap/>
            <w:vAlign w:val="bottom"/>
          </w:tcPr>
          <w:p w14:paraId="0EB65BB8" w14:textId="77777777" w:rsidR="00A85B97" w:rsidRPr="00345AA4" w:rsidRDefault="00A85B97" w:rsidP="00A85B97">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AR trade, lessee</w:t>
            </w:r>
          </w:p>
        </w:tc>
        <w:tc>
          <w:tcPr>
            <w:tcW w:w="2160" w:type="dxa"/>
            <w:tcBorders>
              <w:top w:val="nil"/>
              <w:left w:val="nil"/>
              <w:bottom w:val="nil"/>
              <w:right w:val="nil"/>
            </w:tcBorders>
            <w:shd w:val="clear" w:color="auto" w:fill="auto"/>
            <w:noWrap/>
            <w:vAlign w:val="bottom"/>
          </w:tcPr>
          <w:p w14:paraId="04E95DCA" w14:textId="5CDC9EDF" w:rsidR="00A85B97" w:rsidRPr="00345AA4" w:rsidRDefault="00A85B97" w:rsidP="00A85B97">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15</w:t>
            </w:r>
            <w:r w:rsidR="006D5758" w:rsidRPr="00345AA4">
              <w:rPr>
                <w:rFonts w:ascii="Arial" w:eastAsia="Times New Roman" w:hAnsi="Arial" w:cs="Arial"/>
                <w:color w:val="000000" w:themeColor="text1"/>
                <w:sz w:val="20"/>
                <w:szCs w:val="20"/>
              </w:rPr>
              <w:t>4,145,114</w:t>
            </w:r>
            <w:r w:rsidRPr="00345AA4">
              <w:rPr>
                <w:rFonts w:ascii="Arial" w:eastAsia="Times New Roman" w:hAnsi="Arial" w:cs="Arial"/>
                <w:color w:val="000000" w:themeColor="text1"/>
                <w:sz w:val="20"/>
                <w:szCs w:val="20"/>
              </w:rPr>
              <w:t xml:space="preserve"> </w:t>
            </w:r>
          </w:p>
        </w:tc>
      </w:tr>
      <w:tr w:rsidR="00345AA4" w:rsidRPr="00345AA4" w14:paraId="74660556" w14:textId="77777777" w:rsidTr="00FC0CFB">
        <w:trPr>
          <w:trHeight w:val="80"/>
        </w:trPr>
        <w:tc>
          <w:tcPr>
            <w:tcW w:w="5557" w:type="dxa"/>
            <w:tcBorders>
              <w:top w:val="nil"/>
              <w:left w:val="nil"/>
              <w:bottom w:val="nil"/>
              <w:right w:val="nil"/>
            </w:tcBorders>
            <w:shd w:val="clear" w:color="auto" w:fill="auto"/>
            <w:noWrap/>
            <w:vAlign w:val="bottom"/>
          </w:tcPr>
          <w:p w14:paraId="6448D1E6" w14:textId="77777777" w:rsidR="00A85B97" w:rsidRPr="00345AA4" w:rsidRDefault="00A85B97" w:rsidP="00A85B97">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Allowance for doubtful accounts (PAPC)</w:t>
            </w:r>
          </w:p>
        </w:tc>
        <w:tc>
          <w:tcPr>
            <w:tcW w:w="2160" w:type="dxa"/>
            <w:tcBorders>
              <w:top w:val="nil"/>
              <w:left w:val="nil"/>
              <w:bottom w:val="nil"/>
              <w:right w:val="nil"/>
            </w:tcBorders>
            <w:shd w:val="clear" w:color="auto" w:fill="auto"/>
            <w:noWrap/>
            <w:vAlign w:val="bottom"/>
          </w:tcPr>
          <w:p w14:paraId="58A95D1D" w14:textId="77777777" w:rsidR="00A85B97" w:rsidRPr="00345AA4" w:rsidRDefault="00A85B97" w:rsidP="00A85B97">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106,446,667</w:t>
            </w:r>
          </w:p>
        </w:tc>
      </w:tr>
      <w:tr w:rsidR="00345AA4" w:rsidRPr="00345AA4" w14:paraId="2F56AF51" w14:textId="77777777" w:rsidTr="00FC0CFB">
        <w:trPr>
          <w:trHeight w:val="80"/>
        </w:trPr>
        <w:tc>
          <w:tcPr>
            <w:tcW w:w="5557" w:type="dxa"/>
            <w:tcBorders>
              <w:top w:val="nil"/>
              <w:left w:val="nil"/>
              <w:bottom w:val="nil"/>
              <w:right w:val="nil"/>
            </w:tcBorders>
            <w:shd w:val="clear" w:color="auto" w:fill="auto"/>
            <w:noWrap/>
            <w:vAlign w:val="bottom"/>
          </w:tcPr>
          <w:p w14:paraId="08E7B25A" w14:textId="77777777" w:rsidR="00A85B97" w:rsidRPr="00345AA4" w:rsidRDefault="00A85B97" w:rsidP="00A85B97">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Allowance for doubtful accounts (AR, others)</w:t>
            </w:r>
          </w:p>
        </w:tc>
        <w:tc>
          <w:tcPr>
            <w:tcW w:w="2160" w:type="dxa"/>
            <w:tcBorders>
              <w:top w:val="nil"/>
              <w:left w:val="nil"/>
              <w:bottom w:val="nil"/>
              <w:right w:val="nil"/>
            </w:tcBorders>
            <w:shd w:val="clear" w:color="auto" w:fill="auto"/>
            <w:noWrap/>
            <w:vAlign w:val="bottom"/>
          </w:tcPr>
          <w:p w14:paraId="3BB1CEC8" w14:textId="77777777" w:rsidR="00A85B97" w:rsidRPr="00345AA4" w:rsidRDefault="00A85B97" w:rsidP="00A85B97">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68,749,620</w:t>
            </w:r>
          </w:p>
        </w:tc>
      </w:tr>
      <w:tr w:rsidR="00345AA4" w:rsidRPr="00345AA4" w14:paraId="774F4088" w14:textId="77777777" w:rsidTr="00FC0CFB">
        <w:trPr>
          <w:trHeight w:val="80"/>
        </w:trPr>
        <w:tc>
          <w:tcPr>
            <w:tcW w:w="5557" w:type="dxa"/>
            <w:tcBorders>
              <w:top w:val="nil"/>
              <w:left w:val="nil"/>
              <w:bottom w:val="nil"/>
              <w:right w:val="nil"/>
            </w:tcBorders>
            <w:shd w:val="clear" w:color="auto" w:fill="auto"/>
            <w:noWrap/>
            <w:vAlign w:val="bottom"/>
          </w:tcPr>
          <w:p w14:paraId="2B90760B" w14:textId="77777777" w:rsidR="00A85B97" w:rsidRPr="00345AA4" w:rsidRDefault="00A85B97" w:rsidP="00A85B97">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Allowance for doubtful accounts (lending)</w:t>
            </w:r>
          </w:p>
        </w:tc>
        <w:tc>
          <w:tcPr>
            <w:tcW w:w="2160" w:type="dxa"/>
            <w:tcBorders>
              <w:top w:val="nil"/>
              <w:left w:val="nil"/>
              <w:bottom w:val="nil"/>
              <w:right w:val="nil"/>
            </w:tcBorders>
            <w:shd w:val="clear" w:color="auto" w:fill="auto"/>
            <w:noWrap/>
            <w:vAlign w:val="bottom"/>
          </w:tcPr>
          <w:p w14:paraId="600D3FA3" w14:textId="77777777" w:rsidR="00A85B97" w:rsidRPr="00345AA4" w:rsidRDefault="00A85B97" w:rsidP="00A85B97">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53,672,091</w:t>
            </w:r>
          </w:p>
        </w:tc>
      </w:tr>
      <w:tr w:rsidR="00345AA4" w:rsidRPr="00345AA4" w14:paraId="3291BA72" w14:textId="77777777" w:rsidTr="00FC0CFB">
        <w:trPr>
          <w:trHeight w:val="80"/>
        </w:trPr>
        <w:tc>
          <w:tcPr>
            <w:tcW w:w="5557" w:type="dxa"/>
            <w:tcBorders>
              <w:top w:val="nil"/>
              <w:left w:val="nil"/>
              <w:bottom w:val="nil"/>
              <w:right w:val="nil"/>
            </w:tcBorders>
            <w:shd w:val="clear" w:color="auto" w:fill="auto"/>
            <w:noWrap/>
            <w:vAlign w:val="bottom"/>
          </w:tcPr>
          <w:p w14:paraId="366B85F6" w14:textId="77777777" w:rsidR="00CE0C33" w:rsidRPr="00345AA4" w:rsidRDefault="00CE0C33" w:rsidP="00CE0C33">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Allowance</w:t>
            </w:r>
            <w:r w:rsidR="00B8436C" w:rsidRPr="00345AA4">
              <w:rPr>
                <w:rFonts w:ascii="Arial" w:eastAsia="Times New Roman" w:hAnsi="Arial" w:cs="Arial"/>
                <w:color w:val="000000" w:themeColor="text1"/>
                <w:sz w:val="20"/>
                <w:szCs w:val="20"/>
              </w:rPr>
              <w:t xml:space="preserve"> for doubtful accounts (ICRs - R</w:t>
            </w:r>
            <w:r w:rsidRPr="00345AA4">
              <w:rPr>
                <w:rFonts w:ascii="Arial" w:eastAsia="Times New Roman" w:hAnsi="Arial" w:cs="Arial"/>
                <w:color w:val="000000" w:themeColor="text1"/>
                <w:sz w:val="20"/>
                <w:szCs w:val="20"/>
              </w:rPr>
              <w:t>iviera)</w:t>
            </w:r>
          </w:p>
        </w:tc>
        <w:tc>
          <w:tcPr>
            <w:tcW w:w="2160" w:type="dxa"/>
            <w:tcBorders>
              <w:top w:val="nil"/>
              <w:left w:val="nil"/>
              <w:bottom w:val="nil"/>
              <w:right w:val="nil"/>
            </w:tcBorders>
            <w:shd w:val="clear" w:color="auto" w:fill="auto"/>
            <w:noWrap/>
            <w:vAlign w:val="bottom"/>
          </w:tcPr>
          <w:p w14:paraId="55FEFF37" w14:textId="77777777" w:rsidR="00CE0C33" w:rsidRPr="00345AA4" w:rsidRDefault="00CE0C33" w:rsidP="00CE0C33">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33,327,569</w:t>
            </w:r>
          </w:p>
        </w:tc>
      </w:tr>
      <w:tr w:rsidR="00345AA4" w:rsidRPr="00345AA4" w14:paraId="6F9260AF" w14:textId="77777777" w:rsidTr="00FC0CFB">
        <w:trPr>
          <w:trHeight w:val="80"/>
        </w:trPr>
        <w:tc>
          <w:tcPr>
            <w:tcW w:w="5557" w:type="dxa"/>
            <w:tcBorders>
              <w:top w:val="nil"/>
              <w:left w:val="nil"/>
              <w:bottom w:val="nil"/>
              <w:right w:val="nil"/>
            </w:tcBorders>
            <w:shd w:val="clear" w:color="auto" w:fill="auto"/>
            <w:noWrap/>
            <w:vAlign w:val="bottom"/>
          </w:tcPr>
          <w:p w14:paraId="1BAA7C9C" w14:textId="77777777" w:rsidR="00CE0C33" w:rsidRPr="00345AA4" w:rsidRDefault="00CE0C33" w:rsidP="00CE0C33">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AR non trade</w:t>
            </w:r>
          </w:p>
        </w:tc>
        <w:tc>
          <w:tcPr>
            <w:tcW w:w="2160" w:type="dxa"/>
            <w:tcBorders>
              <w:top w:val="nil"/>
              <w:left w:val="nil"/>
              <w:bottom w:val="nil"/>
              <w:right w:val="nil"/>
            </w:tcBorders>
            <w:shd w:val="clear" w:color="auto" w:fill="auto"/>
            <w:noWrap/>
            <w:vAlign w:val="bottom"/>
          </w:tcPr>
          <w:p w14:paraId="767B344D" w14:textId="77777777" w:rsidR="00CE0C33" w:rsidRPr="00345AA4" w:rsidRDefault="00CE0C33" w:rsidP="00CE0C33">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32,726,559 </w:t>
            </w:r>
          </w:p>
        </w:tc>
      </w:tr>
      <w:tr w:rsidR="00345AA4" w:rsidRPr="00345AA4" w14:paraId="71D46FBD" w14:textId="77777777" w:rsidTr="00FC0CFB">
        <w:trPr>
          <w:trHeight w:val="80"/>
        </w:trPr>
        <w:tc>
          <w:tcPr>
            <w:tcW w:w="5557" w:type="dxa"/>
            <w:tcBorders>
              <w:top w:val="nil"/>
              <w:left w:val="nil"/>
              <w:bottom w:val="nil"/>
              <w:right w:val="nil"/>
            </w:tcBorders>
            <w:shd w:val="clear" w:color="auto" w:fill="auto"/>
            <w:noWrap/>
            <w:vAlign w:val="bottom"/>
          </w:tcPr>
          <w:p w14:paraId="5D941D5F" w14:textId="77777777" w:rsidR="00CE0C33" w:rsidRPr="00345AA4" w:rsidRDefault="00CE0C33" w:rsidP="00CE0C33">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Allowance</w:t>
            </w:r>
            <w:r w:rsidR="00B8436C" w:rsidRPr="00345AA4">
              <w:rPr>
                <w:rFonts w:ascii="Arial" w:eastAsia="Times New Roman" w:hAnsi="Arial" w:cs="Arial"/>
                <w:color w:val="000000" w:themeColor="text1"/>
                <w:sz w:val="20"/>
                <w:szCs w:val="20"/>
              </w:rPr>
              <w:t xml:space="preserve"> for doubtful accounts (ICRs - V</w:t>
            </w:r>
            <w:r w:rsidR="00770325" w:rsidRPr="00345AA4">
              <w:rPr>
                <w:rFonts w:ascii="Arial" w:eastAsia="Times New Roman" w:hAnsi="Arial" w:cs="Arial"/>
                <w:color w:val="000000" w:themeColor="text1"/>
                <w:sz w:val="20"/>
                <w:szCs w:val="20"/>
              </w:rPr>
              <w:t>illage E</w:t>
            </w:r>
            <w:r w:rsidRPr="00345AA4">
              <w:rPr>
                <w:rFonts w:ascii="Arial" w:eastAsia="Times New Roman" w:hAnsi="Arial" w:cs="Arial"/>
                <w:color w:val="000000" w:themeColor="text1"/>
                <w:sz w:val="20"/>
                <w:szCs w:val="20"/>
              </w:rPr>
              <w:t>ast III)</w:t>
            </w:r>
          </w:p>
        </w:tc>
        <w:tc>
          <w:tcPr>
            <w:tcW w:w="2160" w:type="dxa"/>
            <w:tcBorders>
              <w:top w:val="nil"/>
              <w:left w:val="nil"/>
              <w:bottom w:val="nil"/>
              <w:right w:val="nil"/>
            </w:tcBorders>
            <w:shd w:val="clear" w:color="auto" w:fill="auto"/>
            <w:noWrap/>
            <w:vAlign w:val="bottom"/>
          </w:tcPr>
          <w:p w14:paraId="1637B2D6" w14:textId="77777777" w:rsidR="00CE0C33" w:rsidRPr="00345AA4" w:rsidRDefault="00CE0C33" w:rsidP="00CE0C33">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25,888,443</w:t>
            </w:r>
          </w:p>
        </w:tc>
      </w:tr>
      <w:tr w:rsidR="00345AA4" w:rsidRPr="00345AA4" w14:paraId="6878390F" w14:textId="77777777" w:rsidTr="00FC0CFB">
        <w:trPr>
          <w:trHeight w:val="80"/>
        </w:trPr>
        <w:tc>
          <w:tcPr>
            <w:tcW w:w="5557" w:type="dxa"/>
            <w:tcBorders>
              <w:top w:val="nil"/>
              <w:left w:val="nil"/>
              <w:bottom w:val="nil"/>
              <w:right w:val="nil"/>
            </w:tcBorders>
            <w:shd w:val="clear" w:color="auto" w:fill="auto"/>
            <w:noWrap/>
            <w:vAlign w:val="bottom"/>
          </w:tcPr>
          <w:p w14:paraId="7DCFA81B" w14:textId="77777777" w:rsidR="00CE0C33" w:rsidRPr="00345AA4" w:rsidRDefault="00CE0C33" w:rsidP="00CE0C33">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Due from JV office/partner</w:t>
            </w:r>
          </w:p>
        </w:tc>
        <w:tc>
          <w:tcPr>
            <w:tcW w:w="2160" w:type="dxa"/>
            <w:tcBorders>
              <w:top w:val="nil"/>
              <w:left w:val="nil"/>
              <w:bottom w:val="nil"/>
              <w:right w:val="nil"/>
            </w:tcBorders>
            <w:shd w:val="clear" w:color="auto" w:fill="auto"/>
            <w:noWrap/>
            <w:vAlign w:val="bottom"/>
          </w:tcPr>
          <w:p w14:paraId="22711D27" w14:textId="04B93C16" w:rsidR="00CE0C33" w:rsidRPr="00345AA4" w:rsidRDefault="00CE0C33" w:rsidP="00CE0C33">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w:t>
            </w:r>
            <w:r w:rsidR="006D5758" w:rsidRPr="00345AA4">
              <w:rPr>
                <w:rFonts w:ascii="Arial" w:eastAsia="Times New Roman" w:hAnsi="Arial" w:cs="Arial"/>
                <w:color w:val="000000" w:themeColor="text1"/>
                <w:sz w:val="20"/>
                <w:szCs w:val="20"/>
              </w:rPr>
              <w:t>18,925,586</w:t>
            </w:r>
            <w:r w:rsidRPr="00345AA4">
              <w:rPr>
                <w:rFonts w:ascii="Arial" w:eastAsia="Times New Roman" w:hAnsi="Arial" w:cs="Arial"/>
                <w:color w:val="000000" w:themeColor="text1"/>
                <w:sz w:val="20"/>
                <w:szCs w:val="20"/>
              </w:rPr>
              <w:t xml:space="preserve"> </w:t>
            </w:r>
          </w:p>
        </w:tc>
      </w:tr>
      <w:tr w:rsidR="00345AA4" w:rsidRPr="00345AA4" w14:paraId="3385CD5E" w14:textId="77777777" w:rsidTr="00FC0CFB">
        <w:trPr>
          <w:trHeight w:val="80"/>
        </w:trPr>
        <w:tc>
          <w:tcPr>
            <w:tcW w:w="5557" w:type="dxa"/>
            <w:tcBorders>
              <w:top w:val="nil"/>
              <w:left w:val="nil"/>
              <w:bottom w:val="nil"/>
              <w:right w:val="nil"/>
            </w:tcBorders>
            <w:shd w:val="clear" w:color="auto" w:fill="auto"/>
            <w:noWrap/>
            <w:vAlign w:val="bottom"/>
          </w:tcPr>
          <w:p w14:paraId="6731D0C2" w14:textId="77777777" w:rsidR="00CE0C33" w:rsidRPr="00345AA4" w:rsidRDefault="00CE0C33" w:rsidP="00CE0C33">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Prepaid tax</w:t>
            </w:r>
          </w:p>
        </w:tc>
        <w:tc>
          <w:tcPr>
            <w:tcW w:w="2160" w:type="dxa"/>
            <w:tcBorders>
              <w:top w:val="nil"/>
              <w:left w:val="nil"/>
              <w:bottom w:val="nil"/>
              <w:right w:val="nil"/>
            </w:tcBorders>
            <w:shd w:val="clear" w:color="auto" w:fill="auto"/>
            <w:noWrap/>
            <w:vAlign w:val="bottom"/>
          </w:tcPr>
          <w:p w14:paraId="7D229A49" w14:textId="77777777" w:rsidR="00CE0C33" w:rsidRPr="00345AA4" w:rsidRDefault="00CE0C33" w:rsidP="00CE0C33">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16,803,259 </w:t>
            </w:r>
          </w:p>
        </w:tc>
      </w:tr>
      <w:tr w:rsidR="00345AA4" w:rsidRPr="00345AA4" w14:paraId="2BFDBB35" w14:textId="77777777" w:rsidTr="00FC0CFB">
        <w:trPr>
          <w:trHeight w:val="80"/>
        </w:trPr>
        <w:tc>
          <w:tcPr>
            <w:tcW w:w="5557" w:type="dxa"/>
            <w:tcBorders>
              <w:top w:val="nil"/>
              <w:left w:val="nil"/>
              <w:bottom w:val="nil"/>
              <w:right w:val="nil"/>
            </w:tcBorders>
            <w:shd w:val="clear" w:color="auto" w:fill="auto"/>
            <w:noWrap/>
            <w:vAlign w:val="bottom"/>
          </w:tcPr>
          <w:p w14:paraId="55205834" w14:textId="0826EB85" w:rsidR="00975DCC" w:rsidRPr="00345AA4" w:rsidRDefault="00975DCC" w:rsidP="00CE0C33">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(Forward)</w:t>
            </w:r>
          </w:p>
          <w:p w14:paraId="2F2469E3" w14:textId="58E144FC" w:rsidR="00CE0C33" w:rsidRPr="00345AA4" w:rsidRDefault="00CE0C33" w:rsidP="00CE0C33">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lastRenderedPageBreak/>
              <w:t>Prepaid commissions</w:t>
            </w:r>
          </w:p>
        </w:tc>
        <w:tc>
          <w:tcPr>
            <w:tcW w:w="2160" w:type="dxa"/>
            <w:tcBorders>
              <w:top w:val="nil"/>
              <w:left w:val="nil"/>
              <w:bottom w:val="nil"/>
              <w:right w:val="nil"/>
            </w:tcBorders>
            <w:shd w:val="clear" w:color="auto" w:fill="auto"/>
            <w:noWrap/>
            <w:vAlign w:val="bottom"/>
          </w:tcPr>
          <w:p w14:paraId="09C6DF88" w14:textId="77777777" w:rsidR="00975DCC" w:rsidRPr="00345AA4" w:rsidRDefault="00CE0C33" w:rsidP="00CE0C33">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lastRenderedPageBreak/>
              <w:t xml:space="preserve">        </w:t>
            </w:r>
          </w:p>
          <w:p w14:paraId="22FF0208" w14:textId="2AEAB8F9" w:rsidR="00CE0C33" w:rsidRPr="00345AA4" w:rsidRDefault="006D5758" w:rsidP="00CE0C33">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lastRenderedPageBreak/>
              <w:t>10,324,668</w:t>
            </w:r>
            <w:r w:rsidR="00CE0C33" w:rsidRPr="00345AA4">
              <w:rPr>
                <w:rFonts w:ascii="Arial" w:eastAsia="Times New Roman" w:hAnsi="Arial" w:cs="Arial"/>
                <w:color w:val="000000" w:themeColor="text1"/>
                <w:sz w:val="20"/>
                <w:szCs w:val="20"/>
              </w:rPr>
              <w:t xml:space="preserve"> </w:t>
            </w:r>
          </w:p>
        </w:tc>
      </w:tr>
      <w:tr w:rsidR="00345AA4" w:rsidRPr="00345AA4" w14:paraId="3CEC161B" w14:textId="77777777" w:rsidTr="00FC0CFB">
        <w:trPr>
          <w:trHeight w:val="80"/>
        </w:trPr>
        <w:tc>
          <w:tcPr>
            <w:tcW w:w="5557" w:type="dxa"/>
            <w:tcBorders>
              <w:top w:val="nil"/>
              <w:left w:val="nil"/>
              <w:bottom w:val="nil"/>
              <w:right w:val="nil"/>
            </w:tcBorders>
            <w:shd w:val="clear" w:color="auto" w:fill="auto"/>
            <w:noWrap/>
            <w:vAlign w:val="bottom"/>
          </w:tcPr>
          <w:p w14:paraId="4003B2FA" w14:textId="77777777" w:rsidR="00CE0C33" w:rsidRPr="00345AA4" w:rsidRDefault="00CE0C33" w:rsidP="00CE0C33">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lastRenderedPageBreak/>
              <w:t>Allowance</w:t>
            </w:r>
            <w:r w:rsidR="0000776F" w:rsidRPr="00345AA4">
              <w:rPr>
                <w:rFonts w:ascii="Arial" w:eastAsia="Times New Roman" w:hAnsi="Arial" w:cs="Arial"/>
                <w:color w:val="000000" w:themeColor="text1"/>
                <w:sz w:val="20"/>
                <w:szCs w:val="20"/>
              </w:rPr>
              <w:t xml:space="preserve"> for doubtful accounts (ICRs - O</w:t>
            </w:r>
            <w:r w:rsidRPr="00345AA4">
              <w:rPr>
                <w:rFonts w:ascii="Arial" w:eastAsia="Times New Roman" w:hAnsi="Arial" w:cs="Arial"/>
                <w:color w:val="000000" w:themeColor="text1"/>
                <w:sz w:val="20"/>
                <w:szCs w:val="20"/>
              </w:rPr>
              <w:t>rchard)</w:t>
            </w:r>
          </w:p>
        </w:tc>
        <w:tc>
          <w:tcPr>
            <w:tcW w:w="2160" w:type="dxa"/>
            <w:tcBorders>
              <w:top w:val="nil"/>
              <w:left w:val="nil"/>
              <w:bottom w:val="nil"/>
              <w:right w:val="nil"/>
            </w:tcBorders>
            <w:shd w:val="clear" w:color="auto" w:fill="auto"/>
            <w:noWrap/>
            <w:vAlign w:val="bottom"/>
          </w:tcPr>
          <w:p w14:paraId="68F5E8AD" w14:textId="77777777" w:rsidR="00CE0C33" w:rsidRPr="00345AA4" w:rsidRDefault="00CE0C33" w:rsidP="00CE0C33">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7,866,488</w:t>
            </w:r>
          </w:p>
        </w:tc>
      </w:tr>
      <w:tr w:rsidR="00345AA4" w:rsidRPr="00345AA4" w14:paraId="13D6091D" w14:textId="77777777" w:rsidTr="00FC0CFB">
        <w:trPr>
          <w:trHeight w:val="80"/>
        </w:trPr>
        <w:tc>
          <w:tcPr>
            <w:tcW w:w="5557" w:type="dxa"/>
            <w:tcBorders>
              <w:top w:val="nil"/>
              <w:left w:val="nil"/>
              <w:bottom w:val="nil"/>
              <w:right w:val="nil"/>
            </w:tcBorders>
            <w:shd w:val="clear" w:color="auto" w:fill="auto"/>
            <w:noWrap/>
            <w:vAlign w:val="bottom"/>
          </w:tcPr>
          <w:p w14:paraId="4818DACE" w14:textId="77777777" w:rsidR="00CE0C33" w:rsidRPr="00345AA4" w:rsidRDefault="00CE0C33" w:rsidP="00CE0C33">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Allowance for doubtful accounts (ICR)</w:t>
            </w:r>
          </w:p>
        </w:tc>
        <w:tc>
          <w:tcPr>
            <w:tcW w:w="2160" w:type="dxa"/>
            <w:tcBorders>
              <w:top w:val="nil"/>
              <w:left w:val="nil"/>
              <w:bottom w:val="nil"/>
              <w:right w:val="nil"/>
            </w:tcBorders>
            <w:shd w:val="clear" w:color="auto" w:fill="auto"/>
            <w:noWrap/>
            <w:vAlign w:val="bottom"/>
          </w:tcPr>
          <w:p w14:paraId="7C8EF83C" w14:textId="77777777" w:rsidR="00CE0C33" w:rsidRPr="00345AA4" w:rsidRDefault="00CE0C33" w:rsidP="00CE0C33">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6,741,126</w:t>
            </w:r>
          </w:p>
        </w:tc>
      </w:tr>
      <w:tr w:rsidR="00345AA4" w:rsidRPr="00345AA4" w14:paraId="538C309D" w14:textId="77777777" w:rsidTr="00FC0CFB">
        <w:trPr>
          <w:trHeight w:val="80"/>
        </w:trPr>
        <w:tc>
          <w:tcPr>
            <w:tcW w:w="5557" w:type="dxa"/>
            <w:tcBorders>
              <w:top w:val="nil"/>
              <w:left w:val="nil"/>
              <w:bottom w:val="nil"/>
              <w:right w:val="nil"/>
            </w:tcBorders>
            <w:shd w:val="clear" w:color="auto" w:fill="auto"/>
            <w:noWrap/>
            <w:vAlign w:val="bottom"/>
          </w:tcPr>
          <w:p w14:paraId="152865FE" w14:textId="77777777" w:rsidR="00CE0C33" w:rsidRPr="00345AA4" w:rsidRDefault="00CE0C33" w:rsidP="00CE0C33">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Accrued interest income, others</w:t>
            </w:r>
          </w:p>
        </w:tc>
        <w:tc>
          <w:tcPr>
            <w:tcW w:w="2160" w:type="dxa"/>
            <w:tcBorders>
              <w:top w:val="nil"/>
              <w:left w:val="nil"/>
              <w:bottom w:val="nil"/>
              <w:right w:val="nil"/>
            </w:tcBorders>
            <w:shd w:val="clear" w:color="auto" w:fill="auto"/>
            <w:noWrap/>
            <w:vAlign w:val="bottom"/>
          </w:tcPr>
          <w:p w14:paraId="49DD8D8D" w14:textId="77777777" w:rsidR="00CE0C33" w:rsidRPr="00345AA4" w:rsidRDefault="00CE0C33" w:rsidP="00CE0C33">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6,164,636 </w:t>
            </w:r>
          </w:p>
        </w:tc>
      </w:tr>
      <w:tr w:rsidR="00345AA4" w:rsidRPr="00345AA4" w14:paraId="21A5755E" w14:textId="77777777" w:rsidTr="00FC0CFB">
        <w:trPr>
          <w:trHeight w:val="80"/>
        </w:trPr>
        <w:tc>
          <w:tcPr>
            <w:tcW w:w="5557" w:type="dxa"/>
            <w:tcBorders>
              <w:top w:val="nil"/>
              <w:left w:val="nil"/>
              <w:bottom w:val="nil"/>
              <w:right w:val="nil"/>
            </w:tcBorders>
            <w:shd w:val="clear" w:color="auto" w:fill="auto"/>
            <w:noWrap/>
            <w:vAlign w:val="bottom"/>
          </w:tcPr>
          <w:p w14:paraId="74A7B4CC" w14:textId="33FE2E71" w:rsidR="00F05AB7" w:rsidRPr="00345AA4" w:rsidRDefault="00F05AB7" w:rsidP="00F05AB7">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Employee salary loans</w:t>
            </w:r>
          </w:p>
        </w:tc>
        <w:tc>
          <w:tcPr>
            <w:tcW w:w="2160" w:type="dxa"/>
            <w:tcBorders>
              <w:top w:val="nil"/>
              <w:left w:val="nil"/>
              <w:bottom w:val="nil"/>
              <w:right w:val="nil"/>
            </w:tcBorders>
            <w:shd w:val="clear" w:color="auto" w:fill="auto"/>
            <w:noWrap/>
            <w:vAlign w:val="bottom"/>
          </w:tcPr>
          <w:p w14:paraId="60CFDEDC" w14:textId="3948754D" w:rsidR="00F05AB7" w:rsidRPr="00345AA4" w:rsidRDefault="00F05AB7" w:rsidP="00F05AB7">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5,892,902</w:t>
            </w:r>
          </w:p>
        </w:tc>
      </w:tr>
      <w:tr w:rsidR="00345AA4" w:rsidRPr="00345AA4" w14:paraId="12105697" w14:textId="77777777" w:rsidTr="00FC0CFB">
        <w:trPr>
          <w:trHeight w:val="80"/>
        </w:trPr>
        <w:tc>
          <w:tcPr>
            <w:tcW w:w="5557" w:type="dxa"/>
            <w:tcBorders>
              <w:top w:val="nil"/>
              <w:left w:val="nil"/>
              <w:bottom w:val="nil"/>
              <w:right w:val="nil"/>
            </w:tcBorders>
            <w:shd w:val="clear" w:color="auto" w:fill="auto"/>
            <w:noWrap/>
            <w:vAlign w:val="bottom"/>
          </w:tcPr>
          <w:p w14:paraId="4431E16F" w14:textId="77777777" w:rsidR="00F05AB7" w:rsidRPr="00345AA4" w:rsidRDefault="00F05AB7" w:rsidP="00F05AB7">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Allowance for doubtful accounts (AR, trade)</w:t>
            </w:r>
          </w:p>
        </w:tc>
        <w:tc>
          <w:tcPr>
            <w:tcW w:w="2160" w:type="dxa"/>
            <w:tcBorders>
              <w:top w:val="nil"/>
              <w:left w:val="nil"/>
              <w:bottom w:val="nil"/>
              <w:right w:val="nil"/>
            </w:tcBorders>
            <w:shd w:val="clear" w:color="auto" w:fill="auto"/>
            <w:noWrap/>
            <w:vAlign w:val="bottom"/>
          </w:tcPr>
          <w:p w14:paraId="48A23677" w14:textId="77777777" w:rsidR="00F05AB7" w:rsidRPr="00345AA4" w:rsidRDefault="00F05AB7" w:rsidP="00F05AB7">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5,130,003</w:t>
            </w:r>
          </w:p>
        </w:tc>
      </w:tr>
      <w:tr w:rsidR="00345AA4" w:rsidRPr="00345AA4" w14:paraId="6D6696B3" w14:textId="77777777" w:rsidTr="00FC0CFB">
        <w:trPr>
          <w:trHeight w:val="80"/>
        </w:trPr>
        <w:tc>
          <w:tcPr>
            <w:tcW w:w="5557" w:type="dxa"/>
            <w:tcBorders>
              <w:top w:val="nil"/>
              <w:left w:val="nil"/>
              <w:bottom w:val="nil"/>
              <w:right w:val="nil"/>
            </w:tcBorders>
            <w:shd w:val="clear" w:color="auto" w:fill="auto"/>
            <w:noWrap/>
            <w:vAlign w:val="bottom"/>
          </w:tcPr>
          <w:p w14:paraId="17D68CCA" w14:textId="77777777" w:rsidR="00F05AB7" w:rsidRPr="00345AA4" w:rsidRDefault="00F05AB7" w:rsidP="00F05AB7">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Accrued interest income on ICRs</w:t>
            </w:r>
          </w:p>
        </w:tc>
        <w:tc>
          <w:tcPr>
            <w:tcW w:w="2160" w:type="dxa"/>
            <w:tcBorders>
              <w:top w:val="nil"/>
              <w:left w:val="nil"/>
              <w:bottom w:val="nil"/>
              <w:right w:val="nil"/>
            </w:tcBorders>
            <w:shd w:val="clear" w:color="auto" w:fill="auto"/>
            <w:noWrap/>
            <w:vAlign w:val="bottom"/>
          </w:tcPr>
          <w:p w14:paraId="1CE3E220" w14:textId="77777777" w:rsidR="00F05AB7" w:rsidRPr="00345AA4" w:rsidRDefault="00F05AB7" w:rsidP="00F05AB7">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4,962,443 </w:t>
            </w:r>
          </w:p>
        </w:tc>
      </w:tr>
      <w:tr w:rsidR="00345AA4" w:rsidRPr="00345AA4" w14:paraId="1FB4425D" w14:textId="77777777" w:rsidTr="00FC0CFB">
        <w:trPr>
          <w:trHeight w:val="80"/>
        </w:trPr>
        <w:tc>
          <w:tcPr>
            <w:tcW w:w="5557" w:type="dxa"/>
            <w:tcBorders>
              <w:top w:val="nil"/>
              <w:left w:val="nil"/>
              <w:bottom w:val="nil"/>
              <w:right w:val="nil"/>
            </w:tcBorders>
            <w:shd w:val="clear" w:color="auto" w:fill="auto"/>
            <w:noWrap/>
            <w:vAlign w:val="bottom"/>
          </w:tcPr>
          <w:p w14:paraId="13B05042" w14:textId="77777777" w:rsidR="00F05AB7" w:rsidRPr="00345AA4" w:rsidRDefault="00F05AB7" w:rsidP="00F05AB7">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AR trade, real estate buyers</w:t>
            </w:r>
          </w:p>
        </w:tc>
        <w:tc>
          <w:tcPr>
            <w:tcW w:w="2160" w:type="dxa"/>
            <w:tcBorders>
              <w:top w:val="nil"/>
              <w:left w:val="nil"/>
              <w:bottom w:val="nil"/>
              <w:right w:val="nil"/>
            </w:tcBorders>
            <w:shd w:val="clear" w:color="auto" w:fill="auto"/>
            <w:noWrap/>
            <w:vAlign w:val="bottom"/>
          </w:tcPr>
          <w:p w14:paraId="6E03B7EF" w14:textId="77777777" w:rsidR="00F05AB7" w:rsidRPr="00345AA4" w:rsidRDefault="00F05AB7" w:rsidP="00F05AB7">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3,625,322 </w:t>
            </w:r>
          </w:p>
        </w:tc>
      </w:tr>
      <w:tr w:rsidR="00345AA4" w:rsidRPr="00345AA4" w14:paraId="00F5995E" w14:textId="77777777" w:rsidTr="00FC0CFB">
        <w:trPr>
          <w:trHeight w:val="80"/>
        </w:trPr>
        <w:tc>
          <w:tcPr>
            <w:tcW w:w="5557" w:type="dxa"/>
            <w:tcBorders>
              <w:top w:val="nil"/>
              <w:left w:val="nil"/>
              <w:bottom w:val="nil"/>
              <w:right w:val="nil"/>
            </w:tcBorders>
            <w:shd w:val="clear" w:color="auto" w:fill="auto"/>
            <w:noWrap/>
            <w:vAlign w:val="bottom"/>
          </w:tcPr>
          <w:p w14:paraId="6162AB0C" w14:textId="77777777" w:rsidR="00F05AB7" w:rsidRPr="00345AA4" w:rsidRDefault="00F05AB7" w:rsidP="00F05AB7">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AR JV memorial</w:t>
            </w:r>
          </w:p>
        </w:tc>
        <w:tc>
          <w:tcPr>
            <w:tcW w:w="2160" w:type="dxa"/>
            <w:tcBorders>
              <w:top w:val="nil"/>
              <w:left w:val="nil"/>
              <w:bottom w:val="nil"/>
              <w:right w:val="nil"/>
            </w:tcBorders>
            <w:shd w:val="clear" w:color="auto" w:fill="auto"/>
            <w:noWrap/>
            <w:vAlign w:val="bottom"/>
          </w:tcPr>
          <w:p w14:paraId="2148CD38" w14:textId="77777777" w:rsidR="00F05AB7" w:rsidRPr="00345AA4" w:rsidRDefault="00F05AB7" w:rsidP="00F05AB7">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3,610,380 </w:t>
            </w:r>
          </w:p>
        </w:tc>
      </w:tr>
      <w:tr w:rsidR="00345AA4" w:rsidRPr="00345AA4" w14:paraId="544E3564" w14:textId="77777777" w:rsidTr="00FC0CFB">
        <w:trPr>
          <w:trHeight w:val="80"/>
        </w:trPr>
        <w:tc>
          <w:tcPr>
            <w:tcW w:w="5557" w:type="dxa"/>
            <w:tcBorders>
              <w:top w:val="nil"/>
              <w:left w:val="nil"/>
              <w:bottom w:val="nil"/>
              <w:right w:val="nil"/>
            </w:tcBorders>
            <w:shd w:val="clear" w:color="auto" w:fill="auto"/>
            <w:noWrap/>
            <w:vAlign w:val="bottom"/>
          </w:tcPr>
          <w:p w14:paraId="684F65FA" w14:textId="3F2C23E1"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Past due car loans</w:t>
            </w:r>
          </w:p>
        </w:tc>
        <w:tc>
          <w:tcPr>
            <w:tcW w:w="2160" w:type="dxa"/>
            <w:tcBorders>
              <w:top w:val="nil"/>
              <w:left w:val="nil"/>
              <w:bottom w:val="nil"/>
              <w:right w:val="nil"/>
            </w:tcBorders>
            <w:shd w:val="clear" w:color="auto" w:fill="auto"/>
            <w:noWrap/>
            <w:vAlign w:val="bottom"/>
          </w:tcPr>
          <w:p w14:paraId="49080901" w14:textId="1B6947E8"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3,116,997</w:t>
            </w:r>
          </w:p>
        </w:tc>
      </w:tr>
      <w:tr w:rsidR="00345AA4" w:rsidRPr="00345AA4" w14:paraId="612EE248" w14:textId="77777777" w:rsidTr="00FC0CFB">
        <w:trPr>
          <w:trHeight w:val="80"/>
        </w:trPr>
        <w:tc>
          <w:tcPr>
            <w:tcW w:w="5557" w:type="dxa"/>
            <w:tcBorders>
              <w:top w:val="nil"/>
              <w:left w:val="nil"/>
              <w:bottom w:val="nil"/>
              <w:right w:val="nil"/>
            </w:tcBorders>
            <w:shd w:val="clear" w:color="auto" w:fill="auto"/>
            <w:noWrap/>
            <w:vAlign w:val="bottom"/>
          </w:tcPr>
          <w:p w14:paraId="69094B37"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AR trade, 2nd REM</w:t>
            </w:r>
          </w:p>
        </w:tc>
        <w:tc>
          <w:tcPr>
            <w:tcW w:w="2160" w:type="dxa"/>
            <w:tcBorders>
              <w:top w:val="nil"/>
              <w:left w:val="nil"/>
              <w:bottom w:val="nil"/>
              <w:right w:val="nil"/>
            </w:tcBorders>
            <w:shd w:val="clear" w:color="auto" w:fill="auto"/>
            <w:noWrap/>
            <w:vAlign w:val="bottom"/>
          </w:tcPr>
          <w:p w14:paraId="2497734C" w14:textId="77777777"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2,888,575 </w:t>
            </w:r>
          </w:p>
        </w:tc>
      </w:tr>
      <w:tr w:rsidR="00345AA4" w:rsidRPr="00345AA4" w14:paraId="266C4D63" w14:textId="77777777" w:rsidTr="00FC0CFB">
        <w:trPr>
          <w:trHeight w:val="80"/>
        </w:trPr>
        <w:tc>
          <w:tcPr>
            <w:tcW w:w="5557" w:type="dxa"/>
            <w:tcBorders>
              <w:top w:val="nil"/>
              <w:left w:val="nil"/>
              <w:bottom w:val="nil"/>
              <w:right w:val="nil"/>
            </w:tcBorders>
            <w:shd w:val="clear" w:color="auto" w:fill="auto"/>
            <w:noWrap/>
            <w:vAlign w:val="bottom"/>
          </w:tcPr>
          <w:p w14:paraId="5EABBC6C"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AR trade, others- beginning</w:t>
            </w:r>
          </w:p>
        </w:tc>
        <w:tc>
          <w:tcPr>
            <w:tcW w:w="2160" w:type="dxa"/>
            <w:tcBorders>
              <w:top w:val="nil"/>
              <w:left w:val="nil"/>
              <w:bottom w:val="nil"/>
              <w:right w:val="nil"/>
            </w:tcBorders>
            <w:shd w:val="clear" w:color="auto" w:fill="auto"/>
            <w:noWrap/>
            <w:vAlign w:val="bottom"/>
          </w:tcPr>
          <w:p w14:paraId="7D685405" w14:textId="77777777"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2,746,190 </w:t>
            </w:r>
          </w:p>
        </w:tc>
      </w:tr>
      <w:tr w:rsidR="00345AA4" w:rsidRPr="00345AA4" w14:paraId="13D0A10C" w14:textId="77777777" w:rsidTr="00FC0CFB">
        <w:trPr>
          <w:trHeight w:val="80"/>
        </w:trPr>
        <w:tc>
          <w:tcPr>
            <w:tcW w:w="5557" w:type="dxa"/>
            <w:tcBorders>
              <w:top w:val="nil"/>
              <w:left w:val="nil"/>
              <w:bottom w:val="nil"/>
              <w:right w:val="nil"/>
            </w:tcBorders>
            <w:shd w:val="clear" w:color="auto" w:fill="auto"/>
            <w:noWrap/>
            <w:vAlign w:val="bottom"/>
          </w:tcPr>
          <w:p w14:paraId="23E19553"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AR JV residential</w:t>
            </w:r>
          </w:p>
        </w:tc>
        <w:tc>
          <w:tcPr>
            <w:tcW w:w="2160" w:type="dxa"/>
            <w:tcBorders>
              <w:top w:val="nil"/>
              <w:left w:val="nil"/>
              <w:bottom w:val="nil"/>
              <w:right w:val="nil"/>
            </w:tcBorders>
            <w:shd w:val="clear" w:color="auto" w:fill="auto"/>
            <w:noWrap/>
            <w:vAlign w:val="bottom"/>
          </w:tcPr>
          <w:p w14:paraId="202A5A23" w14:textId="77777777"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1,603,480 </w:t>
            </w:r>
          </w:p>
        </w:tc>
      </w:tr>
      <w:tr w:rsidR="00345AA4" w:rsidRPr="00345AA4" w14:paraId="270F933C" w14:textId="77777777" w:rsidTr="00FC0CFB">
        <w:trPr>
          <w:trHeight w:val="80"/>
        </w:trPr>
        <w:tc>
          <w:tcPr>
            <w:tcW w:w="5557" w:type="dxa"/>
            <w:tcBorders>
              <w:top w:val="nil"/>
              <w:left w:val="nil"/>
              <w:bottom w:val="nil"/>
              <w:right w:val="nil"/>
            </w:tcBorders>
            <w:shd w:val="clear" w:color="auto" w:fill="auto"/>
            <w:noWrap/>
            <w:vAlign w:val="bottom"/>
          </w:tcPr>
          <w:p w14:paraId="7A1C9281" w14:textId="5E63918F"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Member commutation loan</w:t>
            </w:r>
          </w:p>
        </w:tc>
        <w:tc>
          <w:tcPr>
            <w:tcW w:w="2160" w:type="dxa"/>
            <w:tcBorders>
              <w:top w:val="nil"/>
              <w:left w:val="nil"/>
              <w:bottom w:val="nil"/>
              <w:right w:val="nil"/>
            </w:tcBorders>
            <w:shd w:val="clear" w:color="auto" w:fill="auto"/>
            <w:noWrap/>
            <w:vAlign w:val="bottom"/>
          </w:tcPr>
          <w:p w14:paraId="352D5480" w14:textId="2CD40739"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1,419,952</w:t>
            </w:r>
          </w:p>
        </w:tc>
      </w:tr>
      <w:tr w:rsidR="00345AA4" w:rsidRPr="00345AA4" w14:paraId="4BEA312E" w14:textId="77777777" w:rsidTr="00FC0CFB">
        <w:trPr>
          <w:trHeight w:val="80"/>
        </w:trPr>
        <w:tc>
          <w:tcPr>
            <w:tcW w:w="5557" w:type="dxa"/>
            <w:tcBorders>
              <w:top w:val="nil"/>
              <w:left w:val="nil"/>
              <w:bottom w:val="nil"/>
              <w:right w:val="nil"/>
            </w:tcBorders>
            <w:shd w:val="clear" w:color="auto" w:fill="auto"/>
            <w:noWrap/>
            <w:vAlign w:val="bottom"/>
          </w:tcPr>
          <w:p w14:paraId="02F40AB3" w14:textId="1DDE4153"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Past due other loans</w:t>
            </w:r>
          </w:p>
        </w:tc>
        <w:tc>
          <w:tcPr>
            <w:tcW w:w="2160" w:type="dxa"/>
            <w:tcBorders>
              <w:top w:val="nil"/>
              <w:left w:val="nil"/>
              <w:bottom w:val="nil"/>
              <w:right w:val="nil"/>
            </w:tcBorders>
            <w:shd w:val="clear" w:color="auto" w:fill="auto"/>
            <w:noWrap/>
            <w:vAlign w:val="bottom"/>
          </w:tcPr>
          <w:p w14:paraId="674B3982" w14:textId="727CD010"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1,092,346</w:t>
            </w:r>
          </w:p>
        </w:tc>
      </w:tr>
      <w:tr w:rsidR="00345AA4" w:rsidRPr="00345AA4" w14:paraId="4F64900A" w14:textId="77777777" w:rsidTr="00FC0CFB">
        <w:trPr>
          <w:trHeight w:val="80"/>
        </w:trPr>
        <w:tc>
          <w:tcPr>
            <w:tcW w:w="5557" w:type="dxa"/>
            <w:tcBorders>
              <w:top w:val="nil"/>
              <w:left w:val="nil"/>
              <w:bottom w:val="nil"/>
              <w:right w:val="nil"/>
            </w:tcBorders>
            <w:shd w:val="clear" w:color="auto" w:fill="auto"/>
            <w:noWrap/>
            <w:vAlign w:val="bottom"/>
          </w:tcPr>
          <w:p w14:paraId="45BF02E7"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Prepaid supplies &amp; materials</w:t>
            </w:r>
          </w:p>
        </w:tc>
        <w:tc>
          <w:tcPr>
            <w:tcW w:w="2160" w:type="dxa"/>
            <w:tcBorders>
              <w:top w:val="nil"/>
              <w:left w:val="nil"/>
              <w:bottom w:val="nil"/>
              <w:right w:val="nil"/>
            </w:tcBorders>
            <w:shd w:val="clear" w:color="auto" w:fill="auto"/>
            <w:noWrap/>
            <w:vAlign w:val="bottom"/>
          </w:tcPr>
          <w:p w14:paraId="4BDF44F0" w14:textId="30ACF517"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961,824 </w:t>
            </w:r>
          </w:p>
        </w:tc>
      </w:tr>
      <w:tr w:rsidR="00345AA4" w:rsidRPr="00345AA4" w14:paraId="48A85A8B" w14:textId="77777777" w:rsidTr="00FC0CFB">
        <w:trPr>
          <w:trHeight w:val="80"/>
        </w:trPr>
        <w:tc>
          <w:tcPr>
            <w:tcW w:w="5557" w:type="dxa"/>
            <w:tcBorders>
              <w:top w:val="nil"/>
              <w:left w:val="nil"/>
              <w:bottom w:val="nil"/>
              <w:right w:val="nil"/>
            </w:tcBorders>
            <w:shd w:val="clear" w:color="auto" w:fill="auto"/>
            <w:noWrap/>
            <w:vAlign w:val="bottom"/>
          </w:tcPr>
          <w:p w14:paraId="5FF6BC34"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Allowance for doubtful accounts (JMC Farms/</w:t>
            </w:r>
            <w:proofErr w:type="spellStart"/>
            <w:r w:rsidRPr="00345AA4">
              <w:rPr>
                <w:rFonts w:ascii="Arial" w:eastAsia="Times New Roman" w:hAnsi="Arial" w:cs="Arial"/>
                <w:color w:val="000000" w:themeColor="text1"/>
                <w:sz w:val="20"/>
                <w:szCs w:val="20"/>
              </w:rPr>
              <w:t>Globan</w:t>
            </w:r>
            <w:proofErr w:type="spellEnd"/>
            <w:r w:rsidRPr="00345AA4">
              <w:rPr>
                <w:rFonts w:ascii="Arial" w:eastAsia="Times New Roman" w:hAnsi="Arial" w:cs="Arial"/>
                <w:color w:val="000000" w:themeColor="text1"/>
                <w:sz w:val="20"/>
                <w:szCs w:val="20"/>
              </w:rPr>
              <w:t>)</w:t>
            </w:r>
          </w:p>
        </w:tc>
        <w:tc>
          <w:tcPr>
            <w:tcW w:w="2160" w:type="dxa"/>
            <w:tcBorders>
              <w:top w:val="nil"/>
              <w:left w:val="nil"/>
              <w:bottom w:val="nil"/>
              <w:right w:val="nil"/>
            </w:tcBorders>
            <w:shd w:val="clear" w:color="auto" w:fill="auto"/>
            <w:noWrap/>
            <w:vAlign w:val="bottom"/>
          </w:tcPr>
          <w:p w14:paraId="179EF84D" w14:textId="77777777"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533,106</w:t>
            </w:r>
          </w:p>
        </w:tc>
      </w:tr>
      <w:tr w:rsidR="00345AA4" w:rsidRPr="00345AA4" w14:paraId="358874F2" w14:textId="77777777" w:rsidTr="00975DCC">
        <w:trPr>
          <w:trHeight w:val="80"/>
        </w:trPr>
        <w:tc>
          <w:tcPr>
            <w:tcW w:w="5557" w:type="dxa"/>
            <w:tcBorders>
              <w:top w:val="nil"/>
              <w:left w:val="nil"/>
              <w:bottom w:val="nil"/>
              <w:right w:val="nil"/>
            </w:tcBorders>
            <w:shd w:val="clear" w:color="auto" w:fill="auto"/>
            <w:noWrap/>
            <w:vAlign w:val="bottom"/>
          </w:tcPr>
          <w:p w14:paraId="1EBF6BA0"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AR trade, equities</w:t>
            </w:r>
          </w:p>
        </w:tc>
        <w:tc>
          <w:tcPr>
            <w:tcW w:w="2160" w:type="dxa"/>
            <w:tcBorders>
              <w:top w:val="nil"/>
              <w:left w:val="nil"/>
              <w:bottom w:val="nil"/>
              <w:right w:val="nil"/>
            </w:tcBorders>
            <w:shd w:val="clear" w:color="auto" w:fill="auto"/>
            <w:noWrap/>
            <w:vAlign w:val="bottom"/>
          </w:tcPr>
          <w:p w14:paraId="309093F2" w14:textId="77777777"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399,915 </w:t>
            </w:r>
          </w:p>
        </w:tc>
      </w:tr>
      <w:tr w:rsidR="00345AA4" w:rsidRPr="00345AA4" w14:paraId="242F6E81" w14:textId="77777777" w:rsidTr="00975DCC">
        <w:trPr>
          <w:trHeight w:val="198"/>
        </w:trPr>
        <w:tc>
          <w:tcPr>
            <w:tcW w:w="5557" w:type="dxa"/>
            <w:tcBorders>
              <w:top w:val="nil"/>
              <w:left w:val="nil"/>
              <w:bottom w:val="nil"/>
              <w:right w:val="nil"/>
            </w:tcBorders>
            <w:shd w:val="clear" w:color="auto" w:fill="auto"/>
            <w:noWrap/>
            <w:vAlign w:val="bottom"/>
          </w:tcPr>
          <w:p w14:paraId="5C40D468"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Prepaid insurance</w:t>
            </w:r>
          </w:p>
        </w:tc>
        <w:tc>
          <w:tcPr>
            <w:tcW w:w="2160" w:type="dxa"/>
            <w:tcBorders>
              <w:top w:val="nil"/>
              <w:left w:val="nil"/>
              <w:bottom w:val="nil"/>
              <w:right w:val="nil"/>
            </w:tcBorders>
            <w:shd w:val="clear" w:color="auto" w:fill="auto"/>
            <w:noWrap/>
            <w:vAlign w:val="bottom"/>
          </w:tcPr>
          <w:p w14:paraId="3E21726C" w14:textId="76433E48"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341,979 </w:t>
            </w:r>
          </w:p>
        </w:tc>
      </w:tr>
      <w:tr w:rsidR="00345AA4" w:rsidRPr="00345AA4" w14:paraId="107B369B" w14:textId="77777777" w:rsidTr="00975DCC">
        <w:trPr>
          <w:trHeight w:val="198"/>
        </w:trPr>
        <w:tc>
          <w:tcPr>
            <w:tcW w:w="5557" w:type="dxa"/>
            <w:tcBorders>
              <w:top w:val="nil"/>
              <w:left w:val="nil"/>
              <w:bottom w:val="nil"/>
              <w:right w:val="nil"/>
            </w:tcBorders>
            <w:shd w:val="clear" w:color="auto" w:fill="auto"/>
            <w:noWrap/>
            <w:vAlign w:val="bottom"/>
          </w:tcPr>
          <w:p w14:paraId="4AAF1976"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AR trade, financing retention</w:t>
            </w:r>
          </w:p>
        </w:tc>
        <w:tc>
          <w:tcPr>
            <w:tcW w:w="2160" w:type="dxa"/>
            <w:tcBorders>
              <w:top w:val="nil"/>
              <w:left w:val="nil"/>
              <w:bottom w:val="nil"/>
              <w:right w:val="nil"/>
            </w:tcBorders>
            <w:shd w:val="clear" w:color="auto" w:fill="auto"/>
            <w:noWrap/>
            <w:vAlign w:val="bottom"/>
          </w:tcPr>
          <w:p w14:paraId="3A70B276" w14:textId="77777777"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303,539 </w:t>
            </w:r>
          </w:p>
        </w:tc>
      </w:tr>
      <w:tr w:rsidR="00345AA4" w:rsidRPr="00345AA4" w14:paraId="5AE1EBAE" w14:textId="77777777" w:rsidTr="00975DCC">
        <w:trPr>
          <w:trHeight w:val="198"/>
        </w:trPr>
        <w:tc>
          <w:tcPr>
            <w:tcW w:w="5557" w:type="dxa"/>
            <w:tcBorders>
              <w:top w:val="nil"/>
              <w:left w:val="nil"/>
              <w:bottom w:val="nil"/>
              <w:right w:val="nil"/>
            </w:tcBorders>
            <w:shd w:val="clear" w:color="auto" w:fill="auto"/>
            <w:noWrap/>
            <w:vAlign w:val="bottom"/>
          </w:tcPr>
          <w:p w14:paraId="61EA94B3"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Advances to suppliers</w:t>
            </w:r>
          </w:p>
        </w:tc>
        <w:tc>
          <w:tcPr>
            <w:tcW w:w="2160" w:type="dxa"/>
            <w:tcBorders>
              <w:top w:val="nil"/>
              <w:left w:val="nil"/>
              <w:bottom w:val="nil"/>
              <w:right w:val="nil"/>
            </w:tcBorders>
            <w:shd w:val="clear" w:color="auto" w:fill="auto"/>
            <w:noWrap/>
            <w:vAlign w:val="bottom"/>
          </w:tcPr>
          <w:p w14:paraId="7F57804C" w14:textId="77777777"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282,108 </w:t>
            </w:r>
          </w:p>
        </w:tc>
      </w:tr>
      <w:tr w:rsidR="00345AA4" w:rsidRPr="00345AA4" w14:paraId="754E13F3" w14:textId="77777777" w:rsidTr="00975DCC">
        <w:trPr>
          <w:trHeight w:val="80"/>
        </w:trPr>
        <w:tc>
          <w:tcPr>
            <w:tcW w:w="5557" w:type="dxa"/>
            <w:tcBorders>
              <w:top w:val="nil"/>
              <w:left w:val="nil"/>
              <w:bottom w:val="nil"/>
              <w:right w:val="nil"/>
            </w:tcBorders>
            <w:shd w:val="clear" w:color="auto" w:fill="auto"/>
            <w:noWrap/>
            <w:vAlign w:val="bottom"/>
          </w:tcPr>
          <w:p w14:paraId="281B46A8"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Prepaid rental</w:t>
            </w:r>
          </w:p>
        </w:tc>
        <w:tc>
          <w:tcPr>
            <w:tcW w:w="2160" w:type="dxa"/>
            <w:tcBorders>
              <w:top w:val="nil"/>
              <w:left w:val="nil"/>
              <w:bottom w:val="nil"/>
              <w:right w:val="nil"/>
            </w:tcBorders>
            <w:shd w:val="clear" w:color="auto" w:fill="auto"/>
            <w:noWrap/>
            <w:vAlign w:val="bottom"/>
          </w:tcPr>
          <w:p w14:paraId="397269B5" w14:textId="77777777"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101,400 </w:t>
            </w:r>
          </w:p>
        </w:tc>
      </w:tr>
      <w:tr w:rsidR="00345AA4" w:rsidRPr="00345AA4" w14:paraId="1902FF32" w14:textId="77777777" w:rsidTr="00975DCC">
        <w:trPr>
          <w:trHeight w:val="80"/>
        </w:trPr>
        <w:tc>
          <w:tcPr>
            <w:tcW w:w="5557" w:type="dxa"/>
            <w:tcBorders>
              <w:top w:val="nil"/>
              <w:left w:val="nil"/>
              <w:right w:val="nil"/>
            </w:tcBorders>
            <w:shd w:val="clear" w:color="auto" w:fill="auto"/>
            <w:noWrap/>
            <w:vAlign w:val="bottom"/>
          </w:tcPr>
          <w:p w14:paraId="59814A7D" w14:textId="6661F0A2"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Past due salary loans</w:t>
            </w:r>
          </w:p>
        </w:tc>
        <w:tc>
          <w:tcPr>
            <w:tcW w:w="2160" w:type="dxa"/>
            <w:tcBorders>
              <w:top w:val="nil"/>
              <w:left w:val="nil"/>
              <w:right w:val="nil"/>
            </w:tcBorders>
            <w:shd w:val="clear" w:color="auto" w:fill="auto"/>
            <w:noWrap/>
            <w:vAlign w:val="bottom"/>
          </w:tcPr>
          <w:p w14:paraId="50138C87" w14:textId="56596EE3"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94,520</w:t>
            </w:r>
          </w:p>
        </w:tc>
      </w:tr>
      <w:tr w:rsidR="00345AA4" w:rsidRPr="00345AA4" w14:paraId="613AB2A5" w14:textId="77777777" w:rsidTr="00975DCC">
        <w:trPr>
          <w:trHeight w:val="80"/>
        </w:trPr>
        <w:tc>
          <w:tcPr>
            <w:tcW w:w="5557" w:type="dxa"/>
            <w:tcBorders>
              <w:top w:val="nil"/>
              <w:left w:val="nil"/>
              <w:right w:val="nil"/>
            </w:tcBorders>
            <w:shd w:val="clear" w:color="auto" w:fill="auto"/>
            <w:noWrap/>
            <w:vAlign w:val="bottom"/>
          </w:tcPr>
          <w:p w14:paraId="6B29FCC3" w14:textId="7C37064D"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Member small business loans</w:t>
            </w:r>
          </w:p>
        </w:tc>
        <w:tc>
          <w:tcPr>
            <w:tcW w:w="2160" w:type="dxa"/>
            <w:tcBorders>
              <w:top w:val="nil"/>
              <w:left w:val="nil"/>
              <w:right w:val="nil"/>
            </w:tcBorders>
            <w:shd w:val="clear" w:color="auto" w:fill="auto"/>
            <w:noWrap/>
            <w:vAlign w:val="bottom"/>
          </w:tcPr>
          <w:p w14:paraId="44D2ACC4" w14:textId="65F9ACA2"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58,205</w:t>
            </w:r>
          </w:p>
        </w:tc>
      </w:tr>
      <w:tr w:rsidR="00345AA4" w:rsidRPr="00345AA4" w14:paraId="3D7457F9" w14:textId="77777777" w:rsidTr="00975DCC">
        <w:trPr>
          <w:trHeight w:val="80"/>
        </w:trPr>
        <w:tc>
          <w:tcPr>
            <w:tcW w:w="5557" w:type="dxa"/>
            <w:tcBorders>
              <w:top w:val="nil"/>
              <w:left w:val="nil"/>
              <w:right w:val="nil"/>
            </w:tcBorders>
            <w:shd w:val="clear" w:color="auto" w:fill="auto"/>
            <w:noWrap/>
            <w:vAlign w:val="bottom"/>
          </w:tcPr>
          <w:p w14:paraId="2E135C7D" w14:textId="7CBB466C"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Accrued interest income, member loans</w:t>
            </w:r>
          </w:p>
        </w:tc>
        <w:tc>
          <w:tcPr>
            <w:tcW w:w="2160" w:type="dxa"/>
            <w:tcBorders>
              <w:top w:val="nil"/>
              <w:left w:val="nil"/>
              <w:right w:val="nil"/>
            </w:tcBorders>
            <w:shd w:val="clear" w:color="auto" w:fill="auto"/>
            <w:noWrap/>
            <w:vAlign w:val="bottom"/>
          </w:tcPr>
          <w:p w14:paraId="37CFE441" w14:textId="37898A7B"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52,045</w:t>
            </w:r>
          </w:p>
        </w:tc>
      </w:tr>
      <w:tr w:rsidR="00345AA4" w:rsidRPr="00345AA4" w14:paraId="471BCB83" w14:textId="77777777" w:rsidTr="00A51DDB">
        <w:trPr>
          <w:trHeight w:val="80"/>
        </w:trPr>
        <w:tc>
          <w:tcPr>
            <w:tcW w:w="5557" w:type="dxa"/>
            <w:tcBorders>
              <w:top w:val="nil"/>
              <w:left w:val="nil"/>
              <w:right w:val="nil"/>
            </w:tcBorders>
            <w:shd w:val="clear" w:color="auto" w:fill="auto"/>
            <w:noWrap/>
            <w:vAlign w:val="bottom"/>
          </w:tcPr>
          <w:p w14:paraId="61B201B5" w14:textId="4E96DCFC"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Member salary loans</w:t>
            </w:r>
          </w:p>
        </w:tc>
        <w:tc>
          <w:tcPr>
            <w:tcW w:w="2160" w:type="dxa"/>
            <w:tcBorders>
              <w:top w:val="nil"/>
              <w:left w:val="nil"/>
              <w:right w:val="nil"/>
            </w:tcBorders>
            <w:shd w:val="clear" w:color="auto" w:fill="auto"/>
            <w:noWrap/>
            <w:vAlign w:val="bottom"/>
          </w:tcPr>
          <w:p w14:paraId="04F85D31" w14:textId="0CA87C21"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33,870</w:t>
            </w:r>
          </w:p>
        </w:tc>
      </w:tr>
      <w:tr w:rsidR="00345AA4" w:rsidRPr="00345AA4" w14:paraId="2B8E17C7" w14:textId="77777777" w:rsidTr="00A51DDB">
        <w:trPr>
          <w:trHeight w:val="80"/>
        </w:trPr>
        <w:tc>
          <w:tcPr>
            <w:tcW w:w="5557" w:type="dxa"/>
            <w:tcBorders>
              <w:top w:val="nil"/>
              <w:left w:val="nil"/>
              <w:right w:val="nil"/>
            </w:tcBorders>
            <w:shd w:val="clear" w:color="auto" w:fill="auto"/>
            <w:noWrap/>
            <w:vAlign w:val="bottom"/>
          </w:tcPr>
          <w:p w14:paraId="4F605141" w14:textId="2B8F760C"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Allowance for doubtful accounts (other assets)</w:t>
            </w:r>
          </w:p>
        </w:tc>
        <w:tc>
          <w:tcPr>
            <w:tcW w:w="2160" w:type="dxa"/>
            <w:tcBorders>
              <w:top w:val="nil"/>
              <w:left w:val="nil"/>
              <w:right w:val="nil"/>
            </w:tcBorders>
            <w:shd w:val="clear" w:color="auto" w:fill="auto"/>
            <w:noWrap/>
            <w:vAlign w:val="bottom"/>
          </w:tcPr>
          <w:p w14:paraId="3D1A0DBE" w14:textId="77777777"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1,506</w:t>
            </w:r>
          </w:p>
        </w:tc>
      </w:tr>
      <w:tr w:rsidR="00345AA4" w:rsidRPr="00345AA4" w14:paraId="49B2851A" w14:textId="77777777" w:rsidTr="00975DCC">
        <w:trPr>
          <w:trHeight w:val="80"/>
        </w:trPr>
        <w:tc>
          <w:tcPr>
            <w:tcW w:w="5557" w:type="dxa"/>
            <w:tcBorders>
              <w:top w:val="nil"/>
              <w:left w:val="nil"/>
              <w:bottom w:val="single" w:sz="4" w:space="0" w:color="auto"/>
              <w:right w:val="nil"/>
            </w:tcBorders>
            <w:shd w:val="clear" w:color="auto" w:fill="auto"/>
            <w:noWrap/>
            <w:vAlign w:val="bottom"/>
          </w:tcPr>
          <w:p w14:paraId="0C4E5F46" w14:textId="34604D58"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Prepaid subscription/membership</w:t>
            </w:r>
          </w:p>
        </w:tc>
        <w:tc>
          <w:tcPr>
            <w:tcW w:w="2160" w:type="dxa"/>
            <w:tcBorders>
              <w:top w:val="nil"/>
              <w:left w:val="nil"/>
              <w:bottom w:val="single" w:sz="4" w:space="0" w:color="auto"/>
              <w:right w:val="nil"/>
            </w:tcBorders>
            <w:shd w:val="clear" w:color="auto" w:fill="auto"/>
            <w:noWrap/>
            <w:vAlign w:val="bottom"/>
          </w:tcPr>
          <w:p w14:paraId="35A9AF30" w14:textId="6D83FEFC"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0 </w:t>
            </w:r>
          </w:p>
        </w:tc>
      </w:tr>
      <w:tr w:rsidR="00345AA4" w:rsidRPr="00345AA4" w14:paraId="58C4EF28" w14:textId="77777777" w:rsidTr="00975DCC">
        <w:trPr>
          <w:trHeight w:val="80"/>
        </w:trPr>
        <w:tc>
          <w:tcPr>
            <w:tcW w:w="5557" w:type="dxa"/>
            <w:tcBorders>
              <w:top w:val="single" w:sz="4" w:space="0" w:color="auto"/>
              <w:left w:val="nil"/>
              <w:bottom w:val="single" w:sz="4" w:space="0" w:color="auto"/>
              <w:right w:val="nil"/>
            </w:tcBorders>
            <w:shd w:val="clear" w:color="auto" w:fill="auto"/>
            <w:noWrap/>
            <w:vAlign w:val="bottom"/>
          </w:tcPr>
          <w:p w14:paraId="0532FA66" w14:textId="77777777" w:rsidR="00ED7D0B" w:rsidRPr="00345AA4" w:rsidRDefault="00ED7D0B" w:rsidP="00ED7D0B">
            <w:pPr>
              <w:spacing w:after="0" w:line="240" w:lineRule="auto"/>
              <w:rPr>
                <w:rFonts w:ascii="Arial" w:eastAsia="Times New Roman" w:hAnsi="Arial" w:cs="Arial"/>
                <w:color w:val="000000" w:themeColor="text1"/>
                <w:sz w:val="20"/>
                <w:szCs w:val="20"/>
              </w:rPr>
            </w:pPr>
          </w:p>
        </w:tc>
        <w:tc>
          <w:tcPr>
            <w:tcW w:w="2160" w:type="dxa"/>
            <w:tcBorders>
              <w:top w:val="single" w:sz="4" w:space="0" w:color="auto"/>
              <w:left w:val="nil"/>
              <w:bottom w:val="single" w:sz="4" w:space="0" w:color="auto"/>
              <w:right w:val="nil"/>
            </w:tcBorders>
            <w:shd w:val="clear" w:color="auto" w:fill="auto"/>
            <w:noWrap/>
            <w:vAlign w:val="bottom"/>
          </w:tcPr>
          <w:p w14:paraId="0FBCCB03" w14:textId="10E372D5"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P 5</w:t>
            </w:r>
            <w:r w:rsidR="00F8148E" w:rsidRPr="00345AA4">
              <w:rPr>
                <w:rFonts w:ascii="Arial" w:eastAsia="Times New Roman" w:hAnsi="Arial" w:cs="Arial"/>
                <w:color w:val="000000" w:themeColor="text1"/>
                <w:sz w:val="20"/>
                <w:szCs w:val="20"/>
              </w:rPr>
              <w:t>81,034,433</w:t>
            </w:r>
          </w:p>
        </w:tc>
      </w:tr>
      <w:tr w:rsidR="00345AA4" w:rsidRPr="00345AA4" w14:paraId="0E0A1964" w14:textId="77777777" w:rsidTr="00975DCC">
        <w:trPr>
          <w:trHeight w:val="80"/>
        </w:trPr>
        <w:tc>
          <w:tcPr>
            <w:tcW w:w="5557" w:type="dxa"/>
            <w:tcBorders>
              <w:top w:val="nil"/>
              <w:left w:val="nil"/>
              <w:bottom w:val="nil"/>
              <w:right w:val="nil"/>
            </w:tcBorders>
            <w:shd w:val="clear" w:color="auto" w:fill="auto"/>
            <w:noWrap/>
            <w:vAlign w:val="bottom"/>
          </w:tcPr>
          <w:p w14:paraId="1617ACCC" w14:textId="77777777" w:rsidR="00ED7D0B" w:rsidRPr="00345AA4" w:rsidRDefault="00ED7D0B" w:rsidP="00ED7D0B">
            <w:pPr>
              <w:spacing w:after="0" w:line="240" w:lineRule="auto"/>
              <w:rPr>
                <w:rFonts w:ascii="Arial" w:eastAsia="Times New Roman" w:hAnsi="Arial" w:cs="Arial"/>
                <w:color w:val="000000" w:themeColor="text1"/>
                <w:sz w:val="20"/>
                <w:szCs w:val="20"/>
              </w:rPr>
            </w:pPr>
          </w:p>
        </w:tc>
        <w:tc>
          <w:tcPr>
            <w:tcW w:w="2160" w:type="dxa"/>
            <w:tcBorders>
              <w:top w:val="nil"/>
              <w:left w:val="nil"/>
              <w:bottom w:val="nil"/>
              <w:right w:val="nil"/>
            </w:tcBorders>
            <w:shd w:val="clear" w:color="auto" w:fill="auto"/>
            <w:noWrap/>
            <w:vAlign w:val="bottom"/>
          </w:tcPr>
          <w:p w14:paraId="254CCABA" w14:textId="77777777" w:rsidR="00ED7D0B" w:rsidRPr="00345AA4" w:rsidRDefault="00ED7D0B" w:rsidP="00ED7D0B">
            <w:pPr>
              <w:spacing w:after="0" w:line="240" w:lineRule="auto"/>
              <w:jc w:val="right"/>
              <w:rPr>
                <w:rFonts w:ascii="Arial" w:eastAsia="Times New Roman" w:hAnsi="Arial" w:cs="Arial"/>
                <w:color w:val="000000" w:themeColor="text1"/>
                <w:sz w:val="20"/>
                <w:szCs w:val="20"/>
              </w:rPr>
            </w:pPr>
          </w:p>
        </w:tc>
      </w:tr>
      <w:tr w:rsidR="00345AA4" w:rsidRPr="00345AA4" w14:paraId="2C48572E" w14:textId="77777777" w:rsidTr="00975DCC">
        <w:trPr>
          <w:trHeight w:val="80"/>
        </w:trPr>
        <w:tc>
          <w:tcPr>
            <w:tcW w:w="5557" w:type="dxa"/>
            <w:tcBorders>
              <w:top w:val="nil"/>
              <w:left w:val="nil"/>
              <w:bottom w:val="nil"/>
              <w:right w:val="nil"/>
            </w:tcBorders>
            <w:shd w:val="clear" w:color="auto" w:fill="auto"/>
            <w:noWrap/>
            <w:vAlign w:val="bottom"/>
          </w:tcPr>
          <w:p w14:paraId="347CC04F"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AP others</w:t>
            </w:r>
          </w:p>
        </w:tc>
        <w:tc>
          <w:tcPr>
            <w:tcW w:w="2160" w:type="dxa"/>
            <w:tcBorders>
              <w:top w:val="nil"/>
              <w:left w:val="nil"/>
              <w:bottom w:val="nil"/>
              <w:right w:val="nil"/>
            </w:tcBorders>
            <w:shd w:val="clear" w:color="auto" w:fill="auto"/>
            <w:noWrap/>
            <w:vAlign w:val="bottom"/>
          </w:tcPr>
          <w:p w14:paraId="30EA6C45" w14:textId="0C1C4686"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253,357,515</w:t>
            </w:r>
          </w:p>
        </w:tc>
      </w:tr>
      <w:tr w:rsidR="00345AA4" w:rsidRPr="00345AA4" w14:paraId="2F71C168" w14:textId="77777777" w:rsidTr="00975DCC">
        <w:trPr>
          <w:trHeight w:val="80"/>
        </w:trPr>
        <w:tc>
          <w:tcPr>
            <w:tcW w:w="5557" w:type="dxa"/>
            <w:tcBorders>
              <w:top w:val="nil"/>
              <w:left w:val="nil"/>
              <w:bottom w:val="nil"/>
              <w:right w:val="nil"/>
            </w:tcBorders>
            <w:shd w:val="clear" w:color="auto" w:fill="auto"/>
            <w:noWrap/>
            <w:vAlign w:val="bottom"/>
          </w:tcPr>
          <w:p w14:paraId="6E453775" w14:textId="0CA416D2"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Unearned interest, loans</w:t>
            </w:r>
          </w:p>
        </w:tc>
        <w:tc>
          <w:tcPr>
            <w:tcW w:w="2160" w:type="dxa"/>
            <w:tcBorders>
              <w:top w:val="nil"/>
              <w:left w:val="nil"/>
              <w:bottom w:val="nil"/>
              <w:right w:val="nil"/>
            </w:tcBorders>
            <w:shd w:val="clear" w:color="auto" w:fill="auto"/>
            <w:noWrap/>
            <w:vAlign w:val="bottom"/>
          </w:tcPr>
          <w:p w14:paraId="706D62BC" w14:textId="05B35E79"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117,267,326</w:t>
            </w:r>
          </w:p>
        </w:tc>
      </w:tr>
      <w:tr w:rsidR="00345AA4" w:rsidRPr="00345AA4" w14:paraId="58794AA1" w14:textId="77777777" w:rsidTr="00975DCC">
        <w:trPr>
          <w:trHeight w:val="80"/>
        </w:trPr>
        <w:tc>
          <w:tcPr>
            <w:tcW w:w="5557" w:type="dxa"/>
            <w:tcBorders>
              <w:top w:val="nil"/>
              <w:left w:val="nil"/>
              <w:bottom w:val="nil"/>
              <w:right w:val="nil"/>
            </w:tcBorders>
            <w:shd w:val="clear" w:color="auto" w:fill="auto"/>
            <w:noWrap/>
            <w:vAlign w:val="bottom"/>
          </w:tcPr>
          <w:p w14:paraId="1FAB67D4" w14:textId="17CF3679"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Accounts payable, trade</w:t>
            </w:r>
          </w:p>
        </w:tc>
        <w:tc>
          <w:tcPr>
            <w:tcW w:w="2160" w:type="dxa"/>
            <w:tcBorders>
              <w:top w:val="nil"/>
              <w:left w:val="nil"/>
              <w:bottom w:val="nil"/>
              <w:right w:val="nil"/>
            </w:tcBorders>
            <w:shd w:val="clear" w:color="auto" w:fill="auto"/>
            <w:noWrap/>
            <w:vAlign w:val="bottom"/>
          </w:tcPr>
          <w:p w14:paraId="0DBAF5ED" w14:textId="03697130"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117,221,987</w:t>
            </w:r>
          </w:p>
        </w:tc>
      </w:tr>
      <w:tr w:rsidR="00345AA4" w:rsidRPr="00345AA4" w14:paraId="769AA339" w14:textId="77777777" w:rsidTr="00975DCC">
        <w:trPr>
          <w:trHeight w:val="80"/>
        </w:trPr>
        <w:tc>
          <w:tcPr>
            <w:tcW w:w="5557" w:type="dxa"/>
            <w:tcBorders>
              <w:top w:val="nil"/>
              <w:left w:val="nil"/>
              <w:bottom w:val="nil"/>
              <w:right w:val="nil"/>
            </w:tcBorders>
            <w:shd w:val="clear" w:color="auto" w:fill="auto"/>
            <w:noWrap/>
            <w:vAlign w:val="bottom"/>
          </w:tcPr>
          <w:p w14:paraId="73A7F84E" w14:textId="4FEBBF4C"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Accrued employee benefits</w:t>
            </w:r>
          </w:p>
        </w:tc>
        <w:tc>
          <w:tcPr>
            <w:tcW w:w="2160" w:type="dxa"/>
            <w:tcBorders>
              <w:top w:val="nil"/>
              <w:left w:val="nil"/>
              <w:bottom w:val="nil"/>
              <w:right w:val="nil"/>
            </w:tcBorders>
            <w:shd w:val="clear" w:color="auto" w:fill="auto"/>
            <w:noWrap/>
            <w:vAlign w:val="bottom"/>
          </w:tcPr>
          <w:p w14:paraId="0DEDCB3D" w14:textId="4D3BE9F9"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115,491,125</w:t>
            </w:r>
          </w:p>
        </w:tc>
      </w:tr>
      <w:tr w:rsidR="00345AA4" w:rsidRPr="00345AA4" w14:paraId="6354E697" w14:textId="77777777" w:rsidTr="00975DCC">
        <w:trPr>
          <w:trHeight w:val="80"/>
        </w:trPr>
        <w:tc>
          <w:tcPr>
            <w:tcW w:w="5557" w:type="dxa"/>
            <w:tcBorders>
              <w:top w:val="nil"/>
              <w:left w:val="nil"/>
              <w:bottom w:val="nil"/>
              <w:right w:val="nil"/>
            </w:tcBorders>
            <w:shd w:val="clear" w:color="auto" w:fill="auto"/>
            <w:noWrap/>
            <w:vAlign w:val="bottom"/>
          </w:tcPr>
          <w:p w14:paraId="2574A729"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AP non trade others</w:t>
            </w:r>
          </w:p>
        </w:tc>
        <w:tc>
          <w:tcPr>
            <w:tcW w:w="2160" w:type="dxa"/>
            <w:tcBorders>
              <w:top w:val="nil"/>
              <w:left w:val="nil"/>
              <w:bottom w:val="nil"/>
              <w:right w:val="nil"/>
            </w:tcBorders>
            <w:shd w:val="clear" w:color="auto" w:fill="auto"/>
            <w:noWrap/>
            <w:vAlign w:val="bottom"/>
          </w:tcPr>
          <w:p w14:paraId="073DA7A4" w14:textId="77777777"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109,783,738</w:t>
            </w:r>
          </w:p>
        </w:tc>
      </w:tr>
      <w:tr w:rsidR="00345AA4" w:rsidRPr="00345AA4" w14:paraId="54DEF6D9" w14:textId="77777777" w:rsidTr="00975DCC">
        <w:trPr>
          <w:trHeight w:val="80"/>
        </w:trPr>
        <w:tc>
          <w:tcPr>
            <w:tcW w:w="5557" w:type="dxa"/>
            <w:tcBorders>
              <w:top w:val="nil"/>
              <w:left w:val="nil"/>
              <w:bottom w:val="nil"/>
              <w:right w:val="nil"/>
            </w:tcBorders>
            <w:shd w:val="clear" w:color="auto" w:fill="auto"/>
            <w:noWrap/>
            <w:vAlign w:val="bottom"/>
          </w:tcPr>
          <w:p w14:paraId="4B1F088B"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Buyers deposits, in house</w:t>
            </w:r>
          </w:p>
        </w:tc>
        <w:tc>
          <w:tcPr>
            <w:tcW w:w="2160" w:type="dxa"/>
            <w:tcBorders>
              <w:top w:val="nil"/>
              <w:left w:val="nil"/>
              <w:bottom w:val="nil"/>
              <w:right w:val="nil"/>
            </w:tcBorders>
            <w:shd w:val="clear" w:color="auto" w:fill="auto"/>
            <w:noWrap/>
            <w:vAlign w:val="bottom"/>
          </w:tcPr>
          <w:p w14:paraId="0097A699" w14:textId="0E8BE122"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97,806,355</w:t>
            </w:r>
          </w:p>
        </w:tc>
      </w:tr>
      <w:tr w:rsidR="00345AA4" w:rsidRPr="00345AA4" w14:paraId="3F610032" w14:textId="77777777" w:rsidTr="00975DCC">
        <w:trPr>
          <w:trHeight w:val="80"/>
        </w:trPr>
        <w:tc>
          <w:tcPr>
            <w:tcW w:w="5557" w:type="dxa"/>
            <w:tcBorders>
              <w:top w:val="nil"/>
              <w:left w:val="nil"/>
              <w:bottom w:val="nil"/>
              <w:right w:val="nil"/>
            </w:tcBorders>
            <w:shd w:val="clear" w:color="auto" w:fill="auto"/>
            <w:noWrap/>
            <w:vAlign w:val="bottom"/>
          </w:tcPr>
          <w:p w14:paraId="08B0D6AD"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Rental deposits</w:t>
            </w:r>
          </w:p>
        </w:tc>
        <w:tc>
          <w:tcPr>
            <w:tcW w:w="2160" w:type="dxa"/>
            <w:tcBorders>
              <w:top w:val="nil"/>
              <w:left w:val="nil"/>
              <w:bottom w:val="nil"/>
              <w:right w:val="nil"/>
            </w:tcBorders>
            <w:shd w:val="clear" w:color="auto" w:fill="auto"/>
            <w:noWrap/>
            <w:vAlign w:val="bottom"/>
          </w:tcPr>
          <w:p w14:paraId="032862C0" w14:textId="77777777"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45,144,493</w:t>
            </w:r>
          </w:p>
        </w:tc>
      </w:tr>
      <w:tr w:rsidR="00345AA4" w:rsidRPr="00345AA4" w14:paraId="38A0D087" w14:textId="77777777" w:rsidTr="00975DCC">
        <w:trPr>
          <w:trHeight w:val="80"/>
        </w:trPr>
        <w:tc>
          <w:tcPr>
            <w:tcW w:w="5557" w:type="dxa"/>
            <w:tcBorders>
              <w:top w:val="nil"/>
              <w:left w:val="nil"/>
              <w:bottom w:val="nil"/>
              <w:right w:val="nil"/>
            </w:tcBorders>
            <w:shd w:val="clear" w:color="auto" w:fill="auto"/>
            <w:noWrap/>
            <w:vAlign w:val="bottom"/>
          </w:tcPr>
          <w:p w14:paraId="07514A99"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Reserve for real estate development</w:t>
            </w:r>
          </w:p>
        </w:tc>
        <w:tc>
          <w:tcPr>
            <w:tcW w:w="2160" w:type="dxa"/>
            <w:tcBorders>
              <w:top w:val="nil"/>
              <w:left w:val="nil"/>
              <w:bottom w:val="nil"/>
              <w:right w:val="nil"/>
            </w:tcBorders>
            <w:shd w:val="clear" w:color="auto" w:fill="auto"/>
            <w:noWrap/>
            <w:vAlign w:val="bottom"/>
          </w:tcPr>
          <w:p w14:paraId="54A77E30" w14:textId="27488981"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28,478,889</w:t>
            </w:r>
          </w:p>
        </w:tc>
      </w:tr>
      <w:tr w:rsidR="00345AA4" w:rsidRPr="00345AA4" w14:paraId="455AA7F6" w14:textId="77777777" w:rsidTr="00975DCC">
        <w:trPr>
          <w:trHeight w:val="80"/>
        </w:trPr>
        <w:tc>
          <w:tcPr>
            <w:tcW w:w="5557" w:type="dxa"/>
            <w:tcBorders>
              <w:top w:val="nil"/>
              <w:left w:val="nil"/>
              <w:bottom w:val="nil"/>
              <w:right w:val="nil"/>
            </w:tcBorders>
            <w:shd w:val="clear" w:color="auto" w:fill="auto"/>
            <w:noWrap/>
            <w:vAlign w:val="bottom"/>
          </w:tcPr>
          <w:p w14:paraId="0C6CA3C3"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AP trade real estate brokers</w:t>
            </w:r>
          </w:p>
        </w:tc>
        <w:tc>
          <w:tcPr>
            <w:tcW w:w="2160" w:type="dxa"/>
            <w:tcBorders>
              <w:top w:val="nil"/>
              <w:left w:val="nil"/>
              <w:bottom w:val="nil"/>
              <w:right w:val="nil"/>
            </w:tcBorders>
            <w:shd w:val="clear" w:color="auto" w:fill="auto"/>
            <w:noWrap/>
            <w:vAlign w:val="bottom"/>
          </w:tcPr>
          <w:p w14:paraId="3ED325B7" w14:textId="24CFDD87"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28,431,059</w:t>
            </w:r>
          </w:p>
        </w:tc>
      </w:tr>
      <w:tr w:rsidR="00345AA4" w:rsidRPr="00345AA4" w14:paraId="5CA4A6A2" w14:textId="77777777" w:rsidTr="00975DCC">
        <w:trPr>
          <w:trHeight w:val="80"/>
        </w:trPr>
        <w:tc>
          <w:tcPr>
            <w:tcW w:w="5557" w:type="dxa"/>
            <w:tcBorders>
              <w:top w:val="nil"/>
              <w:left w:val="nil"/>
              <w:bottom w:val="nil"/>
              <w:right w:val="nil"/>
            </w:tcBorders>
            <w:shd w:val="clear" w:color="auto" w:fill="auto"/>
            <w:noWrap/>
            <w:vAlign w:val="bottom"/>
          </w:tcPr>
          <w:p w14:paraId="41EA50F9"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Accrued expenses</w:t>
            </w:r>
          </w:p>
        </w:tc>
        <w:tc>
          <w:tcPr>
            <w:tcW w:w="2160" w:type="dxa"/>
            <w:tcBorders>
              <w:top w:val="nil"/>
              <w:left w:val="nil"/>
              <w:bottom w:val="nil"/>
              <w:right w:val="nil"/>
            </w:tcBorders>
            <w:shd w:val="clear" w:color="auto" w:fill="auto"/>
            <w:noWrap/>
            <w:vAlign w:val="bottom"/>
          </w:tcPr>
          <w:p w14:paraId="55313AAB" w14:textId="55723858"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25,372,970</w:t>
            </w:r>
          </w:p>
        </w:tc>
      </w:tr>
      <w:tr w:rsidR="00345AA4" w:rsidRPr="00345AA4" w14:paraId="2C9DAF97" w14:textId="77777777" w:rsidTr="00975DCC">
        <w:trPr>
          <w:trHeight w:val="80"/>
        </w:trPr>
        <w:tc>
          <w:tcPr>
            <w:tcW w:w="5557" w:type="dxa"/>
            <w:tcBorders>
              <w:top w:val="nil"/>
              <w:left w:val="nil"/>
              <w:bottom w:val="nil"/>
              <w:right w:val="nil"/>
            </w:tcBorders>
            <w:shd w:val="clear" w:color="auto" w:fill="auto"/>
            <w:noWrap/>
            <w:vAlign w:val="bottom"/>
          </w:tcPr>
          <w:p w14:paraId="33998000"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Retention payable</w:t>
            </w:r>
          </w:p>
        </w:tc>
        <w:tc>
          <w:tcPr>
            <w:tcW w:w="2160" w:type="dxa"/>
            <w:tcBorders>
              <w:top w:val="nil"/>
              <w:left w:val="nil"/>
              <w:bottom w:val="nil"/>
              <w:right w:val="nil"/>
            </w:tcBorders>
            <w:shd w:val="clear" w:color="auto" w:fill="auto"/>
            <w:noWrap/>
            <w:vAlign w:val="bottom"/>
          </w:tcPr>
          <w:p w14:paraId="22D0501A" w14:textId="19E85991"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20,803,173</w:t>
            </w:r>
          </w:p>
        </w:tc>
      </w:tr>
      <w:tr w:rsidR="00345AA4" w:rsidRPr="00345AA4" w14:paraId="5145CA41" w14:textId="77777777" w:rsidTr="00975DCC">
        <w:trPr>
          <w:trHeight w:val="80"/>
        </w:trPr>
        <w:tc>
          <w:tcPr>
            <w:tcW w:w="5557" w:type="dxa"/>
            <w:tcBorders>
              <w:top w:val="nil"/>
              <w:left w:val="nil"/>
              <w:bottom w:val="nil"/>
              <w:right w:val="nil"/>
            </w:tcBorders>
            <w:shd w:val="clear" w:color="auto" w:fill="auto"/>
            <w:noWrap/>
            <w:vAlign w:val="bottom"/>
          </w:tcPr>
          <w:p w14:paraId="38660BE6"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Construction deposits</w:t>
            </w:r>
          </w:p>
        </w:tc>
        <w:tc>
          <w:tcPr>
            <w:tcW w:w="2160" w:type="dxa"/>
            <w:tcBorders>
              <w:top w:val="nil"/>
              <w:left w:val="nil"/>
              <w:bottom w:val="nil"/>
              <w:right w:val="nil"/>
            </w:tcBorders>
            <w:shd w:val="clear" w:color="auto" w:fill="auto"/>
            <w:noWrap/>
            <w:vAlign w:val="bottom"/>
          </w:tcPr>
          <w:p w14:paraId="3DE33A71" w14:textId="77777777"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14,968,800</w:t>
            </w:r>
          </w:p>
        </w:tc>
      </w:tr>
      <w:tr w:rsidR="00345AA4" w:rsidRPr="00345AA4" w14:paraId="3D4B151D" w14:textId="77777777" w:rsidTr="00975DCC">
        <w:trPr>
          <w:trHeight w:val="80"/>
        </w:trPr>
        <w:tc>
          <w:tcPr>
            <w:tcW w:w="5557" w:type="dxa"/>
            <w:tcBorders>
              <w:top w:val="nil"/>
              <w:left w:val="nil"/>
              <w:bottom w:val="nil"/>
              <w:right w:val="nil"/>
            </w:tcBorders>
            <w:shd w:val="clear" w:color="auto" w:fill="auto"/>
            <w:noWrap/>
            <w:vAlign w:val="bottom"/>
          </w:tcPr>
          <w:p w14:paraId="7D6D0B35"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Buyers refund payable</w:t>
            </w:r>
          </w:p>
        </w:tc>
        <w:tc>
          <w:tcPr>
            <w:tcW w:w="2160" w:type="dxa"/>
            <w:tcBorders>
              <w:top w:val="nil"/>
              <w:left w:val="nil"/>
              <w:bottom w:val="nil"/>
              <w:right w:val="nil"/>
            </w:tcBorders>
            <w:shd w:val="clear" w:color="auto" w:fill="auto"/>
            <w:noWrap/>
            <w:vAlign w:val="bottom"/>
          </w:tcPr>
          <w:p w14:paraId="5B53EA29" w14:textId="01C0E21A"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14,552,620</w:t>
            </w:r>
          </w:p>
        </w:tc>
      </w:tr>
      <w:tr w:rsidR="00345AA4" w:rsidRPr="00345AA4" w14:paraId="0D40566E" w14:textId="77777777" w:rsidTr="00975DCC">
        <w:trPr>
          <w:trHeight w:val="80"/>
        </w:trPr>
        <w:tc>
          <w:tcPr>
            <w:tcW w:w="5557" w:type="dxa"/>
            <w:tcBorders>
              <w:top w:val="nil"/>
              <w:left w:val="nil"/>
              <w:bottom w:val="nil"/>
              <w:right w:val="nil"/>
            </w:tcBorders>
            <w:shd w:val="clear" w:color="auto" w:fill="auto"/>
            <w:noWrap/>
            <w:vAlign w:val="bottom"/>
          </w:tcPr>
          <w:p w14:paraId="0475DACC"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Unearned income, commutation</w:t>
            </w:r>
          </w:p>
        </w:tc>
        <w:tc>
          <w:tcPr>
            <w:tcW w:w="2160" w:type="dxa"/>
            <w:tcBorders>
              <w:top w:val="nil"/>
              <w:left w:val="nil"/>
              <w:bottom w:val="nil"/>
              <w:right w:val="nil"/>
            </w:tcBorders>
            <w:shd w:val="clear" w:color="auto" w:fill="auto"/>
            <w:noWrap/>
            <w:vAlign w:val="bottom"/>
          </w:tcPr>
          <w:p w14:paraId="38576EBF" w14:textId="77777777"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11,388,290 </w:t>
            </w:r>
          </w:p>
        </w:tc>
      </w:tr>
      <w:tr w:rsidR="00345AA4" w:rsidRPr="00345AA4" w14:paraId="107704C5" w14:textId="77777777" w:rsidTr="00975DCC">
        <w:trPr>
          <w:trHeight w:val="80"/>
        </w:trPr>
        <w:tc>
          <w:tcPr>
            <w:tcW w:w="5557" w:type="dxa"/>
            <w:tcBorders>
              <w:top w:val="nil"/>
              <w:left w:val="nil"/>
              <w:bottom w:val="nil"/>
              <w:right w:val="nil"/>
            </w:tcBorders>
            <w:shd w:val="clear" w:color="auto" w:fill="auto"/>
            <w:noWrap/>
            <w:vAlign w:val="bottom"/>
          </w:tcPr>
          <w:p w14:paraId="7840608C"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Deferred credit (deposits &amp; other liabilities)</w:t>
            </w:r>
          </w:p>
        </w:tc>
        <w:tc>
          <w:tcPr>
            <w:tcW w:w="2160" w:type="dxa"/>
            <w:tcBorders>
              <w:top w:val="nil"/>
              <w:left w:val="nil"/>
              <w:bottom w:val="nil"/>
              <w:right w:val="nil"/>
            </w:tcBorders>
            <w:shd w:val="clear" w:color="auto" w:fill="auto"/>
            <w:noWrap/>
            <w:vAlign w:val="bottom"/>
          </w:tcPr>
          <w:p w14:paraId="58C4C99A" w14:textId="77777777"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10,315,859</w:t>
            </w:r>
          </w:p>
        </w:tc>
      </w:tr>
      <w:tr w:rsidR="00345AA4" w:rsidRPr="00345AA4" w14:paraId="35633231" w14:textId="77777777" w:rsidTr="00975DCC">
        <w:trPr>
          <w:trHeight w:val="80"/>
        </w:trPr>
        <w:tc>
          <w:tcPr>
            <w:tcW w:w="5557" w:type="dxa"/>
            <w:tcBorders>
              <w:top w:val="nil"/>
              <w:left w:val="nil"/>
              <w:bottom w:val="nil"/>
              <w:right w:val="nil"/>
            </w:tcBorders>
            <w:shd w:val="clear" w:color="auto" w:fill="auto"/>
            <w:noWrap/>
            <w:vAlign w:val="bottom"/>
          </w:tcPr>
          <w:p w14:paraId="40FEBBA7"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AP trade investors/JV partner</w:t>
            </w:r>
          </w:p>
        </w:tc>
        <w:tc>
          <w:tcPr>
            <w:tcW w:w="2160" w:type="dxa"/>
            <w:tcBorders>
              <w:top w:val="nil"/>
              <w:left w:val="nil"/>
              <w:bottom w:val="nil"/>
              <w:right w:val="nil"/>
            </w:tcBorders>
            <w:shd w:val="clear" w:color="auto" w:fill="auto"/>
            <w:noWrap/>
            <w:vAlign w:val="bottom"/>
          </w:tcPr>
          <w:p w14:paraId="0771D774" w14:textId="5FAEAB6D"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7,399,723</w:t>
            </w:r>
          </w:p>
        </w:tc>
      </w:tr>
      <w:tr w:rsidR="00345AA4" w:rsidRPr="00345AA4" w14:paraId="1E9532F2" w14:textId="77777777" w:rsidTr="00975DCC">
        <w:trPr>
          <w:trHeight w:val="34"/>
        </w:trPr>
        <w:tc>
          <w:tcPr>
            <w:tcW w:w="5557" w:type="dxa"/>
            <w:tcBorders>
              <w:top w:val="nil"/>
              <w:left w:val="nil"/>
              <w:bottom w:val="nil"/>
              <w:right w:val="nil"/>
            </w:tcBorders>
            <w:shd w:val="clear" w:color="auto" w:fill="auto"/>
            <w:noWrap/>
            <w:vAlign w:val="bottom"/>
          </w:tcPr>
          <w:p w14:paraId="39894C5B"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Unapplied collections</w:t>
            </w:r>
          </w:p>
        </w:tc>
        <w:tc>
          <w:tcPr>
            <w:tcW w:w="2160" w:type="dxa"/>
            <w:tcBorders>
              <w:top w:val="nil"/>
              <w:left w:val="nil"/>
              <w:bottom w:val="nil"/>
              <w:right w:val="nil"/>
            </w:tcBorders>
            <w:shd w:val="clear" w:color="auto" w:fill="auto"/>
            <w:noWrap/>
            <w:vAlign w:val="bottom"/>
          </w:tcPr>
          <w:p w14:paraId="63430EA1" w14:textId="33FD7465"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6,834,215</w:t>
            </w:r>
          </w:p>
        </w:tc>
      </w:tr>
      <w:tr w:rsidR="00345AA4" w:rsidRPr="00345AA4" w14:paraId="7BE03167" w14:textId="77777777" w:rsidTr="00975DCC">
        <w:trPr>
          <w:trHeight w:val="80"/>
        </w:trPr>
        <w:tc>
          <w:tcPr>
            <w:tcW w:w="5557" w:type="dxa"/>
            <w:tcBorders>
              <w:top w:val="nil"/>
              <w:left w:val="nil"/>
              <w:bottom w:val="nil"/>
              <w:right w:val="nil"/>
            </w:tcBorders>
            <w:shd w:val="clear" w:color="auto" w:fill="auto"/>
            <w:noWrap/>
            <w:vAlign w:val="bottom"/>
          </w:tcPr>
          <w:p w14:paraId="707E82C4"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Buyers deposits, external</w:t>
            </w:r>
          </w:p>
        </w:tc>
        <w:tc>
          <w:tcPr>
            <w:tcW w:w="2160" w:type="dxa"/>
            <w:tcBorders>
              <w:top w:val="nil"/>
              <w:left w:val="nil"/>
              <w:bottom w:val="nil"/>
              <w:right w:val="nil"/>
            </w:tcBorders>
            <w:shd w:val="clear" w:color="auto" w:fill="auto"/>
            <w:noWrap/>
            <w:vAlign w:val="bottom"/>
          </w:tcPr>
          <w:p w14:paraId="406B9FD9" w14:textId="3F4FDD17"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3,974,241</w:t>
            </w:r>
          </w:p>
        </w:tc>
      </w:tr>
      <w:tr w:rsidR="00345AA4" w:rsidRPr="00345AA4" w14:paraId="613A0E8A" w14:textId="77777777" w:rsidTr="00975DCC">
        <w:trPr>
          <w:trHeight w:val="80"/>
        </w:trPr>
        <w:tc>
          <w:tcPr>
            <w:tcW w:w="5557" w:type="dxa"/>
            <w:tcBorders>
              <w:top w:val="nil"/>
              <w:left w:val="nil"/>
              <w:bottom w:val="nil"/>
              <w:right w:val="nil"/>
            </w:tcBorders>
            <w:shd w:val="clear" w:color="auto" w:fill="auto"/>
            <w:noWrap/>
            <w:vAlign w:val="bottom"/>
          </w:tcPr>
          <w:p w14:paraId="62D439FF"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AP contractor</w:t>
            </w:r>
          </w:p>
        </w:tc>
        <w:tc>
          <w:tcPr>
            <w:tcW w:w="2160" w:type="dxa"/>
            <w:tcBorders>
              <w:top w:val="nil"/>
              <w:left w:val="nil"/>
              <w:bottom w:val="nil"/>
              <w:right w:val="nil"/>
            </w:tcBorders>
            <w:shd w:val="clear" w:color="auto" w:fill="auto"/>
            <w:noWrap/>
            <w:vAlign w:val="bottom"/>
          </w:tcPr>
          <w:p w14:paraId="02C1D5F7" w14:textId="050560C2"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3,970,536</w:t>
            </w:r>
          </w:p>
        </w:tc>
      </w:tr>
      <w:tr w:rsidR="00345AA4" w:rsidRPr="00345AA4" w14:paraId="68E62AC6" w14:textId="77777777" w:rsidTr="00975DCC">
        <w:trPr>
          <w:trHeight w:val="80"/>
        </w:trPr>
        <w:tc>
          <w:tcPr>
            <w:tcW w:w="5557" w:type="dxa"/>
            <w:tcBorders>
              <w:top w:val="nil"/>
              <w:left w:val="nil"/>
              <w:bottom w:val="nil"/>
              <w:right w:val="nil"/>
            </w:tcBorders>
            <w:shd w:val="clear" w:color="auto" w:fill="auto"/>
            <w:noWrap/>
            <w:vAlign w:val="bottom"/>
          </w:tcPr>
          <w:p w14:paraId="0B4CAB9D"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Accrued consultant fees</w:t>
            </w:r>
          </w:p>
        </w:tc>
        <w:tc>
          <w:tcPr>
            <w:tcW w:w="2160" w:type="dxa"/>
            <w:tcBorders>
              <w:top w:val="nil"/>
              <w:left w:val="nil"/>
              <w:bottom w:val="nil"/>
              <w:right w:val="nil"/>
            </w:tcBorders>
            <w:shd w:val="clear" w:color="auto" w:fill="auto"/>
            <w:noWrap/>
            <w:vAlign w:val="bottom"/>
          </w:tcPr>
          <w:p w14:paraId="17606A99" w14:textId="77777777"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3,820,261</w:t>
            </w:r>
          </w:p>
        </w:tc>
      </w:tr>
      <w:tr w:rsidR="00345AA4" w:rsidRPr="00345AA4" w14:paraId="05335E84" w14:textId="77777777" w:rsidTr="00975DCC">
        <w:trPr>
          <w:trHeight w:val="80"/>
        </w:trPr>
        <w:tc>
          <w:tcPr>
            <w:tcW w:w="5557" w:type="dxa"/>
            <w:tcBorders>
              <w:top w:val="nil"/>
              <w:left w:val="nil"/>
              <w:bottom w:val="nil"/>
              <w:right w:val="nil"/>
            </w:tcBorders>
            <w:shd w:val="clear" w:color="auto" w:fill="auto"/>
            <w:noWrap/>
            <w:vAlign w:val="bottom"/>
          </w:tcPr>
          <w:p w14:paraId="58689E06"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Employees withholding tax payable</w:t>
            </w:r>
          </w:p>
        </w:tc>
        <w:tc>
          <w:tcPr>
            <w:tcW w:w="2160" w:type="dxa"/>
            <w:tcBorders>
              <w:top w:val="nil"/>
              <w:left w:val="nil"/>
              <w:bottom w:val="nil"/>
              <w:right w:val="nil"/>
            </w:tcBorders>
            <w:shd w:val="clear" w:color="auto" w:fill="auto"/>
            <w:noWrap/>
            <w:vAlign w:val="bottom"/>
          </w:tcPr>
          <w:p w14:paraId="40833920" w14:textId="77777777"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2,375,071</w:t>
            </w:r>
          </w:p>
        </w:tc>
      </w:tr>
      <w:tr w:rsidR="00345AA4" w:rsidRPr="00345AA4" w14:paraId="2E0C488F" w14:textId="77777777" w:rsidTr="00975DCC">
        <w:trPr>
          <w:trHeight w:val="80"/>
        </w:trPr>
        <w:tc>
          <w:tcPr>
            <w:tcW w:w="5557" w:type="dxa"/>
            <w:tcBorders>
              <w:top w:val="nil"/>
              <w:left w:val="nil"/>
              <w:bottom w:val="nil"/>
              <w:right w:val="nil"/>
            </w:tcBorders>
            <w:shd w:val="clear" w:color="auto" w:fill="auto"/>
            <w:noWrap/>
            <w:vAlign w:val="bottom"/>
          </w:tcPr>
          <w:p w14:paraId="5CBF89F0" w14:textId="172FE7EA"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Unapplied receipts</w:t>
            </w:r>
          </w:p>
        </w:tc>
        <w:tc>
          <w:tcPr>
            <w:tcW w:w="2160" w:type="dxa"/>
            <w:tcBorders>
              <w:top w:val="nil"/>
              <w:left w:val="nil"/>
              <w:bottom w:val="nil"/>
              <w:right w:val="nil"/>
            </w:tcBorders>
            <w:shd w:val="clear" w:color="auto" w:fill="auto"/>
            <w:noWrap/>
            <w:vAlign w:val="bottom"/>
          </w:tcPr>
          <w:p w14:paraId="3B1BA16B" w14:textId="23E0BD0C"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1,683,285</w:t>
            </w:r>
          </w:p>
        </w:tc>
      </w:tr>
      <w:tr w:rsidR="00345AA4" w:rsidRPr="00345AA4" w14:paraId="6300C0A0" w14:textId="77777777" w:rsidTr="00975DCC">
        <w:trPr>
          <w:trHeight w:val="80"/>
        </w:trPr>
        <w:tc>
          <w:tcPr>
            <w:tcW w:w="5557" w:type="dxa"/>
            <w:tcBorders>
              <w:top w:val="nil"/>
              <w:left w:val="nil"/>
              <w:bottom w:val="nil"/>
              <w:right w:val="nil"/>
            </w:tcBorders>
            <w:shd w:val="clear" w:color="auto" w:fill="auto"/>
            <w:noWrap/>
            <w:vAlign w:val="bottom"/>
          </w:tcPr>
          <w:p w14:paraId="430967B8" w14:textId="341CC591"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AP trade land owner</w:t>
            </w:r>
          </w:p>
        </w:tc>
        <w:tc>
          <w:tcPr>
            <w:tcW w:w="2160" w:type="dxa"/>
            <w:tcBorders>
              <w:top w:val="nil"/>
              <w:left w:val="nil"/>
              <w:bottom w:val="nil"/>
              <w:right w:val="nil"/>
            </w:tcBorders>
            <w:shd w:val="clear" w:color="auto" w:fill="auto"/>
            <w:noWrap/>
            <w:vAlign w:val="bottom"/>
          </w:tcPr>
          <w:p w14:paraId="5ADCC865" w14:textId="4ED4157B"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1,593,400</w:t>
            </w:r>
          </w:p>
        </w:tc>
      </w:tr>
      <w:tr w:rsidR="00345AA4" w:rsidRPr="00345AA4" w14:paraId="6508E2DF" w14:textId="77777777" w:rsidTr="00975DCC">
        <w:trPr>
          <w:trHeight w:val="80"/>
        </w:trPr>
        <w:tc>
          <w:tcPr>
            <w:tcW w:w="5557" w:type="dxa"/>
            <w:tcBorders>
              <w:top w:val="nil"/>
              <w:left w:val="nil"/>
              <w:bottom w:val="nil"/>
              <w:right w:val="nil"/>
            </w:tcBorders>
            <w:shd w:val="clear" w:color="auto" w:fill="auto"/>
            <w:noWrap/>
            <w:vAlign w:val="bottom"/>
          </w:tcPr>
          <w:p w14:paraId="4D91C942" w14:textId="4BB01241"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(Forward)</w:t>
            </w:r>
          </w:p>
          <w:p w14:paraId="1EBD91EC" w14:textId="301916F0"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lastRenderedPageBreak/>
              <w:t>Buyers deposits, JV</w:t>
            </w:r>
          </w:p>
        </w:tc>
        <w:tc>
          <w:tcPr>
            <w:tcW w:w="2160" w:type="dxa"/>
            <w:tcBorders>
              <w:top w:val="nil"/>
              <w:left w:val="nil"/>
              <w:bottom w:val="nil"/>
              <w:right w:val="nil"/>
            </w:tcBorders>
            <w:shd w:val="clear" w:color="auto" w:fill="auto"/>
            <w:noWrap/>
            <w:vAlign w:val="bottom"/>
          </w:tcPr>
          <w:p w14:paraId="7836ECF7" w14:textId="77777777"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lastRenderedPageBreak/>
              <w:t xml:space="preserve">         </w:t>
            </w:r>
          </w:p>
          <w:p w14:paraId="6993C567" w14:textId="36D3D8F5"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lastRenderedPageBreak/>
              <w:t>1,588,425</w:t>
            </w:r>
          </w:p>
        </w:tc>
      </w:tr>
      <w:tr w:rsidR="00345AA4" w:rsidRPr="00345AA4" w14:paraId="6B8F6DA7" w14:textId="77777777" w:rsidTr="00975DCC">
        <w:trPr>
          <w:trHeight w:val="80"/>
        </w:trPr>
        <w:tc>
          <w:tcPr>
            <w:tcW w:w="5557" w:type="dxa"/>
            <w:tcBorders>
              <w:top w:val="nil"/>
              <w:left w:val="nil"/>
              <w:bottom w:val="nil"/>
              <w:right w:val="nil"/>
            </w:tcBorders>
            <w:shd w:val="clear" w:color="auto" w:fill="auto"/>
            <w:noWrap/>
            <w:vAlign w:val="bottom"/>
          </w:tcPr>
          <w:p w14:paraId="176A3DD4"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lastRenderedPageBreak/>
              <w:t>Unearned income, discounted members refund</w:t>
            </w:r>
          </w:p>
        </w:tc>
        <w:tc>
          <w:tcPr>
            <w:tcW w:w="2160" w:type="dxa"/>
            <w:tcBorders>
              <w:top w:val="nil"/>
              <w:left w:val="nil"/>
              <w:bottom w:val="nil"/>
              <w:right w:val="nil"/>
            </w:tcBorders>
            <w:shd w:val="clear" w:color="auto" w:fill="auto"/>
            <w:noWrap/>
            <w:vAlign w:val="bottom"/>
          </w:tcPr>
          <w:p w14:paraId="61D2B5A5" w14:textId="77777777"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1,247,112</w:t>
            </w:r>
          </w:p>
        </w:tc>
      </w:tr>
      <w:tr w:rsidR="00345AA4" w:rsidRPr="00345AA4" w14:paraId="3D19C1BD" w14:textId="77777777" w:rsidTr="00975DCC">
        <w:trPr>
          <w:trHeight w:val="80"/>
        </w:trPr>
        <w:tc>
          <w:tcPr>
            <w:tcW w:w="5557" w:type="dxa"/>
            <w:tcBorders>
              <w:top w:val="nil"/>
              <w:left w:val="nil"/>
              <w:bottom w:val="nil"/>
              <w:right w:val="nil"/>
            </w:tcBorders>
            <w:shd w:val="clear" w:color="auto" w:fill="auto"/>
            <w:noWrap/>
            <w:vAlign w:val="bottom"/>
          </w:tcPr>
          <w:p w14:paraId="4D9C0023"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Brokers withholding tax payable</w:t>
            </w:r>
          </w:p>
        </w:tc>
        <w:tc>
          <w:tcPr>
            <w:tcW w:w="2160" w:type="dxa"/>
            <w:tcBorders>
              <w:top w:val="nil"/>
              <w:left w:val="nil"/>
              <w:bottom w:val="nil"/>
              <w:right w:val="nil"/>
            </w:tcBorders>
            <w:shd w:val="clear" w:color="auto" w:fill="auto"/>
            <w:noWrap/>
            <w:vAlign w:val="bottom"/>
          </w:tcPr>
          <w:p w14:paraId="74BE218B" w14:textId="0D164F27"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1,014,112</w:t>
            </w:r>
          </w:p>
        </w:tc>
      </w:tr>
      <w:tr w:rsidR="00345AA4" w:rsidRPr="00345AA4" w14:paraId="5719D96C" w14:textId="77777777" w:rsidTr="00975DCC">
        <w:trPr>
          <w:trHeight w:val="80"/>
        </w:trPr>
        <w:tc>
          <w:tcPr>
            <w:tcW w:w="5557" w:type="dxa"/>
            <w:tcBorders>
              <w:top w:val="nil"/>
              <w:left w:val="nil"/>
              <w:bottom w:val="nil"/>
              <w:right w:val="nil"/>
            </w:tcBorders>
            <w:shd w:val="clear" w:color="auto" w:fill="auto"/>
            <w:noWrap/>
            <w:vAlign w:val="bottom"/>
          </w:tcPr>
          <w:p w14:paraId="2B3404BB" w14:textId="608B1D32"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AP trade others</w:t>
            </w:r>
          </w:p>
        </w:tc>
        <w:tc>
          <w:tcPr>
            <w:tcW w:w="2160" w:type="dxa"/>
            <w:tcBorders>
              <w:top w:val="nil"/>
              <w:left w:val="nil"/>
              <w:bottom w:val="nil"/>
              <w:right w:val="nil"/>
            </w:tcBorders>
            <w:shd w:val="clear" w:color="auto" w:fill="auto"/>
            <w:noWrap/>
            <w:vAlign w:val="bottom"/>
          </w:tcPr>
          <w:p w14:paraId="05A647B7" w14:textId="0B3BDF97"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886,480</w:t>
            </w:r>
          </w:p>
        </w:tc>
      </w:tr>
      <w:tr w:rsidR="00345AA4" w:rsidRPr="00345AA4" w14:paraId="0C1944B1" w14:textId="77777777" w:rsidTr="00975DCC">
        <w:trPr>
          <w:trHeight w:val="80"/>
        </w:trPr>
        <w:tc>
          <w:tcPr>
            <w:tcW w:w="5557" w:type="dxa"/>
            <w:tcBorders>
              <w:top w:val="nil"/>
              <w:left w:val="nil"/>
              <w:bottom w:val="nil"/>
              <w:right w:val="nil"/>
            </w:tcBorders>
            <w:shd w:val="clear" w:color="auto" w:fill="auto"/>
            <w:noWrap/>
            <w:vAlign w:val="bottom"/>
          </w:tcPr>
          <w:p w14:paraId="202A4D66"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Due to parent</w:t>
            </w:r>
          </w:p>
        </w:tc>
        <w:tc>
          <w:tcPr>
            <w:tcW w:w="2160" w:type="dxa"/>
            <w:tcBorders>
              <w:top w:val="nil"/>
              <w:left w:val="nil"/>
              <w:bottom w:val="nil"/>
              <w:right w:val="nil"/>
            </w:tcBorders>
            <w:shd w:val="clear" w:color="auto" w:fill="auto"/>
            <w:noWrap/>
            <w:vAlign w:val="bottom"/>
          </w:tcPr>
          <w:p w14:paraId="11E7FE73" w14:textId="77777777"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845,716</w:t>
            </w:r>
          </w:p>
        </w:tc>
      </w:tr>
      <w:tr w:rsidR="00345AA4" w:rsidRPr="00345AA4" w14:paraId="5C4197A3" w14:textId="77777777" w:rsidTr="00975DCC">
        <w:trPr>
          <w:trHeight w:val="80"/>
        </w:trPr>
        <w:tc>
          <w:tcPr>
            <w:tcW w:w="5557" w:type="dxa"/>
            <w:tcBorders>
              <w:top w:val="nil"/>
              <w:left w:val="nil"/>
              <w:bottom w:val="nil"/>
              <w:right w:val="nil"/>
            </w:tcBorders>
            <w:shd w:val="clear" w:color="auto" w:fill="auto"/>
            <w:noWrap/>
            <w:vAlign w:val="bottom"/>
          </w:tcPr>
          <w:p w14:paraId="406CF5A5"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VAT withholding tax, 5%/6%</w:t>
            </w:r>
          </w:p>
        </w:tc>
        <w:tc>
          <w:tcPr>
            <w:tcW w:w="2160" w:type="dxa"/>
            <w:tcBorders>
              <w:top w:val="nil"/>
              <w:left w:val="nil"/>
              <w:bottom w:val="nil"/>
              <w:right w:val="nil"/>
            </w:tcBorders>
            <w:shd w:val="clear" w:color="auto" w:fill="auto"/>
            <w:noWrap/>
            <w:vAlign w:val="bottom"/>
          </w:tcPr>
          <w:p w14:paraId="2F188F63" w14:textId="77777777"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342,715</w:t>
            </w:r>
          </w:p>
        </w:tc>
      </w:tr>
      <w:tr w:rsidR="00345AA4" w:rsidRPr="00345AA4" w14:paraId="5705AB69" w14:textId="77777777" w:rsidTr="00975DCC">
        <w:trPr>
          <w:trHeight w:val="80"/>
        </w:trPr>
        <w:tc>
          <w:tcPr>
            <w:tcW w:w="5557" w:type="dxa"/>
            <w:tcBorders>
              <w:top w:val="nil"/>
              <w:left w:val="nil"/>
              <w:bottom w:val="nil"/>
              <w:right w:val="nil"/>
            </w:tcBorders>
            <w:shd w:val="clear" w:color="auto" w:fill="auto"/>
            <w:noWrap/>
            <w:vAlign w:val="bottom"/>
          </w:tcPr>
          <w:p w14:paraId="5B633DC7"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Contractors/consultants withholding tax payable</w:t>
            </w:r>
          </w:p>
        </w:tc>
        <w:tc>
          <w:tcPr>
            <w:tcW w:w="2160" w:type="dxa"/>
            <w:tcBorders>
              <w:top w:val="nil"/>
              <w:left w:val="nil"/>
              <w:bottom w:val="nil"/>
              <w:right w:val="nil"/>
            </w:tcBorders>
            <w:shd w:val="clear" w:color="auto" w:fill="auto"/>
            <w:noWrap/>
            <w:vAlign w:val="bottom"/>
          </w:tcPr>
          <w:p w14:paraId="0945D4E9" w14:textId="04568C25"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210,033</w:t>
            </w:r>
          </w:p>
        </w:tc>
      </w:tr>
      <w:tr w:rsidR="00345AA4" w:rsidRPr="00345AA4" w14:paraId="1C75775A" w14:textId="77777777" w:rsidTr="00975DCC">
        <w:trPr>
          <w:trHeight w:val="80"/>
        </w:trPr>
        <w:tc>
          <w:tcPr>
            <w:tcW w:w="5557" w:type="dxa"/>
            <w:tcBorders>
              <w:top w:val="nil"/>
              <w:left w:val="nil"/>
              <w:bottom w:val="nil"/>
              <w:right w:val="nil"/>
            </w:tcBorders>
            <w:shd w:val="clear" w:color="auto" w:fill="auto"/>
            <w:noWrap/>
            <w:vAlign w:val="bottom"/>
          </w:tcPr>
          <w:p w14:paraId="0F8DC0E7"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Accrued interest expenses</w:t>
            </w:r>
          </w:p>
        </w:tc>
        <w:tc>
          <w:tcPr>
            <w:tcW w:w="2160" w:type="dxa"/>
            <w:tcBorders>
              <w:top w:val="nil"/>
              <w:left w:val="nil"/>
              <w:bottom w:val="nil"/>
              <w:right w:val="nil"/>
            </w:tcBorders>
            <w:shd w:val="clear" w:color="auto" w:fill="auto"/>
            <w:noWrap/>
            <w:vAlign w:val="bottom"/>
          </w:tcPr>
          <w:p w14:paraId="4C2E04A8" w14:textId="074B11DB"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200,402</w:t>
            </w:r>
          </w:p>
        </w:tc>
      </w:tr>
      <w:tr w:rsidR="00345AA4" w:rsidRPr="00345AA4" w14:paraId="615C7D52" w14:textId="77777777" w:rsidTr="00975DCC">
        <w:trPr>
          <w:trHeight w:val="80"/>
        </w:trPr>
        <w:tc>
          <w:tcPr>
            <w:tcW w:w="5557" w:type="dxa"/>
            <w:tcBorders>
              <w:top w:val="nil"/>
              <w:left w:val="nil"/>
              <w:bottom w:val="single" w:sz="4" w:space="0" w:color="auto"/>
              <w:right w:val="nil"/>
            </w:tcBorders>
            <w:shd w:val="clear" w:color="auto" w:fill="auto"/>
            <w:noWrap/>
            <w:vAlign w:val="bottom"/>
          </w:tcPr>
          <w:p w14:paraId="376F0603"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Creditable VAT/Percentage tax</w:t>
            </w:r>
          </w:p>
        </w:tc>
        <w:tc>
          <w:tcPr>
            <w:tcW w:w="2160" w:type="dxa"/>
            <w:tcBorders>
              <w:top w:val="nil"/>
              <w:left w:val="nil"/>
              <w:bottom w:val="single" w:sz="4" w:space="0" w:color="auto"/>
              <w:right w:val="nil"/>
            </w:tcBorders>
            <w:shd w:val="clear" w:color="auto" w:fill="auto"/>
            <w:noWrap/>
            <w:vAlign w:val="bottom"/>
          </w:tcPr>
          <w:p w14:paraId="394684AC" w14:textId="77777777"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30,704</w:t>
            </w:r>
          </w:p>
        </w:tc>
      </w:tr>
      <w:tr w:rsidR="00345AA4" w:rsidRPr="00345AA4" w14:paraId="40C1CAF9" w14:textId="77777777" w:rsidTr="00975DCC">
        <w:trPr>
          <w:trHeight w:val="80"/>
        </w:trPr>
        <w:tc>
          <w:tcPr>
            <w:tcW w:w="5557" w:type="dxa"/>
            <w:tcBorders>
              <w:top w:val="single" w:sz="4" w:space="0" w:color="auto"/>
              <w:left w:val="nil"/>
              <w:bottom w:val="single" w:sz="4" w:space="0" w:color="auto"/>
              <w:right w:val="nil"/>
            </w:tcBorders>
            <w:shd w:val="clear" w:color="auto" w:fill="auto"/>
            <w:noWrap/>
            <w:vAlign w:val="bottom"/>
          </w:tcPr>
          <w:p w14:paraId="34408D87" w14:textId="77777777" w:rsidR="00ED7D0B" w:rsidRPr="00345AA4" w:rsidRDefault="00ED7D0B" w:rsidP="00ED7D0B">
            <w:pPr>
              <w:spacing w:after="0" w:line="240" w:lineRule="auto"/>
              <w:rPr>
                <w:rFonts w:ascii="Arial" w:eastAsia="Times New Roman" w:hAnsi="Arial" w:cs="Arial"/>
                <w:color w:val="000000" w:themeColor="text1"/>
                <w:sz w:val="20"/>
                <w:szCs w:val="20"/>
              </w:rPr>
            </w:pPr>
          </w:p>
        </w:tc>
        <w:tc>
          <w:tcPr>
            <w:tcW w:w="2160" w:type="dxa"/>
            <w:tcBorders>
              <w:top w:val="single" w:sz="4" w:space="0" w:color="auto"/>
              <w:left w:val="nil"/>
              <w:bottom w:val="single" w:sz="4" w:space="0" w:color="auto"/>
              <w:right w:val="nil"/>
            </w:tcBorders>
            <w:shd w:val="clear" w:color="auto" w:fill="auto"/>
            <w:noWrap/>
            <w:vAlign w:val="bottom"/>
          </w:tcPr>
          <w:p w14:paraId="2B824C9C" w14:textId="7844B822"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P 1,</w:t>
            </w:r>
            <w:r w:rsidR="00F8148E" w:rsidRPr="00345AA4">
              <w:rPr>
                <w:rFonts w:ascii="Arial" w:eastAsia="Times New Roman" w:hAnsi="Arial" w:cs="Arial"/>
                <w:color w:val="000000" w:themeColor="text1"/>
                <w:sz w:val="20"/>
                <w:szCs w:val="20"/>
              </w:rPr>
              <w:t>048,400,630</w:t>
            </w:r>
          </w:p>
        </w:tc>
      </w:tr>
      <w:tr w:rsidR="00345AA4" w:rsidRPr="00345AA4" w14:paraId="7F9D84EE" w14:textId="77777777" w:rsidTr="00975DCC">
        <w:trPr>
          <w:trHeight w:val="80"/>
        </w:trPr>
        <w:tc>
          <w:tcPr>
            <w:tcW w:w="5557" w:type="dxa"/>
            <w:tcBorders>
              <w:top w:val="nil"/>
              <w:left w:val="nil"/>
              <w:bottom w:val="nil"/>
              <w:right w:val="nil"/>
            </w:tcBorders>
            <w:shd w:val="clear" w:color="auto" w:fill="auto"/>
            <w:noWrap/>
            <w:vAlign w:val="bottom"/>
          </w:tcPr>
          <w:p w14:paraId="6594852D" w14:textId="77777777" w:rsidR="00ED7D0B" w:rsidRPr="00345AA4" w:rsidRDefault="00ED7D0B" w:rsidP="00ED7D0B">
            <w:pPr>
              <w:spacing w:after="0" w:line="240" w:lineRule="auto"/>
              <w:rPr>
                <w:rFonts w:ascii="Arial" w:eastAsia="Times New Roman" w:hAnsi="Arial" w:cs="Arial"/>
                <w:color w:val="000000" w:themeColor="text1"/>
                <w:sz w:val="20"/>
                <w:szCs w:val="20"/>
              </w:rPr>
            </w:pPr>
          </w:p>
        </w:tc>
        <w:tc>
          <w:tcPr>
            <w:tcW w:w="2160" w:type="dxa"/>
            <w:tcBorders>
              <w:top w:val="nil"/>
              <w:left w:val="nil"/>
              <w:bottom w:val="nil"/>
              <w:right w:val="nil"/>
            </w:tcBorders>
            <w:shd w:val="clear" w:color="auto" w:fill="auto"/>
            <w:noWrap/>
            <w:vAlign w:val="bottom"/>
          </w:tcPr>
          <w:p w14:paraId="0DC5FD92" w14:textId="77777777" w:rsidR="00ED7D0B" w:rsidRPr="00345AA4" w:rsidRDefault="00ED7D0B" w:rsidP="00ED7D0B">
            <w:pPr>
              <w:spacing w:after="0" w:line="240" w:lineRule="auto"/>
              <w:jc w:val="right"/>
              <w:rPr>
                <w:rFonts w:ascii="Arial" w:eastAsia="Times New Roman" w:hAnsi="Arial" w:cs="Arial"/>
                <w:color w:val="000000" w:themeColor="text1"/>
                <w:sz w:val="20"/>
                <w:szCs w:val="20"/>
              </w:rPr>
            </w:pPr>
          </w:p>
        </w:tc>
      </w:tr>
      <w:tr w:rsidR="00345AA4" w:rsidRPr="00345AA4" w14:paraId="48A1B31F" w14:textId="77777777" w:rsidTr="00975DCC">
        <w:trPr>
          <w:trHeight w:val="80"/>
        </w:trPr>
        <w:tc>
          <w:tcPr>
            <w:tcW w:w="5557" w:type="dxa"/>
            <w:tcBorders>
              <w:top w:val="nil"/>
              <w:left w:val="nil"/>
              <w:bottom w:val="nil"/>
              <w:right w:val="nil"/>
            </w:tcBorders>
            <w:shd w:val="clear" w:color="auto" w:fill="auto"/>
            <w:noWrap/>
            <w:vAlign w:val="bottom"/>
          </w:tcPr>
          <w:p w14:paraId="590195D2"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Retained earnings, unappropriated</w:t>
            </w:r>
          </w:p>
        </w:tc>
        <w:tc>
          <w:tcPr>
            <w:tcW w:w="2160" w:type="dxa"/>
            <w:tcBorders>
              <w:top w:val="nil"/>
              <w:left w:val="nil"/>
              <w:bottom w:val="nil"/>
              <w:right w:val="nil"/>
            </w:tcBorders>
            <w:shd w:val="clear" w:color="auto" w:fill="auto"/>
            <w:noWrap/>
            <w:vAlign w:val="bottom"/>
          </w:tcPr>
          <w:p w14:paraId="2CDD80C4" w14:textId="1CE2CB84"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P 8,230,226,687</w:t>
            </w:r>
          </w:p>
        </w:tc>
      </w:tr>
      <w:tr w:rsidR="00345AA4" w:rsidRPr="00345AA4" w14:paraId="1D6AB0F3" w14:textId="77777777" w:rsidTr="00975DCC">
        <w:trPr>
          <w:trHeight w:val="80"/>
        </w:trPr>
        <w:tc>
          <w:tcPr>
            <w:tcW w:w="5557" w:type="dxa"/>
            <w:tcBorders>
              <w:top w:val="nil"/>
              <w:left w:val="nil"/>
              <w:bottom w:val="single" w:sz="4" w:space="0" w:color="auto"/>
              <w:right w:val="nil"/>
            </w:tcBorders>
            <w:shd w:val="clear" w:color="auto" w:fill="auto"/>
            <w:noWrap/>
            <w:vAlign w:val="bottom"/>
          </w:tcPr>
          <w:p w14:paraId="7E6196E2"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Cumulative unrealized gain/loss-FVOCI</w:t>
            </w:r>
          </w:p>
        </w:tc>
        <w:tc>
          <w:tcPr>
            <w:tcW w:w="2160" w:type="dxa"/>
            <w:tcBorders>
              <w:top w:val="nil"/>
              <w:left w:val="nil"/>
              <w:bottom w:val="single" w:sz="4" w:space="0" w:color="auto"/>
              <w:right w:val="nil"/>
            </w:tcBorders>
            <w:shd w:val="clear" w:color="auto" w:fill="auto"/>
            <w:noWrap/>
            <w:vAlign w:val="bottom"/>
          </w:tcPr>
          <w:p w14:paraId="00E64827" w14:textId="77777777"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 xml:space="preserve">       13,826,096</w:t>
            </w:r>
          </w:p>
        </w:tc>
      </w:tr>
      <w:tr w:rsidR="00345AA4" w:rsidRPr="00345AA4" w14:paraId="1D989AAD" w14:textId="77777777" w:rsidTr="00975DCC">
        <w:trPr>
          <w:trHeight w:val="80"/>
        </w:trPr>
        <w:tc>
          <w:tcPr>
            <w:tcW w:w="5557" w:type="dxa"/>
            <w:tcBorders>
              <w:top w:val="single" w:sz="4" w:space="0" w:color="auto"/>
              <w:left w:val="nil"/>
              <w:bottom w:val="single" w:sz="4" w:space="0" w:color="auto"/>
              <w:right w:val="nil"/>
            </w:tcBorders>
            <w:shd w:val="clear" w:color="auto" w:fill="auto"/>
            <w:noWrap/>
            <w:vAlign w:val="bottom"/>
          </w:tcPr>
          <w:p w14:paraId="21131746" w14:textId="77777777" w:rsidR="00ED7D0B" w:rsidRPr="00345AA4" w:rsidRDefault="00ED7D0B" w:rsidP="00ED7D0B">
            <w:pPr>
              <w:spacing w:after="0" w:line="240" w:lineRule="auto"/>
              <w:rPr>
                <w:rFonts w:ascii="Arial" w:eastAsia="Times New Roman" w:hAnsi="Arial" w:cs="Arial"/>
                <w:color w:val="000000" w:themeColor="text1"/>
                <w:sz w:val="20"/>
                <w:szCs w:val="20"/>
              </w:rPr>
            </w:pPr>
          </w:p>
        </w:tc>
        <w:tc>
          <w:tcPr>
            <w:tcW w:w="2160" w:type="dxa"/>
            <w:tcBorders>
              <w:top w:val="single" w:sz="4" w:space="0" w:color="auto"/>
              <w:left w:val="nil"/>
              <w:bottom w:val="single" w:sz="4" w:space="0" w:color="auto"/>
              <w:right w:val="nil"/>
            </w:tcBorders>
            <w:shd w:val="clear" w:color="auto" w:fill="auto"/>
            <w:noWrap/>
            <w:vAlign w:val="bottom"/>
          </w:tcPr>
          <w:p w14:paraId="747091DC" w14:textId="5FA5AB62" w:rsidR="00ED7D0B" w:rsidRPr="00345AA4" w:rsidRDefault="00ED7D0B" w:rsidP="00ED7D0B">
            <w:pPr>
              <w:spacing w:after="0" w:line="240" w:lineRule="auto"/>
              <w:jc w:val="right"/>
              <w:rPr>
                <w:rFonts w:ascii="Arial" w:eastAsia="Times New Roman" w:hAnsi="Arial" w:cs="Arial"/>
                <w:color w:val="000000" w:themeColor="text1"/>
                <w:sz w:val="20"/>
                <w:szCs w:val="20"/>
              </w:rPr>
            </w:pPr>
            <w:r w:rsidRPr="00345AA4">
              <w:rPr>
                <w:rFonts w:ascii="Arial" w:eastAsia="Times New Roman" w:hAnsi="Arial" w:cs="Arial"/>
                <w:color w:val="000000" w:themeColor="text1"/>
                <w:sz w:val="20"/>
                <w:szCs w:val="20"/>
              </w:rPr>
              <w:t>P 8,244,052,783</w:t>
            </w:r>
          </w:p>
        </w:tc>
      </w:tr>
      <w:tr w:rsidR="00ED7D0B" w:rsidRPr="00345AA4" w14:paraId="6F96F5E2" w14:textId="77777777" w:rsidTr="00975DCC">
        <w:trPr>
          <w:trHeight w:val="80"/>
        </w:trPr>
        <w:tc>
          <w:tcPr>
            <w:tcW w:w="5557" w:type="dxa"/>
            <w:tcBorders>
              <w:top w:val="single" w:sz="4" w:space="0" w:color="auto"/>
              <w:left w:val="nil"/>
              <w:bottom w:val="double" w:sz="4" w:space="0" w:color="auto"/>
              <w:right w:val="nil"/>
            </w:tcBorders>
            <w:shd w:val="clear" w:color="auto" w:fill="auto"/>
            <w:noWrap/>
            <w:vAlign w:val="bottom"/>
            <w:hideMark/>
          </w:tcPr>
          <w:p w14:paraId="02729061" w14:textId="77777777" w:rsidR="00ED7D0B" w:rsidRPr="00345AA4" w:rsidRDefault="00ED7D0B" w:rsidP="00ED7D0B">
            <w:pPr>
              <w:spacing w:after="0" w:line="240" w:lineRule="auto"/>
              <w:rPr>
                <w:rFonts w:ascii="Arial" w:eastAsia="Times New Roman" w:hAnsi="Arial" w:cs="Arial"/>
                <w:color w:val="000000" w:themeColor="text1"/>
                <w:sz w:val="20"/>
                <w:szCs w:val="20"/>
              </w:rPr>
            </w:pPr>
            <w:r w:rsidRPr="00345AA4">
              <w:rPr>
                <w:rFonts w:ascii="Arial" w:eastAsia="Times New Roman" w:hAnsi="Arial" w:cs="Arial"/>
                <w:b/>
                <w:color w:val="000000" w:themeColor="text1"/>
                <w:sz w:val="20"/>
                <w:szCs w:val="20"/>
              </w:rPr>
              <w:t>Total</w:t>
            </w:r>
          </w:p>
        </w:tc>
        <w:tc>
          <w:tcPr>
            <w:tcW w:w="2160" w:type="dxa"/>
            <w:tcBorders>
              <w:top w:val="single" w:sz="4" w:space="0" w:color="auto"/>
              <w:left w:val="nil"/>
              <w:bottom w:val="double" w:sz="4" w:space="0" w:color="auto"/>
              <w:right w:val="nil"/>
            </w:tcBorders>
            <w:shd w:val="clear" w:color="auto" w:fill="auto"/>
            <w:noWrap/>
            <w:vAlign w:val="bottom"/>
            <w:hideMark/>
          </w:tcPr>
          <w:p w14:paraId="00198F31" w14:textId="71ACBF11" w:rsidR="00ED7D0B" w:rsidRPr="00345AA4" w:rsidRDefault="00ED7D0B" w:rsidP="00ED7D0B">
            <w:pPr>
              <w:spacing w:after="0" w:line="240" w:lineRule="auto"/>
              <w:jc w:val="right"/>
              <w:rPr>
                <w:rFonts w:ascii="Arial" w:eastAsia="Times New Roman" w:hAnsi="Arial" w:cs="Arial"/>
                <w:b/>
                <w:color w:val="000000" w:themeColor="text1"/>
                <w:sz w:val="20"/>
                <w:szCs w:val="20"/>
              </w:rPr>
            </w:pPr>
            <w:r w:rsidRPr="00345AA4">
              <w:rPr>
                <w:rFonts w:ascii="Arial" w:eastAsia="Times New Roman" w:hAnsi="Arial" w:cs="Arial"/>
                <w:b/>
                <w:color w:val="000000" w:themeColor="text1"/>
                <w:sz w:val="20"/>
                <w:szCs w:val="20"/>
              </w:rPr>
              <w:t>P 9,873,487,846</w:t>
            </w:r>
          </w:p>
        </w:tc>
      </w:tr>
    </w:tbl>
    <w:p w14:paraId="0D63E0F3" w14:textId="77777777" w:rsidR="00A72CC8" w:rsidRPr="00345AA4" w:rsidRDefault="00A72CC8" w:rsidP="00975DCC">
      <w:pPr>
        <w:pStyle w:val="NoSpacing"/>
        <w:jc w:val="right"/>
        <w:rPr>
          <w:rFonts w:ascii="Arial" w:eastAsia="Times New Roman" w:hAnsi="Arial" w:cs="Arial"/>
          <w:color w:val="000000" w:themeColor="text1"/>
        </w:rPr>
      </w:pPr>
    </w:p>
    <w:p w14:paraId="4BB98AF1" w14:textId="77777777" w:rsidR="00A72CC8" w:rsidRPr="00345AA4" w:rsidRDefault="00A72CC8" w:rsidP="00A72CC8">
      <w:pPr>
        <w:pStyle w:val="ListParagraph"/>
        <w:numPr>
          <w:ilvl w:val="1"/>
          <w:numId w:val="1"/>
        </w:numPr>
        <w:tabs>
          <w:tab w:val="left" w:pos="990"/>
        </w:tabs>
        <w:ind w:left="900" w:hanging="540"/>
        <w:contextualSpacing/>
        <w:jc w:val="both"/>
        <w:rPr>
          <w:rFonts w:ascii="Arial" w:hAnsi="Arial" w:cs="Arial"/>
          <w:color w:val="000000" w:themeColor="text1"/>
          <w:sz w:val="22"/>
          <w:szCs w:val="22"/>
          <w:lang w:val="en-PH" w:eastAsia="en-PH"/>
        </w:rPr>
      </w:pPr>
      <w:r w:rsidRPr="00345AA4">
        <w:rPr>
          <w:rFonts w:ascii="Arial" w:hAnsi="Arial" w:cs="Arial"/>
          <w:color w:val="000000" w:themeColor="text1"/>
          <w:sz w:val="22"/>
          <w:szCs w:val="22"/>
        </w:rPr>
        <w:t xml:space="preserve">The total amount of assets, liabilities and equity with corresponding percentage as to the total </w:t>
      </w:r>
      <w:r w:rsidRPr="00345AA4">
        <w:rPr>
          <w:rFonts w:ascii="Arial" w:hAnsi="Arial" w:cs="Arial"/>
          <w:color w:val="000000" w:themeColor="text1"/>
          <w:sz w:val="22"/>
          <w:szCs w:val="22"/>
          <w:lang w:val="en-PH" w:eastAsia="en-PH"/>
        </w:rPr>
        <w:t>amount is illustrated as follows:</w:t>
      </w:r>
    </w:p>
    <w:p w14:paraId="28141007" w14:textId="77777777" w:rsidR="00A72CC8" w:rsidRPr="00345AA4" w:rsidRDefault="00A72CC8" w:rsidP="00A72CC8">
      <w:pPr>
        <w:pStyle w:val="ListParagraph"/>
        <w:tabs>
          <w:tab w:val="left" w:pos="990"/>
        </w:tabs>
        <w:ind w:left="900"/>
        <w:contextualSpacing/>
        <w:jc w:val="both"/>
        <w:rPr>
          <w:rFonts w:ascii="Arial" w:hAnsi="Arial" w:cs="Arial"/>
          <w:color w:val="000000" w:themeColor="text1"/>
          <w:sz w:val="22"/>
          <w:szCs w:val="22"/>
          <w:lang w:val="en-PH" w:eastAsia="en-PH"/>
        </w:rPr>
      </w:pPr>
    </w:p>
    <w:tbl>
      <w:tblPr>
        <w:tblStyle w:val="TableGrid"/>
        <w:tblW w:w="0" w:type="auto"/>
        <w:tblInd w:w="1008"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573"/>
        <w:gridCol w:w="1728"/>
      </w:tblGrid>
      <w:tr w:rsidR="00345AA4" w:rsidRPr="00345AA4" w14:paraId="70EB1C36" w14:textId="77777777" w:rsidTr="00975DCC">
        <w:tc>
          <w:tcPr>
            <w:tcW w:w="3547" w:type="dxa"/>
            <w:tcBorders>
              <w:top w:val="single" w:sz="4" w:space="0" w:color="auto"/>
              <w:bottom w:val="single" w:sz="4" w:space="0" w:color="auto"/>
            </w:tcBorders>
          </w:tcPr>
          <w:p w14:paraId="24B7932B" w14:textId="77777777" w:rsidR="00A72CC8" w:rsidRPr="00345AA4" w:rsidRDefault="00A72CC8" w:rsidP="00375E56">
            <w:pPr>
              <w:pStyle w:val="ListParagraph"/>
              <w:tabs>
                <w:tab w:val="left" w:pos="990"/>
              </w:tabs>
              <w:ind w:left="0"/>
              <w:contextualSpacing/>
              <w:jc w:val="center"/>
              <w:rPr>
                <w:rFonts w:ascii="Arial" w:hAnsi="Arial" w:cs="Arial"/>
                <w:b/>
                <w:color w:val="000000" w:themeColor="text1"/>
                <w:sz w:val="22"/>
                <w:szCs w:val="22"/>
                <w:lang w:val="en-PH"/>
              </w:rPr>
            </w:pPr>
            <w:r w:rsidRPr="00345AA4">
              <w:rPr>
                <w:rFonts w:ascii="Arial" w:hAnsi="Arial" w:cs="Arial"/>
                <w:b/>
                <w:color w:val="000000" w:themeColor="text1"/>
                <w:sz w:val="22"/>
                <w:szCs w:val="22"/>
                <w:lang w:val="en-PH"/>
              </w:rPr>
              <w:t>Account</w:t>
            </w:r>
          </w:p>
        </w:tc>
        <w:tc>
          <w:tcPr>
            <w:tcW w:w="2573" w:type="dxa"/>
            <w:tcBorders>
              <w:top w:val="single" w:sz="4" w:space="0" w:color="auto"/>
              <w:bottom w:val="single" w:sz="4" w:space="0" w:color="auto"/>
            </w:tcBorders>
          </w:tcPr>
          <w:p w14:paraId="31959C0F" w14:textId="77777777" w:rsidR="00A72CC8" w:rsidRPr="00345AA4" w:rsidRDefault="00A72CC8" w:rsidP="00375E56">
            <w:pPr>
              <w:pStyle w:val="ListParagraph"/>
              <w:tabs>
                <w:tab w:val="left" w:pos="990"/>
              </w:tabs>
              <w:ind w:left="0"/>
              <w:contextualSpacing/>
              <w:jc w:val="center"/>
              <w:rPr>
                <w:rFonts w:ascii="Arial" w:hAnsi="Arial" w:cs="Arial"/>
                <w:b/>
                <w:color w:val="000000" w:themeColor="text1"/>
                <w:sz w:val="22"/>
                <w:szCs w:val="22"/>
                <w:lang w:val="en-PH"/>
              </w:rPr>
            </w:pPr>
            <w:r w:rsidRPr="00345AA4">
              <w:rPr>
                <w:rFonts w:ascii="Arial" w:hAnsi="Arial" w:cs="Arial"/>
                <w:b/>
                <w:color w:val="000000" w:themeColor="text1"/>
                <w:sz w:val="22"/>
                <w:szCs w:val="22"/>
                <w:lang w:val="en-PH"/>
              </w:rPr>
              <w:t>Total amount</w:t>
            </w:r>
          </w:p>
        </w:tc>
        <w:tc>
          <w:tcPr>
            <w:tcW w:w="1728" w:type="dxa"/>
            <w:tcBorders>
              <w:top w:val="single" w:sz="4" w:space="0" w:color="auto"/>
              <w:bottom w:val="single" w:sz="4" w:space="0" w:color="auto"/>
            </w:tcBorders>
          </w:tcPr>
          <w:p w14:paraId="5390B135" w14:textId="77777777" w:rsidR="00A72CC8" w:rsidRPr="00345AA4" w:rsidRDefault="00A72CC8" w:rsidP="00375E56">
            <w:pPr>
              <w:pStyle w:val="ListParagraph"/>
              <w:tabs>
                <w:tab w:val="left" w:pos="990"/>
              </w:tabs>
              <w:ind w:left="0"/>
              <w:contextualSpacing/>
              <w:jc w:val="center"/>
              <w:rPr>
                <w:rFonts w:ascii="Arial" w:hAnsi="Arial" w:cs="Arial"/>
                <w:b/>
                <w:color w:val="000000" w:themeColor="text1"/>
                <w:sz w:val="22"/>
                <w:szCs w:val="22"/>
                <w:lang w:val="en-PH"/>
              </w:rPr>
            </w:pPr>
            <w:r w:rsidRPr="00345AA4">
              <w:rPr>
                <w:rFonts w:ascii="Arial" w:hAnsi="Arial" w:cs="Arial"/>
                <w:b/>
                <w:color w:val="000000" w:themeColor="text1"/>
                <w:sz w:val="22"/>
                <w:szCs w:val="22"/>
                <w:lang w:val="en-PH"/>
              </w:rPr>
              <w:t>% to total</w:t>
            </w:r>
          </w:p>
        </w:tc>
      </w:tr>
      <w:tr w:rsidR="00345AA4" w:rsidRPr="00345AA4" w14:paraId="10C9517B" w14:textId="77777777" w:rsidTr="00975DCC">
        <w:tc>
          <w:tcPr>
            <w:tcW w:w="3547" w:type="dxa"/>
            <w:tcBorders>
              <w:top w:val="single" w:sz="4" w:space="0" w:color="auto"/>
            </w:tcBorders>
          </w:tcPr>
          <w:p w14:paraId="06A63B48" w14:textId="77777777" w:rsidR="00A72CC8" w:rsidRPr="00345AA4" w:rsidRDefault="00A72CC8" w:rsidP="00375E56">
            <w:pPr>
              <w:pStyle w:val="ListParagraph"/>
              <w:tabs>
                <w:tab w:val="left" w:pos="990"/>
              </w:tabs>
              <w:ind w:left="0"/>
              <w:contextualSpacing/>
              <w:jc w:val="both"/>
              <w:rPr>
                <w:rFonts w:ascii="Arial" w:hAnsi="Arial" w:cs="Arial"/>
                <w:color w:val="000000" w:themeColor="text1"/>
                <w:sz w:val="22"/>
                <w:szCs w:val="22"/>
                <w:lang w:val="en-PH"/>
              </w:rPr>
            </w:pPr>
            <w:r w:rsidRPr="00345AA4">
              <w:rPr>
                <w:rFonts w:ascii="Arial" w:hAnsi="Arial" w:cs="Arial"/>
                <w:color w:val="000000" w:themeColor="text1"/>
                <w:sz w:val="22"/>
                <w:szCs w:val="22"/>
                <w:lang w:val="en-PH"/>
              </w:rPr>
              <w:t>Assets</w:t>
            </w:r>
          </w:p>
        </w:tc>
        <w:tc>
          <w:tcPr>
            <w:tcW w:w="2573" w:type="dxa"/>
            <w:tcBorders>
              <w:top w:val="single" w:sz="4" w:space="0" w:color="auto"/>
            </w:tcBorders>
          </w:tcPr>
          <w:p w14:paraId="323CEFC8" w14:textId="7AD6F096" w:rsidR="00A72CC8" w:rsidRPr="00345AA4" w:rsidRDefault="00A72CC8" w:rsidP="00375E56">
            <w:pPr>
              <w:pStyle w:val="ListParagraph"/>
              <w:tabs>
                <w:tab w:val="left" w:pos="990"/>
              </w:tabs>
              <w:ind w:left="0"/>
              <w:contextualSpacing/>
              <w:jc w:val="right"/>
              <w:rPr>
                <w:rFonts w:ascii="Arial" w:hAnsi="Arial" w:cs="Arial"/>
                <w:color w:val="000000" w:themeColor="text1"/>
                <w:sz w:val="22"/>
                <w:szCs w:val="22"/>
                <w:lang w:val="en-PH"/>
              </w:rPr>
            </w:pPr>
            <w:r w:rsidRPr="00345AA4">
              <w:rPr>
                <w:rFonts w:ascii="Arial" w:hAnsi="Arial" w:cs="Arial"/>
                <w:color w:val="000000" w:themeColor="text1"/>
                <w:sz w:val="22"/>
                <w:szCs w:val="22"/>
              </w:rPr>
              <w:t>P   5</w:t>
            </w:r>
            <w:r w:rsidR="00F8148E" w:rsidRPr="00345AA4">
              <w:rPr>
                <w:rFonts w:ascii="Arial" w:hAnsi="Arial" w:cs="Arial"/>
                <w:color w:val="000000" w:themeColor="text1"/>
                <w:sz w:val="22"/>
                <w:szCs w:val="22"/>
              </w:rPr>
              <w:t>81,034,433</w:t>
            </w:r>
          </w:p>
        </w:tc>
        <w:tc>
          <w:tcPr>
            <w:tcW w:w="1728" w:type="dxa"/>
            <w:tcBorders>
              <w:top w:val="single" w:sz="4" w:space="0" w:color="auto"/>
            </w:tcBorders>
            <w:vAlign w:val="bottom"/>
          </w:tcPr>
          <w:p w14:paraId="66C78F17" w14:textId="77777777" w:rsidR="00A72CC8" w:rsidRPr="00345AA4" w:rsidRDefault="004D57B3" w:rsidP="00525F19">
            <w:pPr>
              <w:pStyle w:val="ListParagraph"/>
              <w:tabs>
                <w:tab w:val="left" w:pos="990"/>
              </w:tabs>
              <w:ind w:left="0"/>
              <w:contextualSpacing/>
              <w:jc w:val="center"/>
              <w:rPr>
                <w:rFonts w:ascii="Arial" w:hAnsi="Arial" w:cs="Arial"/>
                <w:color w:val="000000" w:themeColor="text1"/>
                <w:sz w:val="22"/>
                <w:szCs w:val="22"/>
                <w:lang w:val="en-PH"/>
              </w:rPr>
            </w:pPr>
            <w:r w:rsidRPr="00345AA4">
              <w:rPr>
                <w:rFonts w:ascii="Arial" w:hAnsi="Arial" w:cs="Arial"/>
                <w:color w:val="000000" w:themeColor="text1"/>
                <w:sz w:val="22"/>
                <w:szCs w:val="22"/>
              </w:rPr>
              <w:t>6</w:t>
            </w:r>
          </w:p>
        </w:tc>
      </w:tr>
      <w:tr w:rsidR="00345AA4" w:rsidRPr="00345AA4" w14:paraId="4D9B4A8D" w14:textId="77777777" w:rsidTr="00975DCC">
        <w:tc>
          <w:tcPr>
            <w:tcW w:w="3547" w:type="dxa"/>
            <w:vAlign w:val="bottom"/>
          </w:tcPr>
          <w:p w14:paraId="16479349" w14:textId="77777777" w:rsidR="00A72CC8" w:rsidRPr="00345AA4" w:rsidRDefault="00A72CC8" w:rsidP="00375E56">
            <w:pPr>
              <w:pStyle w:val="ListParagraph"/>
              <w:tabs>
                <w:tab w:val="left" w:pos="990"/>
              </w:tabs>
              <w:ind w:left="0"/>
              <w:contextualSpacing/>
              <w:jc w:val="both"/>
              <w:rPr>
                <w:rFonts w:ascii="Arial" w:hAnsi="Arial" w:cs="Arial"/>
                <w:color w:val="000000" w:themeColor="text1"/>
                <w:sz w:val="22"/>
                <w:szCs w:val="22"/>
                <w:lang w:val="en-PH"/>
              </w:rPr>
            </w:pPr>
            <w:r w:rsidRPr="00345AA4">
              <w:rPr>
                <w:rFonts w:ascii="Arial" w:hAnsi="Arial" w:cs="Arial"/>
                <w:color w:val="000000" w:themeColor="text1"/>
                <w:sz w:val="22"/>
                <w:szCs w:val="22"/>
              </w:rPr>
              <w:t>Liabilities</w:t>
            </w:r>
          </w:p>
        </w:tc>
        <w:tc>
          <w:tcPr>
            <w:tcW w:w="2573" w:type="dxa"/>
            <w:vAlign w:val="bottom"/>
          </w:tcPr>
          <w:p w14:paraId="52EA0274" w14:textId="6AFFB884" w:rsidR="00A72CC8" w:rsidRPr="00345AA4" w:rsidRDefault="00A72CC8" w:rsidP="00375E56">
            <w:pPr>
              <w:pStyle w:val="ListParagraph"/>
              <w:tabs>
                <w:tab w:val="left" w:pos="990"/>
              </w:tabs>
              <w:ind w:left="0"/>
              <w:contextualSpacing/>
              <w:jc w:val="right"/>
              <w:rPr>
                <w:rFonts w:ascii="Arial" w:hAnsi="Arial" w:cs="Arial"/>
                <w:color w:val="000000" w:themeColor="text1"/>
                <w:sz w:val="22"/>
                <w:szCs w:val="22"/>
              </w:rPr>
            </w:pPr>
            <w:r w:rsidRPr="00345AA4">
              <w:rPr>
                <w:rFonts w:ascii="Arial" w:hAnsi="Arial" w:cs="Arial"/>
                <w:color w:val="000000" w:themeColor="text1"/>
                <w:sz w:val="22"/>
                <w:szCs w:val="22"/>
              </w:rPr>
              <w:t xml:space="preserve">  1,0</w:t>
            </w:r>
            <w:r w:rsidR="00F8148E" w:rsidRPr="00345AA4">
              <w:rPr>
                <w:rFonts w:ascii="Arial" w:hAnsi="Arial" w:cs="Arial"/>
                <w:color w:val="000000" w:themeColor="text1"/>
                <w:sz w:val="22"/>
                <w:szCs w:val="22"/>
              </w:rPr>
              <w:t>48,400,630</w:t>
            </w:r>
          </w:p>
        </w:tc>
        <w:tc>
          <w:tcPr>
            <w:tcW w:w="1728" w:type="dxa"/>
            <w:vAlign w:val="bottom"/>
          </w:tcPr>
          <w:p w14:paraId="766CF90C" w14:textId="77777777" w:rsidR="00A72CC8" w:rsidRPr="00345AA4" w:rsidRDefault="00A72CC8" w:rsidP="004D57B3">
            <w:pPr>
              <w:pStyle w:val="ListParagraph"/>
              <w:tabs>
                <w:tab w:val="left" w:pos="990"/>
              </w:tabs>
              <w:ind w:left="0"/>
              <w:contextualSpacing/>
              <w:jc w:val="center"/>
              <w:rPr>
                <w:rFonts w:ascii="Arial" w:hAnsi="Arial" w:cs="Arial"/>
                <w:color w:val="000000" w:themeColor="text1"/>
                <w:sz w:val="22"/>
                <w:szCs w:val="22"/>
                <w:lang w:val="en-PH"/>
              </w:rPr>
            </w:pPr>
            <w:r w:rsidRPr="00345AA4">
              <w:rPr>
                <w:rFonts w:ascii="Arial" w:hAnsi="Arial" w:cs="Arial"/>
                <w:color w:val="000000" w:themeColor="text1"/>
                <w:sz w:val="22"/>
                <w:szCs w:val="22"/>
              </w:rPr>
              <w:fldChar w:fldCharType="begin"/>
            </w:r>
            <w:r w:rsidRPr="00345AA4">
              <w:rPr>
                <w:rFonts w:ascii="Arial" w:hAnsi="Arial" w:cs="Arial"/>
                <w:color w:val="000000" w:themeColor="text1"/>
                <w:sz w:val="22"/>
                <w:szCs w:val="22"/>
              </w:rPr>
              <w:instrText xml:space="preserve"> =b3/b5 \# "0%" </w:instrText>
            </w:r>
            <w:r w:rsidRPr="00345AA4">
              <w:rPr>
                <w:rFonts w:ascii="Arial" w:hAnsi="Arial" w:cs="Arial"/>
                <w:color w:val="000000" w:themeColor="text1"/>
                <w:sz w:val="22"/>
                <w:szCs w:val="22"/>
              </w:rPr>
              <w:fldChar w:fldCharType="separate"/>
            </w:r>
            <w:r w:rsidRPr="00345AA4">
              <w:rPr>
                <w:rFonts w:ascii="Arial" w:hAnsi="Arial" w:cs="Arial"/>
                <w:noProof/>
                <w:color w:val="000000" w:themeColor="text1"/>
                <w:sz w:val="22"/>
                <w:szCs w:val="22"/>
              </w:rPr>
              <w:t>11</w:t>
            </w:r>
            <w:r w:rsidRPr="00345AA4">
              <w:rPr>
                <w:rFonts w:ascii="Arial" w:hAnsi="Arial" w:cs="Arial"/>
                <w:color w:val="000000" w:themeColor="text1"/>
                <w:sz w:val="22"/>
                <w:szCs w:val="22"/>
              </w:rPr>
              <w:fldChar w:fldCharType="end"/>
            </w:r>
          </w:p>
        </w:tc>
      </w:tr>
      <w:tr w:rsidR="00345AA4" w:rsidRPr="00345AA4" w14:paraId="0C2709BF" w14:textId="77777777" w:rsidTr="00975DCC">
        <w:trPr>
          <w:trHeight w:val="187"/>
        </w:trPr>
        <w:tc>
          <w:tcPr>
            <w:tcW w:w="3547" w:type="dxa"/>
            <w:tcBorders>
              <w:bottom w:val="single" w:sz="4" w:space="0" w:color="auto"/>
            </w:tcBorders>
            <w:vAlign w:val="bottom"/>
          </w:tcPr>
          <w:p w14:paraId="5987F38A" w14:textId="77777777" w:rsidR="00A72CC8" w:rsidRPr="00345AA4" w:rsidRDefault="00A72CC8" w:rsidP="00375E56">
            <w:pPr>
              <w:pStyle w:val="ListParagraph"/>
              <w:tabs>
                <w:tab w:val="left" w:pos="990"/>
              </w:tabs>
              <w:ind w:left="0"/>
              <w:contextualSpacing/>
              <w:jc w:val="both"/>
              <w:rPr>
                <w:rFonts w:ascii="Arial" w:hAnsi="Arial" w:cs="Arial"/>
                <w:color w:val="000000" w:themeColor="text1"/>
                <w:sz w:val="22"/>
                <w:szCs w:val="22"/>
                <w:lang w:val="en-PH"/>
              </w:rPr>
            </w:pPr>
            <w:r w:rsidRPr="00345AA4">
              <w:rPr>
                <w:rFonts w:ascii="Arial" w:hAnsi="Arial" w:cs="Arial"/>
                <w:color w:val="000000" w:themeColor="text1"/>
                <w:sz w:val="22"/>
                <w:szCs w:val="22"/>
              </w:rPr>
              <w:t>Equity</w:t>
            </w:r>
          </w:p>
        </w:tc>
        <w:tc>
          <w:tcPr>
            <w:tcW w:w="2573" w:type="dxa"/>
            <w:tcBorders>
              <w:bottom w:val="single" w:sz="4" w:space="0" w:color="auto"/>
            </w:tcBorders>
            <w:vAlign w:val="bottom"/>
          </w:tcPr>
          <w:p w14:paraId="4F96D9B0" w14:textId="166D5B64" w:rsidR="00A72CC8" w:rsidRPr="00345AA4" w:rsidRDefault="00A72CC8" w:rsidP="00375E56">
            <w:pPr>
              <w:pStyle w:val="ListParagraph"/>
              <w:tabs>
                <w:tab w:val="left" w:pos="990"/>
              </w:tabs>
              <w:ind w:left="0"/>
              <w:contextualSpacing/>
              <w:jc w:val="right"/>
              <w:rPr>
                <w:rFonts w:ascii="Arial" w:hAnsi="Arial" w:cs="Arial"/>
                <w:color w:val="000000" w:themeColor="text1"/>
                <w:sz w:val="22"/>
                <w:szCs w:val="22"/>
              </w:rPr>
            </w:pPr>
            <w:r w:rsidRPr="00345AA4">
              <w:rPr>
                <w:rFonts w:ascii="Arial" w:hAnsi="Arial" w:cs="Arial"/>
                <w:color w:val="000000" w:themeColor="text1"/>
                <w:sz w:val="22"/>
                <w:szCs w:val="22"/>
              </w:rPr>
              <w:t>8,2</w:t>
            </w:r>
            <w:r w:rsidR="00A51DDB" w:rsidRPr="00345AA4">
              <w:rPr>
                <w:rFonts w:ascii="Arial" w:hAnsi="Arial" w:cs="Arial"/>
                <w:color w:val="000000" w:themeColor="text1"/>
                <w:sz w:val="22"/>
                <w:szCs w:val="22"/>
              </w:rPr>
              <w:t>44,052,783</w:t>
            </w:r>
          </w:p>
        </w:tc>
        <w:tc>
          <w:tcPr>
            <w:tcW w:w="1728" w:type="dxa"/>
            <w:tcBorders>
              <w:bottom w:val="single" w:sz="4" w:space="0" w:color="auto"/>
            </w:tcBorders>
            <w:vAlign w:val="bottom"/>
          </w:tcPr>
          <w:p w14:paraId="692A05A2" w14:textId="77777777" w:rsidR="00A72CC8" w:rsidRPr="00345AA4" w:rsidRDefault="00A72CC8" w:rsidP="004D57B3">
            <w:pPr>
              <w:pStyle w:val="ListParagraph"/>
              <w:tabs>
                <w:tab w:val="left" w:pos="990"/>
              </w:tabs>
              <w:ind w:left="0"/>
              <w:contextualSpacing/>
              <w:jc w:val="center"/>
              <w:rPr>
                <w:rFonts w:ascii="Arial" w:hAnsi="Arial" w:cs="Arial"/>
                <w:color w:val="000000" w:themeColor="text1"/>
                <w:sz w:val="22"/>
                <w:szCs w:val="22"/>
                <w:lang w:val="en-PH"/>
              </w:rPr>
            </w:pPr>
            <w:r w:rsidRPr="00345AA4">
              <w:rPr>
                <w:rFonts w:ascii="Arial" w:hAnsi="Arial" w:cs="Arial"/>
                <w:color w:val="000000" w:themeColor="text1"/>
                <w:sz w:val="22"/>
                <w:szCs w:val="22"/>
              </w:rPr>
              <w:fldChar w:fldCharType="begin"/>
            </w:r>
            <w:r w:rsidRPr="00345AA4">
              <w:rPr>
                <w:rFonts w:ascii="Arial" w:hAnsi="Arial" w:cs="Arial"/>
                <w:color w:val="000000" w:themeColor="text1"/>
                <w:sz w:val="22"/>
                <w:szCs w:val="22"/>
              </w:rPr>
              <w:instrText xml:space="preserve"> =b4/b5 \# "0%" </w:instrText>
            </w:r>
            <w:r w:rsidRPr="00345AA4">
              <w:rPr>
                <w:rFonts w:ascii="Arial" w:hAnsi="Arial" w:cs="Arial"/>
                <w:color w:val="000000" w:themeColor="text1"/>
                <w:sz w:val="22"/>
                <w:szCs w:val="22"/>
              </w:rPr>
              <w:fldChar w:fldCharType="separate"/>
            </w:r>
            <w:r w:rsidRPr="00345AA4">
              <w:rPr>
                <w:rFonts w:ascii="Arial" w:hAnsi="Arial" w:cs="Arial"/>
                <w:noProof/>
                <w:color w:val="000000" w:themeColor="text1"/>
                <w:sz w:val="22"/>
                <w:szCs w:val="22"/>
              </w:rPr>
              <w:t>83</w:t>
            </w:r>
            <w:r w:rsidRPr="00345AA4">
              <w:rPr>
                <w:rFonts w:ascii="Arial" w:hAnsi="Arial" w:cs="Arial"/>
                <w:color w:val="000000" w:themeColor="text1"/>
                <w:sz w:val="22"/>
                <w:szCs w:val="22"/>
              </w:rPr>
              <w:fldChar w:fldCharType="end"/>
            </w:r>
          </w:p>
        </w:tc>
      </w:tr>
      <w:tr w:rsidR="00A85B97" w:rsidRPr="00345AA4" w14:paraId="2DABE4A7" w14:textId="77777777" w:rsidTr="00975DCC">
        <w:tc>
          <w:tcPr>
            <w:tcW w:w="3547" w:type="dxa"/>
            <w:tcBorders>
              <w:top w:val="single" w:sz="4" w:space="0" w:color="auto"/>
              <w:bottom w:val="double" w:sz="4" w:space="0" w:color="auto"/>
            </w:tcBorders>
            <w:vAlign w:val="bottom"/>
          </w:tcPr>
          <w:p w14:paraId="50AD9B75" w14:textId="77777777" w:rsidR="00A72CC8" w:rsidRPr="00345AA4" w:rsidRDefault="00A72CC8" w:rsidP="00375E56">
            <w:pPr>
              <w:pStyle w:val="ListParagraph"/>
              <w:tabs>
                <w:tab w:val="left" w:pos="990"/>
              </w:tabs>
              <w:ind w:left="0"/>
              <w:contextualSpacing/>
              <w:jc w:val="both"/>
              <w:rPr>
                <w:rFonts w:ascii="Arial" w:hAnsi="Arial" w:cs="Arial"/>
                <w:color w:val="000000" w:themeColor="text1"/>
                <w:sz w:val="22"/>
                <w:szCs w:val="22"/>
                <w:lang w:val="en-PH"/>
              </w:rPr>
            </w:pPr>
            <w:r w:rsidRPr="00345AA4">
              <w:rPr>
                <w:rFonts w:ascii="Arial" w:hAnsi="Arial" w:cs="Arial"/>
                <w:b/>
                <w:bCs/>
                <w:color w:val="000000" w:themeColor="text1"/>
                <w:sz w:val="22"/>
                <w:szCs w:val="22"/>
              </w:rPr>
              <w:t>Total</w:t>
            </w:r>
          </w:p>
        </w:tc>
        <w:tc>
          <w:tcPr>
            <w:tcW w:w="2573" w:type="dxa"/>
            <w:tcBorders>
              <w:top w:val="single" w:sz="4" w:space="0" w:color="auto"/>
              <w:bottom w:val="double" w:sz="4" w:space="0" w:color="auto"/>
            </w:tcBorders>
            <w:vAlign w:val="bottom"/>
          </w:tcPr>
          <w:p w14:paraId="2F31C4C0" w14:textId="7C57CF6F" w:rsidR="00A72CC8" w:rsidRPr="00345AA4" w:rsidRDefault="00A72CC8" w:rsidP="009E70FA">
            <w:pPr>
              <w:pStyle w:val="ListParagraph"/>
              <w:tabs>
                <w:tab w:val="left" w:pos="990"/>
              </w:tabs>
              <w:ind w:left="0"/>
              <w:contextualSpacing/>
              <w:jc w:val="right"/>
              <w:rPr>
                <w:rFonts w:ascii="Arial" w:hAnsi="Arial" w:cs="Arial"/>
                <w:color w:val="000000" w:themeColor="text1"/>
                <w:sz w:val="22"/>
                <w:szCs w:val="22"/>
              </w:rPr>
            </w:pPr>
            <w:r w:rsidRPr="00345AA4">
              <w:rPr>
                <w:rFonts w:ascii="Arial" w:hAnsi="Arial" w:cs="Arial"/>
                <w:b/>
                <w:bCs/>
                <w:color w:val="000000" w:themeColor="text1"/>
                <w:sz w:val="22"/>
                <w:szCs w:val="22"/>
              </w:rPr>
              <w:t>P</w:t>
            </w:r>
            <w:r w:rsidR="009E70FA" w:rsidRPr="00345AA4">
              <w:rPr>
                <w:rFonts w:ascii="Arial" w:hAnsi="Arial" w:cs="Arial"/>
                <w:b/>
                <w:bCs/>
                <w:color w:val="000000" w:themeColor="text1"/>
                <w:sz w:val="22"/>
                <w:szCs w:val="22"/>
              </w:rPr>
              <w:t>9,873,487,84</w:t>
            </w:r>
            <w:r w:rsidR="00A51DDB" w:rsidRPr="00345AA4">
              <w:rPr>
                <w:rFonts w:ascii="Arial" w:hAnsi="Arial" w:cs="Arial"/>
                <w:b/>
                <w:bCs/>
                <w:color w:val="000000" w:themeColor="text1"/>
                <w:sz w:val="22"/>
                <w:szCs w:val="22"/>
              </w:rPr>
              <w:t>6</w:t>
            </w:r>
          </w:p>
        </w:tc>
        <w:tc>
          <w:tcPr>
            <w:tcW w:w="1728" w:type="dxa"/>
            <w:tcBorders>
              <w:top w:val="single" w:sz="4" w:space="0" w:color="auto"/>
              <w:bottom w:val="double" w:sz="4" w:space="0" w:color="auto"/>
            </w:tcBorders>
          </w:tcPr>
          <w:p w14:paraId="2355CD26" w14:textId="77777777" w:rsidR="00A72CC8" w:rsidRPr="00345AA4" w:rsidRDefault="00A72CC8" w:rsidP="00375E56">
            <w:pPr>
              <w:pStyle w:val="ListParagraph"/>
              <w:tabs>
                <w:tab w:val="left" w:pos="990"/>
              </w:tabs>
              <w:ind w:left="0"/>
              <w:contextualSpacing/>
              <w:jc w:val="right"/>
              <w:rPr>
                <w:rFonts w:ascii="Arial" w:hAnsi="Arial" w:cs="Arial"/>
                <w:color w:val="000000" w:themeColor="text1"/>
                <w:sz w:val="22"/>
                <w:szCs w:val="22"/>
                <w:lang w:val="en-PH"/>
              </w:rPr>
            </w:pPr>
          </w:p>
        </w:tc>
      </w:tr>
    </w:tbl>
    <w:p w14:paraId="366F96D6" w14:textId="77777777" w:rsidR="00A72CC8" w:rsidRPr="00345AA4" w:rsidRDefault="00A72CC8" w:rsidP="00A72CC8">
      <w:pPr>
        <w:pStyle w:val="ListParagraph"/>
        <w:tabs>
          <w:tab w:val="left" w:pos="990"/>
        </w:tabs>
        <w:ind w:left="900"/>
        <w:contextualSpacing/>
        <w:jc w:val="both"/>
        <w:rPr>
          <w:rFonts w:ascii="Arial" w:hAnsi="Arial" w:cs="Arial"/>
          <w:color w:val="000000" w:themeColor="text1"/>
          <w:sz w:val="22"/>
          <w:szCs w:val="22"/>
        </w:rPr>
      </w:pPr>
    </w:p>
    <w:p w14:paraId="71FA641C" w14:textId="71194047" w:rsidR="00A72CC8" w:rsidRPr="00345AA4" w:rsidRDefault="00A72CC8" w:rsidP="001C4C9A">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The </w:t>
      </w:r>
      <w:r w:rsidR="00D8393B" w:rsidRPr="00345AA4">
        <w:rPr>
          <w:rFonts w:ascii="Arial" w:hAnsi="Arial" w:cs="Arial"/>
          <w:color w:val="000000" w:themeColor="text1"/>
          <w:sz w:val="22"/>
          <w:szCs w:val="22"/>
        </w:rPr>
        <w:t xml:space="preserve">Audit Team </w:t>
      </w:r>
      <w:r w:rsidRPr="00345AA4">
        <w:rPr>
          <w:rFonts w:ascii="Arial" w:hAnsi="Arial" w:cs="Arial"/>
          <w:color w:val="000000" w:themeColor="text1"/>
          <w:sz w:val="22"/>
          <w:szCs w:val="22"/>
        </w:rPr>
        <w:t xml:space="preserve">requested for the submission of the said schedules but was not furnished of the same as of writing. </w:t>
      </w:r>
    </w:p>
    <w:p w14:paraId="2DDF743E" w14:textId="77777777" w:rsidR="00A72CC8" w:rsidRPr="00345AA4" w:rsidRDefault="00A72CC8" w:rsidP="00A72CC8">
      <w:pPr>
        <w:pStyle w:val="NoSpacing"/>
        <w:jc w:val="both"/>
        <w:rPr>
          <w:rFonts w:ascii="Arial" w:eastAsia="Times New Roman" w:hAnsi="Arial" w:cs="Arial"/>
          <w:color w:val="000000" w:themeColor="text1"/>
        </w:rPr>
      </w:pPr>
    </w:p>
    <w:p w14:paraId="707B41EA" w14:textId="77777777" w:rsidR="00A72CC8" w:rsidRPr="00345AA4" w:rsidRDefault="00A72CC8" w:rsidP="00525F19">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Further, some GL accounts with schedule showed a difference of P31.880 million consisting of automatic entries that were created in </w:t>
      </w:r>
      <w:r w:rsidR="00D8393B" w:rsidRPr="00345AA4">
        <w:rPr>
          <w:rFonts w:ascii="Arial" w:hAnsi="Arial" w:cs="Arial"/>
          <w:color w:val="000000" w:themeColor="text1"/>
          <w:sz w:val="22"/>
          <w:szCs w:val="22"/>
        </w:rPr>
        <w:t xml:space="preserve">the </w:t>
      </w:r>
      <w:r w:rsidR="007318E4" w:rsidRPr="00345AA4">
        <w:rPr>
          <w:rFonts w:ascii="Arial" w:hAnsi="Arial" w:cs="Arial"/>
          <w:color w:val="000000" w:themeColor="text1"/>
          <w:sz w:val="22"/>
          <w:szCs w:val="22"/>
        </w:rPr>
        <w:t>Integrated Financial Management System (</w:t>
      </w:r>
      <w:r w:rsidRPr="00345AA4">
        <w:rPr>
          <w:rFonts w:ascii="Arial" w:hAnsi="Arial" w:cs="Arial"/>
          <w:color w:val="000000" w:themeColor="text1"/>
          <w:sz w:val="22"/>
          <w:szCs w:val="22"/>
        </w:rPr>
        <w:t>IFMS</w:t>
      </w:r>
      <w:r w:rsidR="007318E4" w:rsidRPr="00345AA4">
        <w:rPr>
          <w:rFonts w:ascii="Arial" w:hAnsi="Arial" w:cs="Arial"/>
          <w:color w:val="000000" w:themeColor="text1"/>
          <w:sz w:val="22"/>
          <w:szCs w:val="22"/>
        </w:rPr>
        <w:t>)</w:t>
      </w:r>
      <w:r w:rsidR="00D8393B" w:rsidRPr="00345AA4">
        <w:rPr>
          <w:rFonts w:ascii="Arial" w:hAnsi="Arial" w:cs="Arial"/>
          <w:color w:val="000000" w:themeColor="text1"/>
          <w:sz w:val="22"/>
          <w:szCs w:val="22"/>
        </w:rPr>
        <w:t xml:space="preserve"> </w:t>
      </w:r>
      <w:r w:rsidRPr="00345AA4">
        <w:rPr>
          <w:rFonts w:ascii="Arial" w:hAnsi="Arial" w:cs="Arial"/>
          <w:color w:val="000000" w:themeColor="text1"/>
          <w:sz w:val="22"/>
          <w:szCs w:val="22"/>
        </w:rPr>
        <w:t>-</w:t>
      </w:r>
      <w:r w:rsidR="00D8393B" w:rsidRPr="00345AA4">
        <w:rPr>
          <w:rFonts w:ascii="Arial" w:hAnsi="Arial" w:cs="Arial"/>
          <w:color w:val="000000" w:themeColor="text1"/>
          <w:sz w:val="22"/>
          <w:szCs w:val="22"/>
        </w:rPr>
        <w:t xml:space="preserve"> </w:t>
      </w:r>
      <w:r w:rsidRPr="00345AA4">
        <w:rPr>
          <w:rFonts w:ascii="Arial" w:hAnsi="Arial" w:cs="Arial"/>
          <w:color w:val="000000" w:themeColor="text1"/>
          <w:sz w:val="22"/>
          <w:szCs w:val="22"/>
        </w:rPr>
        <w:t xml:space="preserve">Lending module and unreconciled items still being </w:t>
      </w:r>
      <w:proofErr w:type="spellStart"/>
      <w:r w:rsidRPr="00345AA4">
        <w:rPr>
          <w:rFonts w:ascii="Arial" w:hAnsi="Arial" w:cs="Arial"/>
          <w:color w:val="000000" w:themeColor="text1"/>
          <w:sz w:val="22"/>
          <w:szCs w:val="22"/>
        </w:rPr>
        <w:t>traced</w:t>
      </w:r>
      <w:proofErr w:type="spellEnd"/>
      <w:r w:rsidRPr="00345AA4">
        <w:rPr>
          <w:rFonts w:ascii="Arial" w:hAnsi="Arial" w:cs="Arial"/>
          <w:color w:val="000000" w:themeColor="text1"/>
          <w:sz w:val="22"/>
          <w:szCs w:val="22"/>
        </w:rPr>
        <w:t xml:space="preserve"> by </w:t>
      </w:r>
      <w:r w:rsidR="00D8393B" w:rsidRPr="00345AA4">
        <w:rPr>
          <w:rFonts w:ascii="Arial" w:hAnsi="Arial" w:cs="Arial"/>
          <w:color w:val="000000" w:themeColor="text1"/>
          <w:sz w:val="22"/>
          <w:szCs w:val="22"/>
        </w:rPr>
        <w:t xml:space="preserve">the </w:t>
      </w:r>
      <w:r w:rsidR="007318E4" w:rsidRPr="00345AA4">
        <w:rPr>
          <w:rFonts w:ascii="Arial" w:hAnsi="Arial" w:cs="Arial"/>
          <w:color w:val="000000" w:themeColor="text1"/>
          <w:sz w:val="22"/>
          <w:szCs w:val="22"/>
        </w:rPr>
        <w:t>Accounting Department (</w:t>
      </w:r>
      <w:r w:rsidRPr="00345AA4">
        <w:rPr>
          <w:rFonts w:ascii="Arial" w:hAnsi="Arial" w:cs="Arial"/>
          <w:color w:val="000000" w:themeColor="text1"/>
          <w:sz w:val="22"/>
          <w:szCs w:val="22"/>
        </w:rPr>
        <w:t>AD</w:t>
      </w:r>
      <w:r w:rsidR="007318E4" w:rsidRPr="00345AA4">
        <w:rPr>
          <w:rFonts w:ascii="Arial" w:hAnsi="Arial" w:cs="Arial"/>
          <w:color w:val="000000" w:themeColor="text1"/>
          <w:sz w:val="22"/>
          <w:szCs w:val="22"/>
        </w:rPr>
        <w:t>)</w:t>
      </w:r>
      <w:r w:rsidRPr="00345AA4">
        <w:rPr>
          <w:rFonts w:ascii="Arial" w:hAnsi="Arial" w:cs="Arial"/>
          <w:color w:val="000000" w:themeColor="text1"/>
          <w:sz w:val="22"/>
          <w:szCs w:val="22"/>
        </w:rPr>
        <w:t xml:space="preserve"> amounting to P20.909 million and P10.971 million, respectively.  To wit:</w:t>
      </w:r>
    </w:p>
    <w:p w14:paraId="439CB494" w14:textId="77777777" w:rsidR="00A72CC8" w:rsidRPr="00345AA4" w:rsidRDefault="00A72CC8" w:rsidP="00A72CC8">
      <w:pPr>
        <w:pStyle w:val="ListParagraph"/>
        <w:tabs>
          <w:tab w:val="left" w:pos="990"/>
        </w:tabs>
        <w:ind w:left="900"/>
        <w:contextualSpacing/>
        <w:jc w:val="both"/>
        <w:rPr>
          <w:rFonts w:ascii="Arial" w:hAnsi="Arial" w:cs="Arial"/>
          <w:color w:val="000000" w:themeColor="text1"/>
          <w:sz w:val="22"/>
          <w:szCs w:val="22"/>
        </w:rPr>
      </w:pPr>
    </w:p>
    <w:tbl>
      <w:tblPr>
        <w:tblW w:w="7740" w:type="dxa"/>
        <w:tblInd w:w="1008" w:type="dxa"/>
        <w:tblLayout w:type="fixed"/>
        <w:tblLook w:val="04A0" w:firstRow="1" w:lastRow="0" w:firstColumn="1" w:lastColumn="0" w:noHBand="0" w:noVBand="1"/>
      </w:tblPr>
      <w:tblGrid>
        <w:gridCol w:w="2700"/>
        <w:gridCol w:w="1710"/>
        <w:gridCol w:w="1710"/>
        <w:gridCol w:w="1620"/>
      </w:tblGrid>
      <w:tr w:rsidR="00345AA4" w:rsidRPr="00345AA4" w14:paraId="0A8DEFD4" w14:textId="77777777" w:rsidTr="00E41173">
        <w:trPr>
          <w:trHeight w:val="244"/>
          <w:tblHeader/>
        </w:trPr>
        <w:tc>
          <w:tcPr>
            <w:tcW w:w="2700" w:type="dxa"/>
            <w:tcBorders>
              <w:top w:val="single" w:sz="8" w:space="0" w:color="auto"/>
              <w:left w:val="nil"/>
              <w:bottom w:val="single" w:sz="8" w:space="0" w:color="auto"/>
              <w:right w:val="nil"/>
            </w:tcBorders>
            <w:shd w:val="clear" w:color="auto" w:fill="auto"/>
            <w:noWrap/>
            <w:vAlign w:val="bottom"/>
            <w:hideMark/>
          </w:tcPr>
          <w:p w14:paraId="6DC8744B" w14:textId="77777777" w:rsidR="00A72CC8" w:rsidRPr="00345AA4" w:rsidRDefault="00A72CC8" w:rsidP="00375E56">
            <w:pPr>
              <w:pStyle w:val="NoSpacing"/>
              <w:jc w:val="center"/>
              <w:rPr>
                <w:rFonts w:ascii="Arial" w:hAnsi="Arial" w:cs="Arial"/>
                <w:b/>
                <w:bCs/>
                <w:color w:val="000000" w:themeColor="text1"/>
              </w:rPr>
            </w:pPr>
            <w:r w:rsidRPr="00345AA4">
              <w:rPr>
                <w:rFonts w:ascii="Arial" w:hAnsi="Arial" w:cs="Arial"/>
                <w:b/>
                <w:bCs/>
                <w:color w:val="000000" w:themeColor="text1"/>
              </w:rPr>
              <w:t>Account name</w:t>
            </w:r>
          </w:p>
        </w:tc>
        <w:tc>
          <w:tcPr>
            <w:tcW w:w="1710" w:type="dxa"/>
            <w:tcBorders>
              <w:top w:val="single" w:sz="8" w:space="0" w:color="auto"/>
              <w:left w:val="nil"/>
              <w:bottom w:val="single" w:sz="8" w:space="0" w:color="auto"/>
              <w:right w:val="nil"/>
            </w:tcBorders>
            <w:shd w:val="clear" w:color="auto" w:fill="auto"/>
            <w:noWrap/>
            <w:vAlign w:val="bottom"/>
            <w:hideMark/>
          </w:tcPr>
          <w:p w14:paraId="3E225BFB" w14:textId="77777777" w:rsidR="00A72CC8" w:rsidRPr="00345AA4" w:rsidRDefault="00A72CC8" w:rsidP="00375E56">
            <w:pPr>
              <w:pStyle w:val="NoSpacing"/>
              <w:jc w:val="center"/>
              <w:rPr>
                <w:rFonts w:ascii="Arial" w:hAnsi="Arial" w:cs="Arial"/>
                <w:b/>
                <w:bCs/>
                <w:color w:val="000000" w:themeColor="text1"/>
              </w:rPr>
            </w:pPr>
            <w:r w:rsidRPr="00345AA4">
              <w:rPr>
                <w:rFonts w:ascii="Arial" w:hAnsi="Arial" w:cs="Arial"/>
                <w:b/>
                <w:bCs/>
                <w:color w:val="000000" w:themeColor="text1"/>
              </w:rPr>
              <w:t>Per GL</w:t>
            </w:r>
          </w:p>
        </w:tc>
        <w:tc>
          <w:tcPr>
            <w:tcW w:w="1710" w:type="dxa"/>
            <w:tcBorders>
              <w:top w:val="single" w:sz="8" w:space="0" w:color="auto"/>
              <w:left w:val="nil"/>
              <w:bottom w:val="single" w:sz="8" w:space="0" w:color="auto"/>
              <w:right w:val="nil"/>
            </w:tcBorders>
            <w:shd w:val="clear" w:color="auto" w:fill="auto"/>
            <w:noWrap/>
            <w:vAlign w:val="bottom"/>
            <w:hideMark/>
          </w:tcPr>
          <w:p w14:paraId="472F740A" w14:textId="77777777" w:rsidR="00A72CC8" w:rsidRPr="00345AA4" w:rsidRDefault="00A72CC8" w:rsidP="00375E56">
            <w:pPr>
              <w:pStyle w:val="NoSpacing"/>
              <w:jc w:val="center"/>
              <w:rPr>
                <w:rFonts w:ascii="Arial" w:hAnsi="Arial" w:cs="Arial"/>
                <w:b/>
                <w:bCs/>
                <w:color w:val="000000" w:themeColor="text1"/>
              </w:rPr>
            </w:pPr>
            <w:r w:rsidRPr="00345AA4">
              <w:rPr>
                <w:rFonts w:ascii="Arial" w:hAnsi="Arial" w:cs="Arial"/>
                <w:b/>
                <w:bCs/>
                <w:color w:val="000000" w:themeColor="text1"/>
              </w:rPr>
              <w:t>Per schedule</w:t>
            </w:r>
          </w:p>
        </w:tc>
        <w:tc>
          <w:tcPr>
            <w:tcW w:w="1620" w:type="dxa"/>
            <w:tcBorders>
              <w:top w:val="single" w:sz="8" w:space="0" w:color="auto"/>
              <w:left w:val="nil"/>
              <w:bottom w:val="single" w:sz="8" w:space="0" w:color="auto"/>
              <w:right w:val="nil"/>
            </w:tcBorders>
            <w:shd w:val="clear" w:color="auto" w:fill="auto"/>
            <w:noWrap/>
            <w:vAlign w:val="bottom"/>
            <w:hideMark/>
          </w:tcPr>
          <w:p w14:paraId="028384E5" w14:textId="77777777" w:rsidR="00A72CC8" w:rsidRPr="00345AA4" w:rsidRDefault="00A72CC8" w:rsidP="00375E56">
            <w:pPr>
              <w:pStyle w:val="NoSpacing"/>
              <w:jc w:val="center"/>
              <w:rPr>
                <w:rFonts w:ascii="Arial" w:hAnsi="Arial" w:cs="Arial"/>
                <w:b/>
                <w:bCs/>
                <w:color w:val="000000" w:themeColor="text1"/>
              </w:rPr>
            </w:pPr>
            <w:r w:rsidRPr="00345AA4">
              <w:rPr>
                <w:rFonts w:ascii="Arial" w:hAnsi="Arial" w:cs="Arial"/>
                <w:b/>
                <w:bCs/>
                <w:color w:val="000000" w:themeColor="text1"/>
              </w:rPr>
              <w:t>Discrepancy</w:t>
            </w:r>
          </w:p>
        </w:tc>
      </w:tr>
      <w:tr w:rsidR="00345AA4" w:rsidRPr="00345AA4" w14:paraId="1D1040CE" w14:textId="77777777" w:rsidTr="00E41173">
        <w:trPr>
          <w:trHeight w:val="250"/>
        </w:trPr>
        <w:tc>
          <w:tcPr>
            <w:tcW w:w="2700" w:type="dxa"/>
            <w:tcBorders>
              <w:top w:val="nil"/>
              <w:left w:val="nil"/>
              <w:bottom w:val="nil"/>
              <w:right w:val="nil"/>
            </w:tcBorders>
            <w:shd w:val="clear" w:color="auto" w:fill="auto"/>
            <w:noWrap/>
            <w:vAlign w:val="bottom"/>
            <w:hideMark/>
          </w:tcPr>
          <w:p w14:paraId="0236590F" w14:textId="77777777" w:rsidR="00A72CC8" w:rsidRPr="00345AA4" w:rsidRDefault="00A72CC8" w:rsidP="00375E56">
            <w:pPr>
              <w:pStyle w:val="NoSpacing"/>
              <w:jc w:val="both"/>
              <w:rPr>
                <w:rFonts w:ascii="Arial" w:hAnsi="Arial" w:cs="Arial"/>
                <w:color w:val="000000" w:themeColor="text1"/>
              </w:rPr>
            </w:pPr>
            <w:r w:rsidRPr="00345AA4">
              <w:rPr>
                <w:rFonts w:ascii="Arial" w:hAnsi="Arial" w:cs="Arial"/>
                <w:color w:val="000000" w:themeColor="text1"/>
              </w:rPr>
              <w:t>ICR</w:t>
            </w:r>
          </w:p>
        </w:tc>
        <w:tc>
          <w:tcPr>
            <w:tcW w:w="1710" w:type="dxa"/>
            <w:tcBorders>
              <w:top w:val="nil"/>
              <w:left w:val="nil"/>
              <w:bottom w:val="nil"/>
              <w:right w:val="nil"/>
            </w:tcBorders>
            <w:shd w:val="clear" w:color="auto" w:fill="auto"/>
            <w:noWrap/>
            <w:vAlign w:val="bottom"/>
            <w:hideMark/>
          </w:tcPr>
          <w:p w14:paraId="7A035207" w14:textId="77777777" w:rsidR="00A72CC8" w:rsidRPr="00345AA4" w:rsidRDefault="00A72CC8" w:rsidP="00525F19">
            <w:pPr>
              <w:pStyle w:val="NoSpacing"/>
              <w:ind w:right="72"/>
              <w:jc w:val="right"/>
              <w:rPr>
                <w:rFonts w:ascii="Arial" w:hAnsi="Arial" w:cs="Arial"/>
                <w:color w:val="000000" w:themeColor="text1"/>
              </w:rPr>
            </w:pPr>
            <w:r w:rsidRPr="00345AA4">
              <w:rPr>
                <w:rFonts w:ascii="Arial" w:hAnsi="Arial" w:cs="Arial"/>
                <w:color w:val="000000" w:themeColor="text1"/>
              </w:rPr>
              <w:t>P746,553,488</w:t>
            </w:r>
          </w:p>
        </w:tc>
        <w:tc>
          <w:tcPr>
            <w:tcW w:w="1710" w:type="dxa"/>
            <w:tcBorders>
              <w:top w:val="nil"/>
              <w:left w:val="nil"/>
              <w:bottom w:val="nil"/>
              <w:right w:val="nil"/>
            </w:tcBorders>
            <w:shd w:val="clear" w:color="auto" w:fill="auto"/>
            <w:noWrap/>
            <w:vAlign w:val="bottom"/>
            <w:hideMark/>
          </w:tcPr>
          <w:p w14:paraId="6C6ED354" w14:textId="77777777" w:rsidR="00A72CC8" w:rsidRPr="00345AA4" w:rsidRDefault="00A72CC8" w:rsidP="00525F19">
            <w:pPr>
              <w:pStyle w:val="NoSpacing"/>
              <w:jc w:val="right"/>
              <w:rPr>
                <w:rFonts w:ascii="Arial" w:hAnsi="Arial" w:cs="Arial"/>
                <w:color w:val="000000" w:themeColor="text1"/>
              </w:rPr>
            </w:pPr>
            <w:r w:rsidRPr="00345AA4">
              <w:rPr>
                <w:rFonts w:ascii="Arial" w:hAnsi="Arial" w:cs="Arial"/>
                <w:color w:val="000000" w:themeColor="text1"/>
              </w:rPr>
              <w:t>P710,866,992</w:t>
            </w:r>
          </w:p>
        </w:tc>
        <w:tc>
          <w:tcPr>
            <w:tcW w:w="1620" w:type="dxa"/>
            <w:tcBorders>
              <w:top w:val="nil"/>
              <w:left w:val="nil"/>
              <w:bottom w:val="nil"/>
              <w:right w:val="nil"/>
            </w:tcBorders>
            <w:shd w:val="clear" w:color="auto" w:fill="auto"/>
            <w:noWrap/>
            <w:vAlign w:val="bottom"/>
            <w:hideMark/>
          </w:tcPr>
          <w:p w14:paraId="72AE200B" w14:textId="77777777" w:rsidR="00A72CC8" w:rsidRPr="00345AA4" w:rsidRDefault="0000776F" w:rsidP="00E41173">
            <w:pPr>
              <w:pStyle w:val="NoSpacing"/>
              <w:jc w:val="right"/>
              <w:rPr>
                <w:rFonts w:ascii="Arial" w:hAnsi="Arial" w:cs="Arial"/>
                <w:color w:val="000000" w:themeColor="text1"/>
              </w:rPr>
            </w:pPr>
            <w:r w:rsidRPr="00345AA4">
              <w:rPr>
                <w:rFonts w:ascii="Arial" w:hAnsi="Arial" w:cs="Arial"/>
                <w:color w:val="000000" w:themeColor="text1"/>
              </w:rPr>
              <w:t xml:space="preserve">       P</w:t>
            </w:r>
            <w:r w:rsidR="00A72CC8" w:rsidRPr="00345AA4">
              <w:rPr>
                <w:rFonts w:ascii="Arial" w:hAnsi="Arial" w:cs="Arial"/>
                <w:color w:val="000000" w:themeColor="text1"/>
              </w:rPr>
              <w:t>35,686,496</w:t>
            </w:r>
          </w:p>
        </w:tc>
      </w:tr>
      <w:tr w:rsidR="00345AA4" w:rsidRPr="00345AA4" w14:paraId="0C826C54" w14:textId="77777777" w:rsidTr="00E41173">
        <w:trPr>
          <w:trHeight w:val="270"/>
        </w:trPr>
        <w:tc>
          <w:tcPr>
            <w:tcW w:w="2700" w:type="dxa"/>
            <w:tcBorders>
              <w:top w:val="nil"/>
              <w:left w:val="nil"/>
              <w:right w:val="nil"/>
            </w:tcBorders>
            <w:shd w:val="clear" w:color="auto" w:fill="auto"/>
            <w:noWrap/>
            <w:vAlign w:val="bottom"/>
            <w:hideMark/>
          </w:tcPr>
          <w:p w14:paraId="1392ED97" w14:textId="77777777" w:rsidR="00A72CC8" w:rsidRPr="00345AA4" w:rsidRDefault="00A72CC8" w:rsidP="00375E56">
            <w:pPr>
              <w:pStyle w:val="NoSpacing"/>
              <w:jc w:val="both"/>
              <w:rPr>
                <w:rFonts w:ascii="Arial" w:hAnsi="Arial" w:cs="Arial"/>
                <w:color w:val="000000" w:themeColor="text1"/>
              </w:rPr>
            </w:pPr>
            <w:r w:rsidRPr="00345AA4">
              <w:rPr>
                <w:rFonts w:ascii="Arial" w:hAnsi="Arial" w:cs="Arial"/>
                <w:color w:val="000000" w:themeColor="text1"/>
              </w:rPr>
              <w:t>ICR, acquired assets</w:t>
            </w:r>
          </w:p>
        </w:tc>
        <w:tc>
          <w:tcPr>
            <w:tcW w:w="1710" w:type="dxa"/>
            <w:tcBorders>
              <w:top w:val="nil"/>
              <w:left w:val="nil"/>
              <w:right w:val="nil"/>
            </w:tcBorders>
            <w:shd w:val="clear" w:color="auto" w:fill="auto"/>
            <w:noWrap/>
            <w:vAlign w:val="bottom"/>
            <w:hideMark/>
          </w:tcPr>
          <w:p w14:paraId="06B169AA" w14:textId="77777777" w:rsidR="00A72CC8" w:rsidRPr="00345AA4" w:rsidRDefault="00A72CC8" w:rsidP="00E41173">
            <w:pPr>
              <w:pStyle w:val="NoSpacing"/>
              <w:ind w:right="72"/>
              <w:jc w:val="right"/>
              <w:rPr>
                <w:rFonts w:ascii="Arial" w:hAnsi="Arial" w:cs="Arial"/>
                <w:color w:val="000000" w:themeColor="text1"/>
              </w:rPr>
            </w:pPr>
            <w:r w:rsidRPr="00345AA4">
              <w:rPr>
                <w:rFonts w:ascii="Arial" w:hAnsi="Arial" w:cs="Arial"/>
                <w:color w:val="000000" w:themeColor="text1"/>
              </w:rPr>
              <w:t>4,143,600</w:t>
            </w:r>
          </w:p>
        </w:tc>
        <w:tc>
          <w:tcPr>
            <w:tcW w:w="1710" w:type="dxa"/>
            <w:tcBorders>
              <w:top w:val="nil"/>
              <w:left w:val="nil"/>
              <w:right w:val="nil"/>
            </w:tcBorders>
            <w:shd w:val="clear" w:color="auto" w:fill="auto"/>
            <w:noWrap/>
            <w:vAlign w:val="bottom"/>
            <w:hideMark/>
          </w:tcPr>
          <w:p w14:paraId="5F2F4DE3" w14:textId="77777777" w:rsidR="00A72CC8" w:rsidRPr="00345AA4" w:rsidRDefault="00A72CC8" w:rsidP="00E41173">
            <w:pPr>
              <w:pStyle w:val="NoSpacing"/>
              <w:jc w:val="right"/>
              <w:rPr>
                <w:rFonts w:ascii="Arial" w:hAnsi="Arial" w:cs="Arial"/>
                <w:color w:val="000000" w:themeColor="text1"/>
              </w:rPr>
            </w:pPr>
            <w:r w:rsidRPr="00345AA4">
              <w:rPr>
                <w:rFonts w:ascii="Arial" w:hAnsi="Arial" w:cs="Arial"/>
                <w:color w:val="000000" w:themeColor="text1"/>
              </w:rPr>
              <w:t>8,019,969</w:t>
            </w:r>
          </w:p>
        </w:tc>
        <w:tc>
          <w:tcPr>
            <w:tcW w:w="1620" w:type="dxa"/>
            <w:tcBorders>
              <w:top w:val="nil"/>
              <w:left w:val="nil"/>
              <w:right w:val="nil"/>
            </w:tcBorders>
            <w:shd w:val="clear" w:color="auto" w:fill="auto"/>
            <w:noWrap/>
            <w:vAlign w:val="bottom"/>
            <w:hideMark/>
          </w:tcPr>
          <w:p w14:paraId="34CBE0F8" w14:textId="77777777" w:rsidR="00A72CC8" w:rsidRPr="00345AA4" w:rsidRDefault="00B8436C" w:rsidP="00E41173">
            <w:pPr>
              <w:pStyle w:val="NoSpacing"/>
              <w:ind w:right="-72"/>
              <w:jc w:val="right"/>
              <w:rPr>
                <w:rFonts w:ascii="Arial" w:hAnsi="Arial" w:cs="Arial"/>
                <w:color w:val="000000" w:themeColor="text1"/>
                <w:sz w:val="12"/>
                <w:szCs w:val="12"/>
              </w:rPr>
            </w:pPr>
            <w:r w:rsidRPr="00345AA4">
              <w:rPr>
                <w:rFonts w:ascii="Arial" w:hAnsi="Arial" w:cs="Arial"/>
                <w:color w:val="000000" w:themeColor="text1"/>
              </w:rPr>
              <w:t xml:space="preserve">   </w:t>
            </w:r>
            <w:r w:rsidR="00C3065B" w:rsidRPr="00345AA4">
              <w:rPr>
                <w:rFonts w:ascii="Arial" w:hAnsi="Arial" w:cs="Arial"/>
                <w:color w:val="000000" w:themeColor="text1"/>
              </w:rPr>
              <w:t>(3,876,369</w:t>
            </w:r>
            <w:r w:rsidR="00A72CC8" w:rsidRPr="00345AA4">
              <w:rPr>
                <w:rFonts w:ascii="Arial" w:hAnsi="Arial" w:cs="Arial"/>
                <w:color w:val="000000" w:themeColor="text1"/>
              </w:rPr>
              <w:t>)</w:t>
            </w:r>
          </w:p>
        </w:tc>
      </w:tr>
      <w:tr w:rsidR="00345AA4" w:rsidRPr="00345AA4" w14:paraId="7F17BB3B" w14:textId="77777777" w:rsidTr="00E41173">
        <w:trPr>
          <w:trHeight w:val="244"/>
        </w:trPr>
        <w:tc>
          <w:tcPr>
            <w:tcW w:w="2700" w:type="dxa"/>
            <w:tcBorders>
              <w:top w:val="nil"/>
              <w:left w:val="nil"/>
              <w:bottom w:val="single" w:sz="8" w:space="0" w:color="auto"/>
              <w:right w:val="nil"/>
            </w:tcBorders>
            <w:shd w:val="clear" w:color="auto" w:fill="auto"/>
            <w:noWrap/>
            <w:vAlign w:val="bottom"/>
            <w:hideMark/>
          </w:tcPr>
          <w:p w14:paraId="02828B04" w14:textId="77777777" w:rsidR="00A72CC8" w:rsidRPr="00345AA4" w:rsidRDefault="00A72CC8" w:rsidP="00375E56">
            <w:pPr>
              <w:pStyle w:val="NoSpacing"/>
              <w:jc w:val="both"/>
              <w:rPr>
                <w:rFonts w:ascii="Arial" w:hAnsi="Arial" w:cs="Arial"/>
                <w:color w:val="000000" w:themeColor="text1"/>
              </w:rPr>
            </w:pPr>
            <w:r w:rsidRPr="00345AA4">
              <w:rPr>
                <w:rFonts w:ascii="Arial" w:hAnsi="Arial" w:cs="Arial"/>
                <w:color w:val="000000" w:themeColor="text1"/>
              </w:rPr>
              <w:t>ICR, past due</w:t>
            </w:r>
          </w:p>
        </w:tc>
        <w:tc>
          <w:tcPr>
            <w:tcW w:w="1710" w:type="dxa"/>
            <w:tcBorders>
              <w:top w:val="nil"/>
              <w:left w:val="nil"/>
              <w:bottom w:val="single" w:sz="8" w:space="0" w:color="auto"/>
              <w:right w:val="nil"/>
            </w:tcBorders>
            <w:shd w:val="clear" w:color="auto" w:fill="auto"/>
            <w:noWrap/>
            <w:vAlign w:val="bottom"/>
            <w:hideMark/>
          </w:tcPr>
          <w:p w14:paraId="651BCA47" w14:textId="77777777" w:rsidR="00A72CC8" w:rsidRPr="00345AA4" w:rsidRDefault="00A72CC8" w:rsidP="00525F19">
            <w:pPr>
              <w:pStyle w:val="NoSpacing"/>
              <w:ind w:right="72"/>
              <w:jc w:val="right"/>
              <w:rPr>
                <w:rFonts w:ascii="Arial" w:hAnsi="Arial" w:cs="Arial"/>
                <w:color w:val="000000" w:themeColor="text1"/>
              </w:rPr>
            </w:pPr>
            <w:r w:rsidRPr="00345AA4">
              <w:rPr>
                <w:rFonts w:ascii="Arial" w:hAnsi="Arial" w:cs="Arial"/>
                <w:color w:val="000000" w:themeColor="text1"/>
              </w:rPr>
              <w:t>80,372,499</w:t>
            </w:r>
          </w:p>
        </w:tc>
        <w:tc>
          <w:tcPr>
            <w:tcW w:w="1710" w:type="dxa"/>
            <w:tcBorders>
              <w:top w:val="nil"/>
              <w:left w:val="nil"/>
              <w:bottom w:val="single" w:sz="8" w:space="0" w:color="auto"/>
              <w:right w:val="nil"/>
            </w:tcBorders>
            <w:shd w:val="clear" w:color="auto" w:fill="auto"/>
            <w:noWrap/>
            <w:vAlign w:val="bottom"/>
            <w:hideMark/>
          </w:tcPr>
          <w:p w14:paraId="762BFDFA" w14:textId="77777777" w:rsidR="00A72CC8" w:rsidRPr="00345AA4" w:rsidRDefault="00A72CC8" w:rsidP="00525F19">
            <w:pPr>
              <w:pStyle w:val="NoSpacing"/>
              <w:jc w:val="right"/>
              <w:rPr>
                <w:rFonts w:ascii="Arial" w:hAnsi="Arial" w:cs="Arial"/>
                <w:color w:val="000000" w:themeColor="text1"/>
              </w:rPr>
            </w:pPr>
            <w:r w:rsidRPr="00345AA4">
              <w:rPr>
                <w:rFonts w:ascii="Arial" w:hAnsi="Arial" w:cs="Arial"/>
                <w:color w:val="000000" w:themeColor="text1"/>
              </w:rPr>
              <w:t>80,303,048</w:t>
            </w:r>
          </w:p>
        </w:tc>
        <w:tc>
          <w:tcPr>
            <w:tcW w:w="1620" w:type="dxa"/>
            <w:tcBorders>
              <w:top w:val="nil"/>
              <w:left w:val="nil"/>
              <w:bottom w:val="single" w:sz="8" w:space="0" w:color="auto"/>
              <w:right w:val="nil"/>
            </w:tcBorders>
            <w:shd w:val="clear" w:color="auto" w:fill="auto"/>
            <w:noWrap/>
            <w:hideMark/>
          </w:tcPr>
          <w:p w14:paraId="10BB5E27" w14:textId="77777777" w:rsidR="00A72CC8" w:rsidRPr="00345AA4" w:rsidRDefault="0000776F" w:rsidP="00917A4A">
            <w:pPr>
              <w:pStyle w:val="NoSpacing"/>
              <w:ind w:right="30"/>
              <w:jc w:val="right"/>
              <w:rPr>
                <w:rFonts w:ascii="Arial" w:hAnsi="Arial" w:cs="Arial"/>
                <w:color w:val="000000" w:themeColor="text1"/>
              </w:rPr>
            </w:pPr>
            <w:r w:rsidRPr="00345AA4">
              <w:rPr>
                <w:rFonts w:ascii="Arial" w:hAnsi="Arial" w:cs="Arial"/>
                <w:color w:val="000000" w:themeColor="text1"/>
              </w:rPr>
              <w:t xml:space="preserve">   </w:t>
            </w:r>
            <w:r w:rsidR="00A72CC8" w:rsidRPr="00345AA4">
              <w:rPr>
                <w:rFonts w:ascii="Arial" w:hAnsi="Arial" w:cs="Arial"/>
                <w:color w:val="000000" w:themeColor="text1"/>
              </w:rPr>
              <w:t>69,451</w:t>
            </w:r>
          </w:p>
        </w:tc>
      </w:tr>
      <w:tr w:rsidR="00A85B97" w:rsidRPr="00345AA4" w14:paraId="49A0AB30" w14:textId="77777777" w:rsidTr="00E41173">
        <w:trPr>
          <w:trHeight w:val="244"/>
        </w:trPr>
        <w:tc>
          <w:tcPr>
            <w:tcW w:w="2700" w:type="dxa"/>
            <w:tcBorders>
              <w:top w:val="single" w:sz="8" w:space="0" w:color="auto"/>
              <w:left w:val="nil"/>
              <w:bottom w:val="double" w:sz="4" w:space="0" w:color="auto"/>
              <w:right w:val="nil"/>
            </w:tcBorders>
            <w:shd w:val="clear" w:color="auto" w:fill="auto"/>
            <w:noWrap/>
            <w:hideMark/>
          </w:tcPr>
          <w:p w14:paraId="4C76C80F" w14:textId="77777777" w:rsidR="00A72CC8" w:rsidRPr="00345AA4" w:rsidRDefault="00A72CC8" w:rsidP="00375E56">
            <w:pPr>
              <w:pStyle w:val="NoSpacing"/>
              <w:jc w:val="both"/>
              <w:rPr>
                <w:rFonts w:ascii="Arial" w:hAnsi="Arial" w:cs="Arial"/>
                <w:b/>
                <w:bCs/>
                <w:color w:val="000000" w:themeColor="text1"/>
              </w:rPr>
            </w:pPr>
            <w:r w:rsidRPr="00345AA4">
              <w:rPr>
                <w:rFonts w:ascii="Arial" w:hAnsi="Arial" w:cs="Arial"/>
                <w:b/>
                <w:bCs/>
                <w:color w:val="000000" w:themeColor="text1"/>
              </w:rPr>
              <w:t>Total</w:t>
            </w:r>
          </w:p>
        </w:tc>
        <w:tc>
          <w:tcPr>
            <w:tcW w:w="1710" w:type="dxa"/>
            <w:tcBorders>
              <w:top w:val="single" w:sz="8" w:space="0" w:color="auto"/>
              <w:left w:val="nil"/>
              <w:bottom w:val="double" w:sz="4" w:space="0" w:color="auto"/>
              <w:right w:val="nil"/>
            </w:tcBorders>
            <w:shd w:val="clear" w:color="auto" w:fill="auto"/>
            <w:noWrap/>
            <w:hideMark/>
          </w:tcPr>
          <w:p w14:paraId="03E5CA95" w14:textId="77777777" w:rsidR="00A72CC8" w:rsidRPr="00345AA4" w:rsidRDefault="00A72CC8" w:rsidP="00525F19">
            <w:pPr>
              <w:pStyle w:val="NoSpacing"/>
              <w:ind w:right="72"/>
              <w:jc w:val="right"/>
              <w:rPr>
                <w:rFonts w:ascii="Arial" w:hAnsi="Arial" w:cs="Arial"/>
                <w:b/>
                <w:bCs/>
                <w:color w:val="000000" w:themeColor="text1"/>
              </w:rPr>
            </w:pPr>
            <w:r w:rsidRPr="00345AA4">
              <w:rPr>
                <w:rFonts w:ascii="Arial" w:hAnsi="Arial" w:cs="Arial"/>
                <w:b/>
                <w:bCs/>
                <w:color w:val="000000" w:themeColor="text1"/>
              </w:rPr>
              <w:t>P831,069,587</w:t>
            </w:r>
          </w:p>
        </w:tc>
        <w:tc>
          <w:tcPr>
            <w:tcW w:w="1710" w:type="dxa"/>
            <w:tcBorders>
              <w:top w:val="single" w:sz="8" w:space="0" w:color="auto"/>
              <w:left w:val="nil"/>
              <w:bottom w:val="double" w:sz="4" w:space="0" w:color="auto"/>
              <w:right w:val="nil"/>
            </w:tcBorders>
            <w:shd w:val="clear" w:color="auto" w:fill="auto"/>
            <w:noWrap/>
            <w:hideMark/>
          </w:tcPr>
          <w:p w14:paraId="21997585" w14:textId="77777777" w:rsidR="00A72CC8" w:rsidRPr="00345AA4" w:rsidRDefault="00C3065B" w:rsidP="00525F19">
            <w:pPr>
              <w:pStyle w:val="NoSpacing"/>
              <w:jc w:val="right"/>
              <w:rPr>
                <w:rFonts w:ascii="Arial" w:hAnsi="Arial" w:cs="Arial"/>
                <w:b/>
                <w:bCs/>
                <w:color w:val="000000" w:themeColor="text1"/>
              </w:rPr>
            </w:pPr>
            <w:r w:rsidRPr="00345AA4">
              <w:rPr>
                <w:rFonts w:ascii="Arial" w:hAnsi="Arial" w:cs="Arial"/>
                <w:b/>
                <w:bCs/>
                <w:color w:val="000000" w:themeColor="text1"/>
              </w:rPr>
              <w:t>P799,190,009</w:t>
            </w:r>
          </w:p>
        </w:tc>
        <w:tc>
          <w:tcPr>
            <w:tcW w:w="1620" w:type="dxa"/>
            <w:tcBorders>
              <w:top w:val="single" w:sz="8" w:space="0" w:color="auto"/>
              <w:left w:val="nil"/>
              <w:bottom w:val="double" w:sz="4" w:space="0" w:color="auto"/>
              <w:right w:val="nil"/>
            </w:tcBorders>
            <w:shd w:val="clear" w:color="auto" w:fill="auto"/>
            <w:noWrap/>
            <w:hideMark/>
          </w:tcPr>
          <w:p w14:paraId="173E3C6C" w14:textId="77777777" w:rsidR="00A72CC8" w:rsidRPr="00345AA4" w:rsidRDefault="00A72CC8" w:rsidP="00917A4A">
            <w:pPr>
              <w:pStyle w:val="NoSpacing"/>
              <w:jc w:val="right"/>
              <w:rPr>
                <w:rFonts w:ascii="Arial" w:hAnsi="Arial" w:cs="Arial"/>
                <w:b/>
                <w:bCs/>
                <w:color w:val="000000" w:themeColor="text1"/>
              </w:rPr>
            </w:pPr>
            <w:r w:rsidRPr="00345AA4">
              <w:rPr>
                <w:rFonts w:ascii="Arial" w:hAnsi="Arial" w:cs="Arial"/>
                <w:b/>
                <w:bCs/>
                <w:color w:val="000000" w:themeColor="text1"/>
              </w:rPr>
              <w:t>P31,879,57</w:t>
            </w:r>
            <w:r w:rsidR="00C3065B" w:rsidRPr="00345AA4">
              <w:rPr>
                <w:rFonts w:ascii="Arial" w:hAnsi="Arial" w:cs="Arial"/>
                <w:b/>
                <w:bCs/>
                <w:color w:val="000000" w:themeColor="text1"/>
              </w:rPr>
              <w:t xml:space="preserve">8 </w:t>
            </w:r>
          </w:p>
        </w:tc>
      </w:tr>
    </w:tbl>
    <w:p w14:paraId="33D433DE" w14:textId="77777777" w:rsidR="00A72CC8" w:rsidRPr="00345AA4" w:rsidRDefault="00A72CC8" w:rsidP="00A72CC8">
      <w:pPr>
        <w:pStyle w:val="NoSpacing"/>
        <w:jc w:val="both"/>
        <w:rPr>
          <w:rFonts w:ascii="Arial" w:eastAsia="Times New Roman" w:hAnsi="Arial" w:cs="Arial"/>
          <w:color w:val="000000" w:themeColor="text1"/>
        </w:rPr>
      </w:pPr>
    </w:p>
    <w:p w14:paraId="6ED6A6E9" w14:textId="7F35C217" w:rsidR="00A72CC8" w:rsidRPr="00345AA4" w:rsidRDefault="00A72CC8" w:rsidP="001C4C9A">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The </w:t>
      </w:r>
      <w:r w:rsidR="007318E4" w:rsidRPr="00345AA4">
        <w:rPr>
          <w:rFonts w:ascii="Arial" w:hAnsi="Arial" w:cs="Arial"/>
          <w:color w:val="000000" w:themeColor="text1"/>
          <w:sz w:val="22"/>
          <w:szCs w:val="22"/>
        </w:rPr>
        <w:t>Installment Contract Receivable (</w:t>
      </w:r>
      <w:r w:rsidRPr="00345AA4">
        <w:rPr>
          <w:rFonts w:ascii="Arial" w:hAnsi="Arial" w:cs="Arial"/>
          <w:color w:val="000000" w:themeColor="text1"/>
          <w:sz w:val="22"/>
          <w:szCs w:val="22"/>
        </w:rPr>
        <w:t>ICR</w:t>
      </w:r>
      <w:r w:rsidR="007318E4" w:rsidRPr="00345AA4">
        <w:rPr>
          <w:rFonts w:ascii="Arial" w:hAnsi="Arial" w:cs="Arial"/>
          <w:color w:val="000000" w:themeColor="text1"/>
          <w:sz w:val="22"/>
          <w:szCs w:val="22"/>
        </w:rPr>
        <w:t>)</w:t>
      </w:r>
      <w:r w:rsidRPr="00345AA4">
        <w:rPr>
          <w:rFonts w:ascii="Arial" w:hAnsi="Arial" w:cs="Arial"/>
          <w:color w:val="000000" w:themeColor="text1"/>
          <w:sz w:val="22"/>
          <w:szCs w:val="22"/>
        </w:rPr>
        <w:t xml:space="preserve"> account represents the balances of receivables arising from the sale of real estate inventories and acquired assets which were financed by the System through in-house financing scheme, while ICR-past due account represents the uncollected balance under the same financing scheme that remained unpaid for more than 180 days.  </w:t>
      </w:r>
      <w:r w:rsidR="00D8393B" w:rsidRPr="00345AA4">
        <w:rPr>
          <w:rFonts w:ascii="Arial" w:hAnsi="Arial" w:cs="Arial"/>
          <w:color w:val="000000" w:themeColor="text1"/>
          <w:sz w:val="22"/>
          <w:szCs w:val="22"/>
        </w:rPr>
        <w:t xml:space="preserve">Interview </w:t>
      </w:r>
      <w:r w:rsidRPr="00345AA4">
        <w:rPr>
          <w:rFonts w:ascii="Arial" w:hAnsi="Arial" w:cs="Arial"/>
          <w:color w:val="000000" w:themeColor="text1"/>
          <w:sz w:val="22"/>
          <w:szCs w:val="22"/>
        </w:rPr>
        <w:t>with Management revealed that AFPRSBS is insuring those ICRs covering properties with improvements.</w:t>
      </w:r>
    </w:p>
    <w:p w14:paraId="3BCE1BA0" w14:textId="77777777" w:rsidR="00A72CC8" w:rsidRPr="00345AA4" w:rsidRDefault="00A72CC8" w:rsidP="00A72CC8">
      <w:pPr>
        <w:pStyle w:val="NoSpacing"/>
        <w:jc w:val="both"/>
        <w:rPr>
          <w:rFonts w:ascii="Arial" w:hAnsi="Arial" w:cs="Arial"/>
          <w:color w:val="000000" w:themeColor="text1"/>
        </w:rPr>
      </w:pPr>
    </w:p>
    <w:p w14:paraId="6D06A103" w14:textId="59719B67" w:rsidR="00A72CC8" w:rsidRPr="00345AA4" w:rsidRDefault="00A72CC8" w:rsidP="00A72CC8">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lastRenderedPageBreak/>
        <w:t>Inquiry with Management disclosed that the noted discrepancies were attributed to various adjustments or entries which are still unreconciled and are subject for validation.  The ICR account is continuously being reconciled by the AD to include the discrepancies noted between the schedules submitted and the GL balances.  However, the AD admitted that they are having di</w:t>
      </w:r>
      <w:r w:rsidR="00525F19" w:rsidRPr="00345AA4">
        <w:rPr>
          <w:rFonts w:ascii="Arial" w:hAnsi="Arial" w:cs="Arial"/>
          <w:color w:val="000000" w:themeColor="text1"/>
          <w:sz w:val="22"/>
          <w:szCs w:val="22"/>
        </w:rPr>
        <w:t>fficulty</w:t>
      </w:r>
      <w:r w:rsidR="00C5791B" w:rsidRPr="00345AA4">
        <w:rPr>
          <w:rFonts w:ascii="Arial" w:hAnsi="Arial" w:cs="Arial"/>
          <w:color w:val="000000" w:themeColor="text1"/>
          <w:sz w:val="22"/>
          <w:szCs w:val="22"/>
        </w:rPr>
        <w:t xml:space="preserve"> in</w:t>
      </w:r>
      <w:r w:rsidR="00525F19" w:rsidRPr="00345AA4">
        <w:rPr>
          <w:rFonts w:ascii="Arial" w:hAnsi="Arial" w:cs="Arial"/>
          <w:color w:val="000000" w:themeColor="text1"/>
          <w:sz w:val="22"/>
          <w:szCs w:val="22"/>
        </w:rPr>
        <w:t xml:space="preserve"> tracing the prior year</w:t>
      </w:r>
      <w:r w:rsidRPr="00345AA4">
        <w:rPr>
          <w:rFonts w:ascii="Arial" w:hAnsi="Arial" w:cs="Arial"/>
          <w:color w:val="000000" w:themeColor="text1"/>
          <w:sz w:val="22"/>
          <w:szCs w:val="22"/>
        </w:rPr>
        <w:t>s</w:t>
      </w:r>
      <w:r w:rsidR="00525F19" w:rsidRPr="00345AA4">
        <w:rPr>
          <w:rFonts w:ascii="Arial" w:hAnsi="Arial" w:cs="Arial"/>
          <w:color w:val="000000" w:themeColor="text1"/>
          <w:sz w:val="22"/>
          <w:szCs w:val="22"/>
        </w:rPr>
        <w:t>’</w:t>
      </w:r>
      <w:r w:rsidRPr="00345AA4">
        <w:rPr>
          <w:rFonts w:ascii="Arial" w:hAnsi="Arial" w:cs="Arial"/>
          <w:color w:val="000000" w:themeColor="text1"/>
          <w:sz w:val="22"/>
          <w:szCs w:val="22"/>
        </w:rPr>
        <w:t xml:space="preserve"> transactions due to the crash of the computerized systems in 2012.  Seven years had lapsed but the promised reconciliation</w:t>
      </w:r>
      <w:r w:rsidR="001F0EA3" w:rsidRPr="00345AA4">
        <w:rPr>
          <w:rFonts w:ascii="Arial" w:hAnsi="Arial" w:cs="Arial"/>
          <w:color w:val="000000" w:themeColor="text1"/>
          <w:sz w:val="22"/>
          <w:szCs w:val="22"/>
        </w:rPr>
        <w:t xml:space="preserve"> by Management</w:t>
      </w:r>
      <w:r w:rsidRPr="00345AA4">
        <w:rPr>
          <w:rFonts w:ascii="Arial" w:hAnsi="Arial" w:cs="Arial"/>
          <w:color w:val="000000" w:themeColor="text1"/>
          <w:sz w:val="22"/>
          <w:szCs w:val="22"/>
        </w:rPr>
        <w:t xml:space="preserve"> is not yet done.   </w:t>
      </w:r>
    </w:p>
    <w:p w14:paraId="325BF2C4" w14:textId="77777777" w:rsidR="00A72CC8" w:rsidRPr="00345AA4" w:rsidRDefault="00A72CC8" w:rsidP="00A72CC8">
      <w:pPr>
        <w:pStyle w:val="NoSpacing"/>
        <w:jc w:val="both"/>
        <w:rPr>
          <w:rFonts w:ascii="Arial" w:hAnsi="Arial" w:cs="Arial"/>
          <w:color w:val="000000" w:themeColor="text1"/>
        </w:rPr>
      </w:pPr>
    </w:p>
    <w:p w14:paraId="0C7D1AA7" w14:textId="77777777" w:rsidR="0012359E" w:rsidRPr="00345AA4" w:rsidRDefault="00A72CC8" w:rsidP="00A72CC8">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The </w:t>
      </w:r>
      <w:r w:rsidR="0057486A" w:rsidRPr="00345AA4">
        <w:rPr>
          <w:rFonts w:ascii="Arial" w:hAnsi="Arial" w:cs="Arial"/>
          <w:color w:val="000000" w:themeColor="text1"/>
          <w:sz w:val="22"/>
          <w:szCs w:val="22"/>
        </w:rPr>
        <w:t>Subsidiary Ledger (</w:t>
      </w:r>
      <w:r w:rsidRPr="00345AA4">
        <w:rPr>
          <w:rFonts w:ascii="Arial" w:hAnsi="Arial" w:cs="Arial"/>
          <w:color w:val="000000" w:themeColor="text1"/>
          <w:sz w:val="22"/>
          <w:szCs w:val="22"/>
        </w:rPr>
        <w:t>SL</w:t>
      </w:r>
      <w:r w:rsidR="0057486A" w:rsidRPr="00345AA4">
        <w:rPr>
          <w:rFonts w:ascii="Arial" w:hAnsi="Arial" w:cs="Arial"/>
          <w:color w:val="000000" w:themeColor="text1"/>
          <w:sz w:val="22"/>
          <w:szCs w:val="22"/>
        </w:rPr>
        <w:t>)</w:t>
      </w:r>
      <w:r w:rsidRPr="00345AA4">
        <w:rPr>
          <w:rFonts w:ascii="Arial" w:hAnsi="Arial" w:cs="Arial"/>
          <w:color w:val="000000" w:themeColor="text1"/>
          <w:sz w:val="22"/>
          <w:szCs w:val="22"/>
        </w:rPr>
        <w:t xml:space="preserve"> is a book of final entry containing the details or breakdown of the balance of the controlling account appearing in the GL.  Postings to the SL generally come from the source documents.  The totals of the SL balances shall be reconciled with their respective control account regularly or at the end of each month.  Schedules shall be prepared periodically to support the corresponding controlling GL accounts.  </w:t>
      </w:r>
    </w:p>
    <w:p w14:paraId="36743D27" w14:textId="77777777" w:rsidR="0012359E" w:rsidRPr="00345AA4" w:rsidRDefault="0012359E" w:rsidP="0012359E">
      <w:pPr>
        <w:pStyle w:val="ListParagraph"/>
        <w:rPr>
          <w:rFonts w:ascii="Arial" w:hAnsi="Arial" w:cs="Arial"/>
          <w:color w:val="000000" w:themeColor="text1"/>
          <w:sz w:val="22"/>
          <w:szCs w:val="22"/>
        </w:rPr>
      </w:pPr>
    </w:p>
    <w:p w14:paraId="245ADBC2" w14:textId="4FBDD9CC" w:rsidR="00A72CC8" w:rsidRPr="00345AA4" w:rsidRDefault="00A72CC8" w:rsidP="001C4C9A">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However, due</w:t>
      </w:r>
      <w:r w:rsidR="00BA7CEB" w:rsidRPr="00345AA4">
        <w:rPr>
          <w:rFonts w:ascii="Arial" w:hAnsi="Arial" w:cs="Arial"/>
          <w:color w:val="000000" w:themeColor="text1"/>
          <w:sz w:val="22"/>
          <w:szCs w:val="22"/>
        </w:rPr>
        <w:t xml:space="preserve"> to</w:t>
      </w:r>
      <w:r w:rsidRPr="00345AA4">
        <w:rPr>
          <w:rFonts w:ascii="Arial" w:hAnsi="Arial" w:cs="Arial"/>
          <w:color w:val="000000" w:themeColor="text1"/>
          <w:sz w:val="22"/>
          <w:szCs w:val="22"/>
        </w:rPr>
        <w:t xml:space="preserve"> </w:t>
      </w:r>
      <w:r w:rsidR="00BA7CEB" w:rsidRPr="00345AA4">
        <w:rPr>
          <w:rFonts w:ascii="Arial" w:hAnsi="Arial" w:cs="Arial"/>
          <w:color w:val="000000" w:themeColor="text1"/>
          <w:sz w:val="22"/>
          <w:szCs w:val="22"/>
        </w:rPr>
        <w:t>non-submission</w:t>
      </w:r>
      <w:r w:rsidRPr="00345AA4">
        <w:rPr>
          <w:rFonts w:ascii="Arial" w:hAnsi="Arial" w:cs="Arial"/>
          <w:color w:val="000000" w:themeColor="text1"/>
          <w:sz w:val="22"/>
          <w:szCs w:val="22"/>
        </w:rPr>
        <w:t xml:space="preserve"> of schedules, the unreconciled balance of GL account</w:t>
      </w:r>
      <w:r w:rsidR="0012359E" w:rsidRPr="00345AA4">
        <w:rPr>
          <w:rFonts w:ascii="Arial" w:hAnsi="Arial" w:cs="Arial"/>
          <w:color w:val="000000" w:themeColor="text1"/>
          <w:sz w:val="22"/>
          <w:szCs w:val="22"/>
        </w:rPr>
        <w:t xml:space="preserve"> and the propriety of items composing the 71 GL accounts</w:t>
      </w:r>
      <w:r w:rsidRPr="00345AA4">
        <w:rPr>
          <w:rFonts w:ascii="Arial" w:hAnsi="Arial" w:cs="Arial"/>
          <w:color w:val="000000" w:themeColor="text1"/>
          <w:sz w:val="22"/>
          <w:szCs w:val="22"/>
        </w:rPr>
        <w:t xml:space="preserve"> cannot be validated, thereby casting doubt </w:t>
      </w:r>
      <w:r w:rsidR="00C5791B" w:rsidRPr="00345AA4">
        <w:rPr>
          <w:rFonts w:ascii="Arial" w:hAnsi="Arial" w:cs="Arial"/>
          <w:color w:val="000000" w:themeColor="text1"/>
          <w:sz w:val="22"/>
          <w:szCs w:val="22"/>
        </w:rPr>
        <w:t>on</w:t>
      </w:r>
      <w:r w:rsidRPr="00345AA4">
        <w:rPr>
          <w:rFonts w:ascii="Arial" w:hAnsi="Arial" w:cs="Arial"/>
          <w:color w:val="000000" w:themeColor="text1"/>
          <w:sz w:val="22"/>
          <w:szCs w:val="22"/>
        </w:rPr>
        <w:t xml:space="preserve"> the reliability and accuracy of the whole financial statements</w:t>
      </w:r>
      <w:r w:rsidR="00AD45CD" w:rsidRPr="00345AA4">
        <w:rPr>
          <w:rFonts w:ascii="Arial" w:hAnsi="Arial" w:cs="Arial"/>
          <w:color w:val="000000" w:themeColor="text1"/>
          <w:sz w:val="22"/>
          <w:szCs w:val="22"/>
        </w:rPr>
        <w:t xml:space="preserve"> (FS)</w:t>
      </w:r>
      <w:r w:rsidRPr="00345AA4">
        <w:rPr>
          <w:rFonts w:ascii="Arial" w:hAnsi="Arial" w:cs="Arial"/>
          <w:color w:val="000000" w:themeColor="text1"/>
          <w:sz w:val="22"/>
          <w:szCs w:val="22"/>
        </w:rPr>
        <w:t xml:space="preserve"> considering the materiality of the amount.</w:t>
      </w:r>
      <w:r w:rsidR="0012359E" w:rsidRPr="00345AA4">
        <w:rPr>
          <w:rFonts w:ascii="Arial" w:hAnsi="Arial" w:cs="Arial"/>
          <w:color w:val="000000" w:themeColor="text1"/>
          <w:sz w:val="22"/>
          <w:szCs w:val="22"/>
        </w:rPr>
        <w:t xml:space="preserve"> </w:t>
      </w:r>
    </w:p>
    <w:p w14:paraId="4CAD6C1B" w14:textId="77777777" w:rsidR="0012359E" w:rsidRPr="00345AA4" w:rsidRDefault="0012359E" w:rsidP="0012359E">
      <w:pPr>
        <w:pStyle w:val="ListParagraph"/>
        <w:tabs>
          <w:tab w:val="left" w:pos="990"/>
        </w:tabs>
        <w:ind w:left="900"/>
        <w:contextualSpacing/>
        <w:jc w:val="both"/>
        <w:rPr>
          <w:rFonts w:ascii="Arial" w:hAnsi="Arial" w:cs="Arial"/>
          <w:color w:val="000000" w:themeColor="text1"/>
          <w:sz w:val="22"/>
          <w:szCs w:val="22"/>
        </w:rPr>
      </w:pPr>
    </w:p>
    <w:p w14:paraId="34191E5A" w14:textId="77777777" w:rsidR="00A72CC8" w:rsidRPr="00345AA4" w:rsidRDefault="00A72CC8" w:rsidP="00A72CC8">
      <w:pPr>
        <w:pStyle w:val="ListParagraph"/>
        <w:numPr>
          <w:ilvl w:val="1"/>
          <w:numId w:val="1"/>
        </w:numPr>
        <w:tabs>
          <w:tab w:val="left" w:pos="990"/>
        </w:tabs>
        <w:ind w:left="900" w:hanging="540"/>
        <w:contextualSpacing/>
        <w:jc w:val="both"/>
        <w:rPr>
          <w:rFonts w:ascii="Arial" w:hAnsi="Arial" w:cs="Arial"/>
          <w:b/>
          <w:color w:val="000000" w:themeColor="text1"/>
          <w:sz w:val="22"/>
          <w:szCs w:val="22"/>
        </w:rPr>
      </w:pPr>
      <w:r w:rsidRPr="00345AA4">
        <w:rPr>
          <w:rFonts w:ascii="Arial" w:hAnsi="Arial" w:cs="Arial"/>
          <w:b/>
          <w:bCs/>
          <w:color w:val="000000" w:themeColor="text1"/>
          <w:sz w:val="22"/>
          <w:szCs w:val="22"/>
        </w:rPr>
        <w:t>We recommended</w:t>
      </w:r>
      <w:r w:rsidRPr="00345AA4">
        <w:rPr>
          <w:rFonts w:ascii="Arial" w:hAnsi="Arial" w:cs="Arial"/>
          <w:b/>
          <w:color w:val="000000" w:themeColor="text1"/>
          <w:sz w:val="22"/>
          <w:szCs w:val="22"/>
        </w:rPr>
        <w:t xml:space="preserve"> that Management:</w:t>
      </w:r>
    </w:p>
    <w:p w14:paraId="42AE34AB" w14:textId="77777777" w:rsidR="00A72CC8" w:rsidRPr="00345AA4" w:rsidRDefault="00A72CC8" w:rsidP="00A72CC8">
      <w:pPr>
        <w:pStyle w:val="ListParagraph"/>
        <w:rPr>
          <w:rFonts w:ascii="Arial" w:hAnsi="Arial" w:cs="Arial"/>
          <w:b/>
          <w:color w:val="000000" w:themeColor="text1"/>
          <w:sz w:val="22"/>
          <w:szCs w:val="22"/>
        </w:rPr>
      </w:pPr>
    </w:p>
    <w:p w14:paraId="30275306" w14:textId="18EC72A4" w:rsidR="00A72CC8" w:rsidRPr="00345AA4" w:rsidRDefault="00A72CC8" w:rsidP="00CB00A3">
      <w:pPr>
        <w:pStyle w:val="NoSpacing"/>
        <w:numPr>
          <w:ilvl w:val="0"/>
          <w:numId w:val="4"/>
        </w:numPr>
        <w:ind w:left="1276"/>
        <w:jc w:val="both"/>
        <w:rPr>
          <w:rFonts w:ascii="Arial" w:hAnsi="Arial" w:cs="Arial"/>
          <w:b/>
          <w:color w:val="000000" w:themeColor="text1"/>
        </w:rPr>
      </w:pPr>
      <w:r w:rsidRPr="00345AA4">
        <w:rPr>
          <w:rFonts w:ascii="Arial" w:hAnsi="Arial" w:cs="Arial"/>
          <w:b/>
          <w:color w:val="000000" w:themeColor="text1"/>
        </w:rPr>
        <w:t xml:space="preserve">Make a timetable </w:t>
      </w:r>
      <w:r w:rsidR="00C5791B" w:rsidRPr="00345AA4">
        <w:rPr>
          <w:rFonts w:ascii="Arial" w:hAnsi="Arial" w:cs="Arial"/>
          <w:b/>
          <w:color w:val="000000" w:themeColor="text1"/>
        </w:rPr>
        <w:t>for</w:t>
      </w:r>
      <w:r w:rsidRPr="00345AA4">
        <w:rPr>
          <w:rFonts w:ascii="Arial" w:hAnsi="Arial" w:cs="Arial"/>
          <w:b/>
          <w:color w:val="000000" w:themeColor="text1"/>
        </w:rPr>
        <w:t xml:space="preserve"> the preparation of Schedules and reconciliation of the said schedules with the controlling accounts to </w:t>
      </w:r>
      <w:r w:rsidR="00C5791B" w:rsidRPr="00345AA4">
        <w:rPr>
          <w:rFonts w:ascii="Arial" w:hAnsi="Arial" w:cs="Arial"/>
          <w:b/>
          <w:color w:val="000000" w:themeColor="text1"/>
        </w:rPr>
        <w:t>determine the</w:t>
      </w:r>
      <w:r w:rsidRPr="00345AA4">
        <w:rPr>
          <w:rFonts w:ascii="Arial" w:hAnsi="Arial" w:cs="Arial"/>
          <w:b/>
          <w:color w:val="000000" w:themeColor="text1"/>
        </w:rPr>
        <w:t xml:space="preserve"> correct and reliable account balances and strictly comply with the established timetable; and</w:t>
      </w:r>
    </w:p>
    <w:p w14:paraId="6FA8CAEB" w14:textId="6801E26E" w:rsidR="00A72CC8" w:rsidRPr="00345AA4" w:rsidRDefault="00AD45CD" w:rsidP="000937A5">
      <w:pPr>
        <w:pStyle w:val="NoSpacing"/>
        <w:tabs>
          <w:tab w:val="left" w:pos="5536"/>
        </w:tabs>
        <w:ind w:left="720"/>
        <w:jc w:val="both"/>
        <w:rPr>
          <w:rFonts w:ascii="Arial" w:hAnsi="Arial" w:cs="Arial"/>
          <w:b/>
          <w:color w:val="000000" w:themeColor="text1"/>
        </w:rPr>
      </w:pPr>
      <w:r w:rsidRPr="00345AA4">
        <w:rPr>
          <w:rFonts w:ascii="Arial" w:hAnsi="Arial" w:cs="Arial"/>
          <w:b/>
          <w:color w:val="000000" w:themeColor="text1"/>
        </w:rPr>
        <w:tab/>
      </w:r>
    </w:p>
    <w:p w14:paraId="397D8CFC" w14:textId="4E8B47E5" w:rsidR="00A72CC8" w:rsidRPr="00345AA4" w:rsidRDefault="00A72CC8" w:rsidP="00CB00A3">
      <w:pPr>
        <w:pStyle w:val="NoSpacing"/>
        <w:numPr>
          <w:ilvl w:val="0"/>
          <w:numId w:val="4"/>
        </w:numPr>
        <w:ind w:left="1276"/>
        <w:jc w:val="both"/>
        <w:rPr>
          <w:rFonts w:ascii="Arial" w:hAnsi="Arial" w:cs="Arial"/>
          <w:b/>
          <w:color w:val="000000" w:themeColor="text1"/>
        </w:rPr>
      </w:pPr>
      <w:r w:rsidRPr="00345AA4">
        <w:rPr>
          <w:rFonts w:ascii="Arial" w:hAnsi="Arial" w:cs="Arial"/>
          <w:b/>
          <w:color w:val="000000" w:themeColor="text1"/>
        </w:rPr>
        <w:t xml:space="preserve">As a result of reconciliation, effect the necessary adjustments in the books for fair presentation of the accounts in the </w:t>
      </w:r>
      <w:r w:rsidR="00AD45CD" w:rsidRPr="00345AA4">
        <w:rPr>
          <w:rFonts w:ascii="Arial" w:hAnsi="Arial" w:cs="Arial"/>
          <w:b/>
          <w:color w:val="000000" w:themeColor="text1"/>
        </w:rPr>
        <w:t>FS</w:t>
      </w:r>
      <w:r w:rsidRPr="00345AA4">
        <w:rPr>
          <w:rFonts w:ascii="Arial" w:hAnsi="Arial" w:cs="Arial"/>
          <w:b/>
          <w:color w:val="000000" w:themeColor="text1"/>
        </w:rPr>
        <w:t>.</w:t>
      </w:r>
    </w:p>
    <w:p w14:paraId="209683E1" w14:textId="77777777" w:rsidR="00A72CC8" w:rsidRPr="00345AA4" w:rsidRDefault="00A72CC8" w:rsidP="00A72CC8">
      <w:pPr>
        <w:pStyle w:val="ListParagraph"/>
        <w:rPr>
          <w:rFonts w:ascii="Arial" w:hAnsi="Arial" w:cs="Arial"/>
          <w:bCs/>
          <w:color w:val="000000" w:themeColor="text1"/>
          <w:sz w:val="22"/>
          <w:szCs w:val="22"/>
        </w:rPr>
      </w:pPr>
    </w:p>
    <w:p w14:paraId="494E0A88" w14:textId="2070ACA8" w:rsidR="00A11D29" w:rsidRPr="00345AA4" w:rsidRDefault="00A72CC8" w:rsidP="00A11D29">
      <w:pPr>
        <w:pStyle w:val="ListParagraph"/>
        <w:numPr>
          <w:ilvl w:val="1"/>
          <w:numId w:val="1"/>
        </w:numPr>
        <w:tabs>
          <w:tab w:val="left" w:pos="990"/>
        </w:tabs>
        <w:ind w:left="900" w:hanging="540"/>
        <w:contextualSpacing/>
        <w:jc w:val="both"/>
        <w:rPr>
          <w:rFonts w:ascii="Arial" w:hAnsi="Arial" w:cs="Arial"/>
          <w:bCs/>
          <w:color w:val="000000" w:themeColor="text1"/>
          <w:sz w:val="22"/>
          <w:szCs w:val="22"/>
        </w:rPr>
      </w:pPr>
      <w:r w:rsidRPr="00345AA4">
        <w:rPr>
          <w:rFonts w:ascii="Arial" w:hAnsi="Arial" w:cs="Arial"/>
          <w:bCs/>
          <w:color w:val="000000" w:themeColor="text1"/>
          <w:sz w:val="22"/>
          <w:szCs w:val="22"/>
        </w:rPr>
        <w:t>The Man</w:t>
      </w:r>
      <w:r w:rsidR="0059138C" w:rsidRPr="00345AA4">
        <w:rPr>
          <w:rFonts w:ascii="Arial" w:hAnsi="Arial" w:cs="Arial"/>
          <w:bCs/>
          <w:color w:val="000000" w:themeColor="text1"/>
          <w:sz w:val="22"/>
          <w:szCs w:val="22"/>
        </w:rPr>
        <w:t>agement commented that d</w:t>
      </w:r>
      <w:r w:rsidRPr="00345AA4">
        <w:rPr>
          <w:rFonts w:ascii="Arial" w:hAnsi="Arial" w:cs="Arial"/>
          <w:bCs/>
          <w:color w:val="000000" w:themeColor="text1"/>
          <w:sz w:val="22"/>
          <w:szCs w:val="22"/>
        </w:rPr>
        <w:t>uring the conduct of the annual audit of the System’s FS, the AFPRSBS submit</w:t>
      </w:r>
      <w:r w:rsidR="00CA0DCF" w:rsidRPr="00345AA4">
        <w:rPr>
          <w:rFonts w:ascii="Arial" w:hAnsi="Arial" w:cs="Arial"/>
          <w:bCs/>
          <w:color w:val="000000" w:themeColor="text1"/>
          <w:sz w:val="22"/>
          <w:szCs w:val="22"/>
        </w:rPr>
        <w:t>ted</w:t>
      </w:r>
      <w:r w:rsidRPr="00345AA4">
        <w:rPr>
          <w:rFonts w:ascii="Arial" w:hAnsi="Arial" w:cs="Arial"/>
          <w:bCs/>
          <w:color w:val="000000" w:themeColor="text1"/>
          <w:sz w:val="22"/>
          <w:szCs w:val="22"/>
        </w:rPr>
        <w:t xml:space="preserve"> to the </w:t>
      </w:r>
      <w:r w:rsidR="00CF147A" w:rsidRPr="00345AA4">
        <w:rPr>
          <w:rFonts w:ascii="Arial" w:hAnsi="Arial" w:cs="Arial"/>
          <w:bCs/>
          <w:color w:val="000000" w:themeColor="text1"/>
          <w:sz w:val="22"/>
          <w:szCs w:val="22"/>
        </w:rPr>
        <w:t xml:space="preserve">Audit Team </w:t>
      </w:r>
      <w:r w:rsidRPr="00345AA4">
        <w:rPr>
          <w:rFonts w:ascii="Arial" w:hAnsi="Arial" w:cs="Arial"/>
          <w:bCs/>
          <w:color w:val="000000" w:themeColor="text1"/>
          <w:sz w:val="22"/>
          <w:szCs w:val="22"/>
        </w:rPr>
        <w:t xml:space="preserve">all the </w:t>
      </w:r>
      <w:r w:rsidR="00C5791B" w:rsidRPr="00345AA4">
        <w:rPr>
          <w:rFonts w:ascii="Arial" w:hAnsi="Arial" w:cs="Arial"/>
          <w:bCs/>
          <w:color w:val="000000" w:themeColor="text1"/>
          <w:sz w:val="22"/>
          <w:szCs w:val="22"/>
        </w:rPr>
        <w:t>requested schedules</w:t>
      </w:r>
      <w:r w:rsidR="0059138C" w:rsidRPr="00345AA4">
        <w:rPr>
          <w:rFonts w:ascii="Arial" w:hAnsi="Arial" w:cs="Arial"/>
          <w:bCs/>
          <w:color w:val="000000" w:themeColor="text1"/>
          <w:sz w:val="22"/>
          <w:szCs w:val="22"/>
        </w:rPr>
        <w:t xml:space="preserve">. </w:t>
      </w:r>
      <w:r w:rsidR="009A3867" w:rsidRPr="00345AA4">
        <w:rPr>
          <w:rFonts w:ascii="Arial" w:hAnsi="Arial" w:cs="Arial"/>
          <w:bCs/>
          <w:color w:val="000000" w:themeColor="text1"/>
          <w:sz w:val="22"/>
          <w:szCs w:val="22"/>
        </w:rPr>
        <w:t xml:space="preserve"> </w:t>
      </w:r>
      <w:r w:rsidR="00CA0DCF" w:rsidRPr="00345AA4">
        <w:rPr>
          <w:rFonts w:ascii="Arial" w:hAnsi="Arial" w:cs="Arial"/>
          <w:bCs/>
          <w:color w:val="000000" w:themeColor="text1"/>
          <w:sz w:val="22"/>
          <w:szCs w:val="22"/>
        </w:rPr>
        <w:t>O</w:t>
      </w:r>
      <w:r w:rsidRPr="00345AA4">
        <w:rPr>
          <w:rFonts w:ascii="Arial" w:hAnsi="Arial" w:cs="Arial"/>
          <w:bCs/>
          <w:color w:val="000000" w:themeColor="text1"/>
          <w:sz w:val="22"/>
          <w:szCs w:val="22"/>
        </w:rPr>
        <w:t xml:space="preserve">ne of the focuses of the System, particularly the AD, is the preparation of schedules and reconciliation of the </w:t>
      </w:r>
      <w:r w:rsidR="00CA0DCF" w:rsidRPr="00345AA4">
        <w:rPr>
          <w:rFonts w:ascii="Arial" w:hAnsi="Arial" w:cs="Arial"/>
          <w:bCs/>
          <w:color w:val="000000" w:themeColor="text1"/>
          <w:sz w:val="22"/>
          <w:szCs w:val="22"/>
        </w:rPr>
        <w:t>Statement of Financial Position</w:t>
      </w:r>
      <w:r w:rsidR="0037645A" w:rsidRPr="00345AA4">
        <w:rPr>
          <w:rFonts w:ascii="Arial" w:hAnsi="Arial" w:cs="Arial"/>
          <w:bCs/>
          <w:color w:val="000000" w:themeColor="text1"/>
          <w:sz w:val="22"/>
          <w:szCs w:val="22"/>
        </w:rPr>
        <w:t xml:space="preserve"> (</w:t>
      </w:r>
      <w:r w:rsidR="00CA0DCF" w:rsidRPr="00345AA4">
        <w:rPr>
          <w:rFonts w:ascii="Arial" w:hAnsi="Arial" w:cs="Arial"/>
          <w:bCs/>
          <w:color w:val="000000" w:themeColor="text1"/>
          <w:sz w:val="22"/>
          <w:szCs w:val="22"/>
        </w:rPr>
        <w:t>SFP</w:t>
      </w:r>
      <w:r w:rsidR="0037645A" w:rsidRPr="00345AA4">
        <w:rPr>
          <w:rFonts w:ascii="Arial" w:hAnsi="Arial" w:cs="Arial"/>
          <w:bCs/>
          <w:color w:val="000000" w:themeColor="text1"/>
          <w:sz w:val="22"/>
          <w:szCs w:val="22"/>
        </w:rPr>
        <w:t>)</w:t>
      </w:r>
      <w:r w:rsidRPr="00345AA4">
        <w:rPr>
          <w:rFonts w:ascii="Arial" w:hAnsi="Arial" w:cs="Arial"/>
          <w:bCs/>
          <w:color w:val="000000" w:themeColor="text1"/>
          <w:sz w:val="22"/>
          <w:szCs w:val="22"/>
        </w:rPr>
        <w:t xml:space="preserve"> accounts in view of the liquidation of AFPRSBS and the eventual turnover of its remaining assets to the designated recipient.</w:t>
      </w:r>
      <w:r w:rsidR="009A3867" w:rsidRPr="00345AA4">
        <w:rPr>
          <w:rFonts w:ascii="Arial" w:hAnsi="Arial" w:cs="Arial"/>
          <w:bCs/>
          <w:color w:val="000000" w:themeColor="text1"/>
          <w:sz w:val="22"/>
          <w:szCs w:val="22"/>
        </w:rPr>
        <w:t xml:space="preserve"> </w:t>
      </w:r>
      <w:r w:rsidRPr="00345AA4">
        <w:rPr>
          <w:rFonts w:ascii="Arial" w:hAnsi="Arial" w:cs="Arial"/>
          <w:bCs/>
          <w:color w:val="000000" w:themeColor="text1"/>
          <w:sz w:val="22"/>
          <w:szCs w:val="22"/>
        </w:rPr>
        <w:t xml:space="preserve"> </w:t>
      </w:r>
      <w:r w:rsidR="00A11D29" w:rsidRPr="00345AA4">
        <w:rPr>
          <w:rFonts w:ascii="Arial" w:hAnsi="Arial" w:cs="Arial"/>
          <w:bCs/>
          <w:color w:val="000000" w:themeColor="text1"/>
          <w:sz w:val="22"/>
          <w:szCs w:val="22"/>
        </w:rPr>
        <w:t>The Management likewise asserted that the</w:t>
      </w:r>
      <w:r w:rsidRPr="00345AA4">
        <w:rPr>
          <w:rFonts w:ascii="Arial" w:hAnsi="Arial" w:cs="Arial"/>
          <w:bCs/>
          <w:color w:val="000000" w:themeColor="text1"/>
          <w:sz w:val="22"/>
          <w:szCs w:val="22"/>
        </w:rPr>
        <w:t xml:space="preserve"> 60</w:t>
      </w:r>
      <w:r w:rsidR="00A11D29" w:rsidRPr="00345AA4">
        <w:rPr>
          <w:rFonts w:ascii="Arial" w:hAnsi="Arial" w:cs="Arial"/>
          <w:bCs/>
          <w:color w:val="000000" w:themeColor="text1"/>
          <w:sz w:val="22"/>
          <w:szCs w:val="22"/>
        </w:rPr>
        <w:t xml:space="preserve"> out of the 71 </w:t>
      </w:r>
      <w:r w:rsidRPr="00345AA4">
        <w:rPr>
          <w:rFonts w:ascii="Arial" w:hAnsi="Arial" w:cs="Arial"/>
          <w:bCs/>
          <w:color w:val="000000" w:themeColor="text1"/>
          <w:sz w:val="22"/>
          <w:szCs w:val="22"/>
        </w:rPr>
        <w:t>accounts</w:t>
      </w:r>
      <w:r w:rsidR="00A11D29" w:rsidRPr="00345AA4">
        <w:rPr>
          <w:rFonts w:ascii="Arial" w:hAnsi="Arial" w:cs="Arial"/>
          <w:bCs/>
          <w:color w:val="000000" w:themeColor="text1"/>
          <w:sz w:val="22"/>
          <w:szCs w:val="22"/>
        </w:rPr>
        <w:t xml:space="preserve"> mentioned</w:t>
      </w:r>
      <w:r w:rsidRPr="00345AA4">
        <w:rPr>
          <w:rFonts w:ascii="Arial" w:hAnsi="Arial" w:cs="Arial"/>
          <w:bCs/>
          <w:color w:val="000000" w:themeColor="text1"/>
          <w:sz w:val="22"/>
          <w:szCs w:val="22"/>
        </w:rPr>
        <w:t xml:space="preserve"> </w:t>
      </w:r>
      <w:r w:rsidR="00A11D29" w:rsidRPr="00345AA4">
        <w:rPr>
          <w:rFonts w:ascii="Arial" w:hAnsi="Arial" w:cs="Arial"/>
          <w:bCs/>
          <w:color w:val="000000" w:themeColor="text1"/>
          <w:sz w:val="22"/>
          <w:szCs w:val="22"/>
        </w:rPr>
        <w:t xml:space="preserve">have schedules on file.  </w:t>
      </w:r>
      <w:r w:rsidR="00CA0DCF" w:rsidRPr="00345AA4">
        <w:rPr>
          <w:rFonts w:ascii="Arial" w:hAnsi="Arial" w:cs="Arial"/>
          <w:bCs/>
          <w:color w:val="000000" w:themeColor="text1"/>
          <w:sz w:val="22"/>
          <w:szCs w:val="22"/>
        </w:rPr>
        <w:t>T</w:t>
      </w:r>
      <w:r w:rsidR="00A11D29" w:rsidRPr="00345AA4">
        <w:rPr>
          <w:rFonts w:ascii="Arial" w:hAnsi="Arial" w:cs="Arial"/>
          <w:bCs/>
          <w:color w:val="000000" w:themeColor="text1"/>
          <w:sz w:val="22"/>
          <w:szCs w:val="22"/>
        </w:rPr>
        <w:t xml:space="preserve">he </w:t>
      </w:r>
      <w:r w:rsidRPr="00345AA4">
        <w:rPr>
          <w:rFonts w:ascii="Arial" w:hAnsi="Arial" w:cs="Arial"/>
          <w:bCs/>
          <w:color w:val="000000" w:themeColor="text1"/>
          <w:sz w:val="22"/>
          <w:szCs w:val="22"/>
        </w:rPr>
        <w:t xml:space="preserve">schedules for </w:t>
      </w:r>
      <w:r w:rsidR="0037645A" w:rsidRPr="00345AA4">
        <w:rPr>
          <w:rFonts w:ascii="Arial" w:hAnsi="Arial" w:cs="Arial"/>
          <w:bCs/>
          <w:color w:val="000000" w:themeColor="text1"/>
          <w:sz w:val="22"/>
          <w:szCs w:val="22"/>
        </w:rPr>
        <w:t>Unapplied Collections; Unapplied Receipts; Deferred Credit and Unearned Income</w:t>
      </w:r>
      <w:r w:rsidR="00CA0DCF" w:rsidRPr="00345AA4">
        <w:rPr>
          <w:rFonts w:ascii="Arial" w:hAnsi="Arial" w:cs="Arial"/>
          <w:bCs/>
          <w:color w:val="000000" w:themeColor="text1"/>
          <w:sz w:val="22"/>
          <w:szCs w:val="22"/>
        </w:rPr>
        <w:t>-</w:t>
      </w:r>
      <w:r w:rsidR="0037645A" w:rsidRPr="00345AA4">
        <w:rPr>
          <w:rFonts w:ascii="Arial" w:hAnsi="Arial" w:cs="Arial"/>
          <w:bCs/>
          <w:color w:val="000000" w:themeColor="text1"/>
          <w:sz w:val="22"/>
          <w:szCs w:val="22"/>
        </w:rPr>
        <w:t xml:space="preserve">Commutation, </w:t>
      </w:r>
      <w:r w:rsidRPr="00345AA4">
        <w:rPr>
          <w:rFonts w:ascii="Arial" w:hAnsi="Arial" w:cs="Arial"/>
          <w:bCs/>
          <w:color w:val="000000" w:themeColor="text1"/>
          <w:sz w:val="22"/>
          <w:szCs w:val="22"/>
        </w:rPr>
        <w:t xml:space="preserve">which were subject of inquiry by the </w:t>
      </w:r>
      <w:r w:rsidR="00CF147A" w:rsidRPr="00345AA4">
        <w:rPr>
          <w:rFonts w:ascii="Arial" w:hAnsi="Arial" w:cs="Arial"/>
          <w:bCs/>
          <w:color w:val="000000" w:themeColor="text1"/>
          <w:sz w:val="22"/>
          <w:szCs w:val="22"/>
        </w:rPr>
        <w:t xml:space="preserve">Audit Team </w:t>
      </w:r>
      <w:r w:rsidRPr="00345AA4">
        <w:rPr>
          <w:rFonts w:ascii="Arial" w:hAnsi="Arial" w:cs="Arial"/>
          <w:bCs/>
          <w:color w:val="000000" w:themeColor="text1"/>
          <w:sz w:val="22"/>
          <w:szCs w:val="22"/>
        </w:rPr>
        <w:t>during the audit</w:t>
      </w:r>
      <w:r w:rsidR="00A11D29" w:rsidRPr="00345AA4">
        <w:rPr>
          <w:rFonts w:ascii="Arial" w:hAnsi="Arial" w:cs="Arial"/>
          <w:bCs/>
          <w:color w:val="000000" w:themeColor="text1"/>
          <w:sz w:val="22"/>
          <w:szCs w:val="22"/>
        </w:rPr>
        <w:t>,</w:t>
      </w:r>
      <w:r w:rsidRPr="00345AA4">
        <w:rPr>
          <w:rFonts w:ascii="Arial" w:hAnsi="Arial" w:cs="Arial"/>
          <w:bCs/>
          <w:color w:val="000000" w:themeColor="text1"/>
          <w:sz w:val="22"/>
          <w:szCs w:val="22"/>
        </w:rPr>
        <w:t xml:space="preserve"> </w:t>
      </w:r>
      <w:r w:rsidR="00A11D29" w:rsidRPr="00345AA4">
        <w:rPr>
          <w:rFonts w:ascii="Arial" w:hAnsi="Arial" w:cs="Arial"/>
          <w:bCs/>
          <w:color w:val="000000" w:themeColor="text1"/>
          <w:sz w:val="22"/>
          <w:szCs w:val="22"/>
        </w:rPr>
        <w:t>were</w:t>
      </w:r>
      <w:r w:rsidRPr="00345AA4">
        <w:rPr>
          <w:rFonts w:ascii="Arial" w:hAnsi="Arial" w:cs="Arial"/>
          <w:bCs/>
          <w:color w:val="000000" w:themeColor="text1"/>
          <w:sz w:val="22"/>
          <w:szCs w:val="22"/>
        </w:rPr>
        <w:t xml:space="preserve"> not submitted since the same a</w:t>
      </w:r>
      <w:r w:rsidR="00A9239B" w:rsidRPr="00345AA4">
        <w:rPr>
          <w:rFonts w:ascii="Arial" w:hAnsi="Arial" w:cs="Arial"/>
          <w:bCs/>
          <w:color w:val="000000" w:themeColor="text1"/>
          <w:sz w:val="22"/>
          <w:szCs w:val="22"/>
        </w:rPr>
        <w:t>re still ongoing reconciliation.</w:t>
      </w:r>
    </w:p>
    <w:p w14:paraId="51F6DB4C" w14:textId="77777777" w:rsidR="00A11D29" w:rsidRPr="00345AA4" w:rsidRDefault="00A11D29" w:rsidP="00A11D29">
      <w:pPr>
        <w:pStyle w:val="ListParagraph"/>
        <w:tabs>
          <w:tab w:val="left" w:pos="990"/>
        </w:tabs>
        <w:ind w:left="900"/>
        <w:contextualSpacing/>
        <w:jc w:val="both"/>
        <w:rPr>
          <w:rFonts w:ascii="Arial" w:hAnsi="Arial" w:cs="Arial"/>
          <w:b/>
          <w:color w:val="000000" w:themeColor="text1"/>
          <w:sz w:val="22"/>
          <w:szCs w:val="22"/>
        </w:rPr>
      </w:pPr>
    </w:p>
    <w:p w14:paraId="0647CEED" w14:textId="2048255C" w:rsidR="00A72CC8" w:rsidRPr="00345AA4" w:rsidRDefault="00A11D29" w:rsidP="00A11D29">
      <w:pPr>
        <w:pStyle w:val="ListParagraph"/>
        <w:numPr>
          <w:ilvl w:val="1"/>
          <w:numId w:val="1"/>
        </w:numPr>
        <w:tabs>
          <w:tab w:val="left" w:pos="990"/>
        </w:tabs>
        <w:ind w:left="900" w:hanging="540"/>
        <w:contextualSpacing/>
        <w:jc w:val="both"/>
        <w:rPr>
          <w:rFonts w:ascii="Arial" w:hAnsi="Arial" w:cs="Arial"/>
          <w:bCs/>
          <w:color w:val="000000" w:themeColor="text1"/>
          <w:sz w:val="22"/>
          <w:szCs w:val="22"/>
        </w:rPr>
      </w:pPr>
      <w:r w:rsidRPr="00345AA4">
        <w:rPr>
          <w:rFonts w:ascii="Arial" w:hAnsi="Arial" w:cs="Arial"/>
          <w:bCs/>
          <w:color w:val="000000" w:themeColor="text1"/>
          <w:sz w:val="22"/>
          <w:szCs w:val="22"/>
        </w:rPr>
        <w:t>Nevertheless, the</w:t>
      </w:r>
      <w:r w:rsidR="00A72CC8" w:rsidRPr="00345AA4">
        <w:rPr>
          <w:rFonts w:ascii="Arial" w:hAnsi="Arial" w:cs="Arial"/>
          <w:bCs/>
          <w:color w:val="000000" w:themeColor="text1"/>
          <w:sz w:val="22"/>
          <w:szCs w:val="22"/>
        </w:rPr>
        <w:t xml:space="preserve"> </w:t>
      </w:r>
      <w:r w:rsidRPr="00345AA4">
        <w:rPr>
          <w:rFonts w:ascii="Arial" w:hAnsi="Arial" w:cs="Arial"/>
          <w:bCs/>
          <w:color w:val="000000" w:themeColor="text1"/>
          <w:sz w:val="22"/>
          <w:szCs w:val="22"/>
        </w:rPr>
        <w:t>Management is amenable that they still have</w:t>
      </w:r>
      <w:r w:rsidR="00A72CC8" w:rsidRPr="00345AA4">
        <w:rPr>
          <w:rFonts w:ascii="Arial" w:hAnsi="Arial" w:cs="Arial"/>
          <w:bCs/>
          <w:color w:val="000000" w:themeColor="text1"/>
          <w:sz w:val="22"/>
          <w:szCs w:val="22"/>
        </w:rPr>
        <w:t xml:space="preserve"> to update the schedules supporting the other </w:t>
      </w:r>
      <w:r w:rsidR="00CA0DCF" w:rsidRPr="00345AA4">
        <w:rPr>
          <w:rFonts w:ascii="Arial" w:hAnsi="Arial" w:cs="Arial"/>
          <w:bCs/>
          <w:color w:val="000000" w:themeColor="text1"/>
          <w:sz w:val="22"/>
          <w:szCs w:val="22"/>
        </w:rPr>
        <w:t>SFP</w:t>
      </w:r>
      <w:r w:rsidR="00A72CC8" w:rsidRPr="00345AA4">
        <w:rPr>
          <w:rFonts w:ascii="Arial" w:hAnsi="Arial" w:cs="Arial"/>
          <w:bCs/>
          <w:color w:val="000000" w:themeColor="text1"/>
          <w:sz w:val="22"/>
          <w:szCs w:val="22"/>
        </w:rPr>
        <w:t xml:space="preserve"> accounts.  </w:t>
      </w:r>
      <w:r w:rsidRPr="00345AA4">
        <w:rPr>
          <w:rFonts w:ascii="Arial" w:hAnsi="Arial" w:cs="Arial"/>
          <w:bCs/>
          <w:color w:val="000000" w:themeColor="text1"/>
          <w:sz w:val="22"/>
          <w:szCs w:val="22"/>
        </w:rPr>
        <w:t xml:space="preserve">They committed </w:t>
      </w:r>
      <w:r w:rsidR="00CF147A" w:rsidRPr="00345AA4">
        <w:rPr>
          <w:rFonts w:ascii="Arial" w:hAnsi="Arial" w:cs="Arial"/>
          <w:bCs/>
          <w:color w:val="000000" w:themeColor="text1"/>
          <w:sz w:val="22"/>
          <w:szCs w:val="22"/>
        </w:rPr>
        <w:t>to</w:t>
      </w:r>
      <w:r w:rsidR="00A72CC8" w:rsidRPr="00345AA4">
        <w:rPr>
          <w:rFonts w:ascii="Arial" w:hAnsi="Arial" w:cs="Arial"/>
          <w:bCs/>
          <w:color w:val="000000" w:themeColor="text1"/>
          <w:sz w:val="22"/>
          <w:szCs w:val="22"/>
        </w:rPr>
        <w:t xml:space="preserve"> reconcile </w:t>
      </w:r>
      <w:r w:rsidR="0037645A" w:rsidRPr="00345AA4">
        <w:rPr>
          <w:rFonts w:ascii="Arial" w:hAnsi="Arial" w:cs="Arial"/>
          <w:bCs/>
          <w:color w:val="000000" w:themeColor="text1"/>
          <w:sz w:val="22"/>
          <w:szCs w:val="22"/>
        </w:rPr>
        <w:t>and prepare the same within Calendar Year (</w:t>
      </w:r>
      <w:r w:rsidR="00A72CC8" w:rsidRPr="00345AA4">
        <w:rPr>
          <w:rFonts w:ascii="Arial" w:hAnsi="Arial" w:cs="Arial"/>
          <w:bCs/>
          <w:color w:val="000000" w:themeColor="text1"/>
          <w:sz w:val="22"/>
          <w:szCs w:val="22"/>
        </w:rPr>
        <w:t>CY</w:t>
      </w:r>
      <w:r w:rsidR="0037645A" w:rsidRPr="00345AA4">
        <w:rPr>
          <w:rFonts w:ascii="Arial" w:hAnsi="Arial" w:cs="Arial"/>
          <w:bCs/>
          <w:color w:val="000000" w:themeColor="text1"/>
          <w:sz w:val="22"/>
          <w:szCs w:val="22"/>
        </w:rPr>
        <w:t>)</w:t>
      </w:r>
      <w:r w:rsidR="00A72CC8" w:rsidRPr="00345AA4">
        <w:rPr>
          <w:rFonts w:ascii="Arial" w:hAnsi="Arial" w:cs="Arial"/>
          <w:bCs/>
          <w:color w:val="000000" w:themeColor="text1"/>
          <w:sz w:val="22"/>
          <w:szCs w:val="22"/>
        </w:rPr>
        <w:t xml:space="preserve"> 2020.  </w:t>
      </w:r>
      <w:r w:rsidRPr="00345AA4">
        <w:rPr>
          <w:rFonts w:ascii="Arial" w:hAnsi="Arial" w:cs="Arial"/>
          <w:bCs/>
          <w:color w:val="000000" w:themeColor="text1"/>
          <w:sz w:val="22"/>
          <w:szCs w:val="22"/>
        </w:rPr>
        <w:t>And the</w:t>
      </w:r>
      <w:r w:rsidR="00A72CC8" w:rsidRPr="00345AA4">
        <w:rPr>
          <w:rFonts w:ascii="Arial" w:hAnsi="Arial" w:cs="Arial"/>
          <w:bCs/>
          <w:color w:val="000000" w:themeColor="text1"/>
          <w:sz w:val="22"/>
          <w:szCs w:val="22"/>
        </w:rPr>
        <w:t xml:space="preserve"> necessary adjustments in the books, if any, will be made as a result of the reconciliation for fair presentation of the accounts in the FS. </w:t>
      </w:r>
    </w:p>
    <w:p w14:paraId="0BDA052F" w14:textId="77777777" w:rsidR="00A72CC8" w:rsidRPr="00345AA4" w:rsidRDefault="00A72CC8" w:rsidP="00A72CC8">
      <w:pPr>
        <w:pStyle w:val="ListParagraph"/>
        <w:tabs>
          <w:tab w:val="left" w:pos="990"/>
        </w:tabs>
        <w:ind w:left="1134"/>
        <w:contextualSpacing/>
        <w:jc w:val="both"/>
        <w:rPr>
          <w:rFonts w:ascii="Arial" w:hAnsi="Arial" w:cs="Arial"/>
          <w:bCs/>
          <w:color w:val="000000" w:themeColor="text1"/>
          <w:sz w:val="22"/>
          <w:szCs w:val="22"/>
        </w:rPr>
      </w:pPr>
      <w:r w:rsidRPr="00345AA4">
        <w:rPr>
          <w:rFonts w:ascii="Arial" w:hAnsi="Arial" w:cs="Arial"/>
          <w:bCs/>
          <w:color w:val="000000" w:themeColor="text1"/>
          <w:sz w:val="22"/>
          <w:szCs w:val="22"/>
        </w:rPr>
        <w:t xml:space="preserve">  </w:t>
      </w:r>
    </w:p>
    <w:p w14:paraId="4605A08F" w14:textId="1D9C5B3C" w:rsidR="00A72CC8" w:rsidRPr="00345AA4" w:rsidRDefault="00A72CC8" w:rsidP="00A9239B">
      <w:pPr>
        <w:pStyle w:val="ListParagraph"/>
        <w:numPr>
          <w:ilvl w:val="1"/>
          <w:numId w:val="1"/>
        </w:numPr>
        <w:tabs>
          <w:tab w:val="left" w:pos="990"/>
        </w:tabs>
        <w:ind w:left="900" w:hanging="540"/>
        <w:contextualSpacing/>
        <w:jc w:val="both"/>
        <w:rPr>
          <w:rStyle w:val="Strong"/>
          <w:rFonts w:ascii="Arial" w:hAnsi="Arial" w:cs="Arial"/>
          <w:b w:val="0"/>
          <w:color w:val="000000" w:themeColor="text1"/>
          <w:sz w:val="22"/>
          <w:szCs w:val="22"/>
        </w:rPr>
      </w:pPr>
      <w:r w:rsidRPr="00345AA4">
        <w:rPr>
          <w:rFonts w:ascii="Arial" w:hAnsi="Arial" w:cs="Arial"/>
          <w:bCs/>
          <w:color w:val="000000" w:themeColor="text1"/>
          <w:sz w:val="22"/>
          <w:szCs w:val="22"/>
        </w:rPr>
        <w:t xml:space="preserve">As a rejoinder, the </w:t>
      </w:r>
      <w:r w:rsidRPr="00345AA4">
        <w:rPr>
          <w:rStyle w:val="Strong"/>
          <w:rFonts w:ascii="Arial" w:hAnsi="Arial" w:cs="Arial"/>
          <w:b w:val="0"/>
          <w:color w:val="000000" w:themeColor="text1"/>
          <w:sz w:val="22"/>
          <w:szCs w:val="22"/>
        </w:rPr>
        <w:t xml:space="preserve">Management’s actions in updating the schedules supporting the accounts in the </w:t>
      </w:r>
      <w:r w:rsidR="00CF147A" w:rsidRPr="00345AA4">
        <w:rPr>
          <w:rStyle w:val="Strong"/>
          <w:rFonts w:ascii="Arial" w:hAnsi="Arial" w:cs="Arial"/>
          <w:b w:val="0"/>
          <w:color w:val="000000" w:themeColor="text1"/>
          <w:sz w:val="22"/>
          <w:szCs w:val="22"/>
        </w:rPr>
        <w:t>FS</w:t>
      </w:r>
      <w:r w:rsidRPr="00345AA4">
        <w:rPr>
          <w:rStyle w:val="Strong"/>
          <w:rFonts w:ascii="Arial" w:hAnsi="Arial" w:cs="Arial"/>
          <w:b w:val="0"/>
          <w:color w:val="000000" w:themeColor="text1"/>
          <w:sz w:val="22"/>
          <w:szCs w:val="22"/>
        </w:rPr>
        <w:t xml:space="preserve"> as well as the reconciliation of these accounts</w:t>
      </w:r>
      <w:r w:rsidR="00CA0DCF" w:rsidRPr="00345AA4">
        <w:rPr>
          <w:rStyle w:val="Strong"/>
          <w:rFonts w:ascii="Arial" w:hAnsi="Arial" w:cs="Arial"/>
          <w:b w:val="0"/>
          <w:color w:val="000000" w:themeColor="text1"/>
          <w:sz w:val="22"/>
          <w:szCs w:val="22"/>
        </w:rPr>
        <w:t xml:space="preserve"> will be </w:t>
      </w:r>
      <w:r w:rsidR="00CA0DCF" w:rsidRPr="00345AA4">
        <w:rPr>
          <w:rStyle w:val="Strong"/>
          <w:rFonts w:ascii="Arial" w:hAnsi="Arial" w:cs="Arial"/>
          <w:b w:val="0"/>
          <w:color w:val="000000" w:themeColor="text1"/>
          <w:sz w:val="22"/>
          <w:szCs w:val="22"/>
        </w:rPr>
        <w:lastRenderedPageBreak/>
        <w:t>monitored by the Audit Team</w:t>
      </w:r>
      <w:r w:rsidRPr="00345AA4">
        <w:rPr>
          <w:rStyle w:val="Strong"/>
          <w:rFonts w:ascii="Arial" w:hAnsi="Arial" w:cs="Arial"/>
          <w:b w:val="0"/>
          <w:color w:val="000000" w:themeColor="text1"/>
          <w:sz w:val="22"/>
          <w:szCs w:val="22"/>
        </w:rPr>
        <w:t>.</w:t>
      </w:r>
      <w:r w:rsidR="00A9239B" w:rsidRPr="00345AA4">
        <w:rPr>
          <w:rStyle w:val="Strong"/>
          <w:rFonts w:ascii="Arial" w:hAnsi="Arial" w:cs="Arial"/>
          <w:b w:val="0"/>
          <w:color w:val="000000" w:themeColor="text1"/>
          <w:sz w:val="22"/>
          <w:szCs w:val="22"/>
        </w:rPr>
        <w:t xml:space="preserve">  </w:t>
      </w:r>
      <w:r w:rsidRPr="00345AA4">
        <w:rPr>
          <w:rStyle w:val="Strong"/>
          <w:rFonts w:ascii="Arial" w:hAnsi="Arial" w:cs="Arial"/>
          <w:b w:val="0"/>
          <w:color w:val="000000" w:themeColor="text1"/>
          <w:sz w:val="22"/>
          <w:szCs w:val="22"/>
        </w:rPr>
        <w:t>In this regard,</w:t>
      </w:r>
      <w:r w:rsidR="005C44B1" w:rsidRPr="00345AA4">
        <w:rPr>
          <w:rStyle w:val="Strong"/>
          <w:rFonts w:ascii="Arial" w:hAnsi="Arial" w:cs="Arial"/>
          <w:b w:val="0"/>
          <w:color w:val="000000" w:themeColor="text1"/>
          <w:sz w:val="22"/>
          <w:szCs w:val="22"/>
        </w:rPr>
        <w:t xml:space="preserve"> we maintain our stand that the propriety of the 71 GL accounts cannot be determined because their corresponding schedules were not subjected to our audit. </w:t>
      </w:r>
      <w:r w:rsidRPr="00345AA4">
        <w:rPr>
          <w:rStyle w:val="Strong"/>
          <w:rFonts w:ascii="Arial" w:hAnsi="Arial" w:cs="Arial"/>
          <w:b w:val="0"/>
          <w:color w:val="000000" w:themeColor="text1"/>
          <w:sz w:val="22"/>
          <w:szCs w:val="22"/>
        </w:rPr>
        <w:t xml:space="preserve"> </w:t>
      </w:r>
      <w:r w:rsidR="00AD45CD" w:rsidRPr="00345AA4" w:rsidDel="00AD45CD">
        <w:rPr>
          <w:rStyle w:val="Strong"/>
          <w:rFonts w:ascii="Arial" w:hAnsi="Arial" w:cs="Arial"/>
          <w:b w:val="0"/>
          <w:color w:val="000000" w:themeColor="text1"/>
          <w:sz w:val="22"/>
          <w:szCs w:val="22"/>
        </w:rPr>
        <w:t xml:space="preserve"> </w:t>
      </w:r>
    </w:p>
    <w:p w14:paraId="60ED6889" w14:textId="77777777" w:rsidR="00A72CC8" w:rsidRPr="00345AA4" w:rsidRDefault="00A72CC8" w:rsidP="000937A5">
      <w:pPr>
        <w:pStyle w:val="ListParagraph"/>
        <w:tabs>
          <w:tab w:val="left" w:pos="990"/>
        </w:tabs>
        <w:ind w:left="900"/>
        <w:contextualSpacing/>
        <w:jc w:val="both"/>
        <w:rPr>
          <w:rStyle w:val="Strong"/>
          <w:rFonts w:ascii="Arial" w:hAnsi="Arial" w:cs="Arial"/>
          <w:b w:val="0"/>
          <w:color w:val="000000" w:themeColor="text1"/>
        </w:rPr>
      </w:pPr>
    </w:p>
    <w:p w14:paraId="6ED69B3D" w14:textId="77777777" w:rsidR="00447B23" w:rsidRPr="00345AA4" w:rsidRDefault="00447B23" w:rsidP="000937A5">
      <w:pPr>
        <w:pStyle w:val="ListParagraph"/>
        <w:tabs>
          <w:tab w:val="left" w:pos="990"/>
        </w:tabs>
        <w:ind w:left="900"/>
        <w:contextualSpacing/>
        <w:jc w:val="both"/>
        <w:rPr>
          <w:rStyle w:val="Strong"/>
          <w:rFonts w:ascii="Arial" w:hAnsi="Arial" w:cs="Arial"/>
          <w:b w:val="0"/>
          <w:color w:val="000000" w:themeColor="text1"/>
        </w:rPr>
      </w:pPr>
    </w:p>
    <w:p w14:paraId="0ED040C4" w14:textId="4A189871" w:rsidR="00A72CC8" w:rsidRPr="00345AA4" w:rsidRDefault="00A72CC8" w:rsidP="00076643">
      <w:pPr>
        <w:pStyle w:val="ListParagraph"/>
        <w:numPr>
          <w:ilvl w:val="0"/>
          <w:numId w:val="1"/>
        </w:numPr>
        <w:ind w:left="426" w:hanging="426"/>
        <w:jc w:val="both"/>
        <w:rPr>
          <w:rFonts w:ascii="Arial" w:hAnsi="Arial" w:cs="Arial"/>
          <w:b/>
          <w:color w:val="000000" w:themeColor="text1"/>
          <w:sz w:val="22"/>
          <w:szCs w:val="22"/>
        </w:rPr>
      </w:pPr>
      <w:r w:rsidRPr="00345AA4">
        <w:rPr>
          <w:rFonts w:ascii="Arial" w:hAnsi="Arial" w:cs="Arial"/>
          <w:b/>
          <w:color w:val="000000" w:themeColor="text1"/>
          <w:sz w:val="22"/>
          <w:szCs w:val="22"/>
        </w:rPr>
        <w:t>The unreconciled balances</w:t>
      </w:r>
      <w:r w:rsidR="001D5B0F">
        <w:rPr>
          <w:rFonts w:ascii="Arial" w:hAnsi="Arial" w:cs="Arial"/>
          <w:b/>
          <w:color w:val="000000" w:themeColor="text1"/>
          <w:sz w:val="22"/>
          <w:szCs w:val="22"/>
        </w:rPr>
        <w:t xml:space="preserve"> of</w:t>
      </w:r>
      <w:r w:rsidRPr="00345AA4">
        <w:rPr>
          <w:rFonts w:ascii="Arial" w:hAnsi="Arial" w:cs="Arial"/>
          <w:b/>
          <w:color w:val="000000" w:themeColor="text1"/>
          <w:sz w:val="22"/>
          <w:szCs w:val="22"/>
        </w:rPr>
        <w:t xml:space="preserve"> </w:t>
      </w:r>
      <w:r w:rsidR="00B306C7" w:rsidRPr="00345AA4">
        <w:rPr>
          <w:rFonts w:ascii="Arial" w:hAnsi="Arial" w:cs="Arial"/>
          <w:b/>
          <w:color w:val="000000" w:themeColor="text1"/>
          <w:sz w:val="22"/>
          <w:szCs w:val="22"/>
        </w:rPr>
        <w:t>Member’s Contributions (</w:t>
      </w:r>
      <w:r w:rsidRPr="00345AA4">
        <w:rPr>
          <w:rFonts w:ascii="Arial" w:hAnsi="Arial" w:cs="Arial"/>
          <w:b/>
          <w:color w:val="000000" w:themeColor="text1"/>
          <w:sz w:val="22"/>
          <w:szCs w:val="22"/>
        </w:rPr>
        <w:t>MC</w:t>
      </w:r>
      <w:r w:rsidR="00B306C7" w:rsidRPr="00345AA4">
        <w:rPr>
          <w:rFonts w:ascii="Arial" w:hAnsi="Arial" w:cs="Arial"/>
          <w:b/>
          <w:color w:val="000000" w:themeColor="text1"/>
          <w:sz w:val="22"/>
          <w:szCs w:val="22"/>
        </w:rPr>
        <w:t>)</w:t>
      </w:r>
      <w:r w:rsidRPr="00345AA4">
        <w:rPr>
          <w:rFonts w:ascii="Arial" w:hAnsi="Arial" w:cs="Arial"/>
          <w:b/>
          <w:color w:val="000000" w:themeColor="text1"/>
          <w:sz w:val="22"/>
          <w:szCs w:val="22"/>
        </w:rPr>
        <w:t xml:space="preserve"> and Estimated liability on MC earnings account, amounting to P7.268 billion and P2.294 billion, respectively, representing collections of capital contribution and earnings on members’ capital contribution, respectively, </w:t>
      </w:r>
      <w:r w:rsidR="002C4E7B" w:rsidRPr="00345AA4">
        <w:rPr>
          <w:rFonts w:ascii="Arial" w:hAnsi="Arial" w:cs="Arial"/>
          <w:b/>
          <w:color w:val="000000" w:themeColor="text1"/>
          <w:sz w:val="22"/>
          <w:szCs w:val="22"/>
        </w:rPr>
        <w:t>have</w:t>
      </w:r>
      <w:r w:rsidR="00A14D59" w:rsidRPr="00345AA4">
        <w:rPr>
          <w:rFonts w:ascii="Arial" w:hAnsi="Arial" w:cs="Arial"/>
          <w:b/>
          <w:color w:val="000000" w:themeColor="text1"/>
          <w:sz w:val="22"/>
          <w:szCs w:val="22"/>
        </w:rPr>
        <w:t xml:space="preserve"> no</w:t>
      </w:r>
      <w:r w:rsidRPr="00345AA4">
        <w:rPr>
          <w:rFonts w:ascii="Arial" w:hAnsi="Arial" w:cs="Arial"/>
          <w:b/>
          <w:color w:val="000000" w:themeColor="text1"/>
          <w:sz w:val="22"/>
          <w:szCs w:val="22"/>
        </w:rPr>
        <w:t xml:space="preserve"> updated SLs, thereby </w:t>
      </w:r>
      <w:r w:rsidR="00D87C79" w:rsidRPr="00345AA4">
        <w:rPr>
          <w:rFonts w:ascii="Arial" w:hAnsi="Arial" w:cs="Arial"/>
          <w:b/>
          <w:color w:val="000000" w:themeColor="text1"/>
          <w:sz w:val="22"/>
          <w:szCs w:val="22"/>
        </w:rPr>
        <w:t xml:space="preserve">rendering doubtful </w:t>
      </w:r>
      <w:r w:rsidRPr="00345AA4">
        <w:rPr>
          <w:rFonts w:ascii="Arial" w:hAnsi="Arial" w:cs="Arial"/>
          <w:b/>
          <w:color w:val="000000" w:themeColor="text1"/>
          <w:sz w:val="22"/>
          <w:szCs w:val="22"/>
        </w:rPr>
        <w:t>the accuracy and correctness of presentation of members’ data in the SLs</w:t>
      </w:r>
      <w:r w:rsidR="00D87C79" w:rsidRPr="00345AA4">
        <w:rPr>
          <w:rFonts w:ascii="Arial" w:hAnsi="Arial" w:cs="Arial"/>
          <w:b/>
          <w:color w:val="000000" w:themeColor="text1"/>
          <w:sz w:val="22"/>
          <w:szCs w:val="22"/>
        </w:rPr>
        <w:t>,</w:t>
      </w:r>
      <w:r w:rsidRPr="00345AA4">
        <w:rPr>
          <w:rFonts w:ascii="Arial" w:hAnsi="Arial" w:cs="Arial"/>
          <w:b/>
          <w:color w:val="000000" w:themeColor="text1"/>
          <w:sz w:val="22"/>
          <w:szCs w:val="22"/>
        </w:rPr>
        <w:t xml:space="preserve"> contrary to Paragraph 15 of PAS 1, Section 111 of PD No. 1445</w:t>
      </w:r>
      <w:r w:rsidR="00C5791B" w:rsidRPr="00345AA4">
        <w:rPr>
          <w:rFonts w:ascii="Arial" w:hAnsi="Arial" w:cs="Arial"/>
          <w:b/>
          <w:color w:val="000000" w:themeColor="text1"/>
          <w:sz w:val="22"/>
          <w:szCs w:val="22"/>
        </w:rPr>
        <w:t xml:space="preserve"> and Office of the President’s issuances, particularly,</w:t>
      </w:r>
      <w:r w:rsidR="00B306C7" w:rsidRPr="00345AA4">
        <w:rPr>
          <w:rFonts w:ascii="Arial" w:hAnsi="Arial" w:cs="Arial"/>
          <w:b/>
          <w:color w:val="000000" w:themeColor="text1"/>
          <w:sz w:val="22"/>
          <w:szCs w:val="22"/>
        </w:rPr>
        <w:t xml:space="preserve"> Executive Order</w:t>
      </w:r>
      <w:r w:rsidRPr="00345AA4">
        <w:rPr>
          <w:rFonts w:ascii="Arial" w:hAnsi="Arial" w:cs="Arial"/>
          <w:b/>
          <w:color w:val="000000" w:themeColor="text1"/>
          <w:sz w:val="22"/>
          <w:szCs w:val="22"/>
        </w:rPr>
        <w:t xml:space="preserve"> </w:t>
      </w:r>
      <w:r w:rsidR="00B306C7" w:rsidRPr="00345AA4">
        <w:rPr>
          <w:rFonts w:ascii="Arial" w:hAnsi="Arial" w:cs="Arial"/>
          <w:b/>
          <w:color w:val="000000" w:themeColor="text1"/>
          <w:sz w:val="22"/>
          <w:szCs w:val="22"/>
        </w:rPr>
        <w:t>(</w:t>
      </w:r>
      <w:r w:rsidRPr="00345AA4">
        <w:rPr>
          <w:rFonts w:ascii="Arial" w:hAnsi="Arial" w:cs="Arial"/>
          <w:b/>
          <w:color w:val="000000" w:themeColor="text1"/>
          <w:sz w:val="22"/>
          <w:szCs w:val="22"/>
        </w:rPr>
        <w:t>EO</w:t>
      </w:r>
      <w:r w:rsidR="00B306C7" w:rsidRPr="00345AA4">
        <w:rPr>
          <w:rFonts w:ascii="Arial" w:hAnsi="Arial" w:cs="Arial"/>
          <w:b/>
          <w:color w:val="000000" w:themeColor="text1"/>
          <w:sz w:val="22"/>
          <w:szCs w:val="22"/>
        </w:rPr>
        <w:t>)</w:t>
      </w:r>
      <w:r w:rsidRPr="00345AA4">
        <w:rPr>
          <w:rFonts w:ascii="Arial" w:hAnsi="Arial" w:cs="Arial"/>
          <w:b/>
          <w:color w:val="000000" w:themeColor="text1"/>
          <w:sz w:val="22"/>
          <w:szCs w:val="22"/>
        </w:rPr>
        <w:t xml:space="preserve"> Nos. 590 and 590-A and </w:t>
      </w:r>
      <w:r w:rsidR="00B306C7" w:rsidRPr="00345AA4">
        <w:rPr>
          <w:rFonts w:ascii="Arial" w:hAnsi="Arial" w:cs="Arial"/>
          <w:b/>
          <w:color w:val="000000" w:themeColor="text1"/>
          <w:sz w:val="22"/>
          <w:szCs w:val="22"/>
        </w:rPr>
        <w:t>Memorandum Order (</w:t>
      </w:r>
      <w:r w:rsidRPr="00345AA4">
        <w:rPr>
          <w:rFonts w:ascii="Arial" w:hAnsi="Arial" w:cs="Arial"/>
          <w:b/>
          <w:color w:val="000000" w:themeColor="text1"/>
          <w:sz w:val="22"/>
          <w:szCs w:val="22"/>
        </w:rPr>
        <w:t>MO</w:t>
      </w:r>
      <w:r w:rsidR="00B306C7" w:rsidRPr="00345AA4">
        <w:rPr>
          <w:rFonts w:ascii="Arial" w:hAnsi="Arial" w:cs="Arial"/>
          <w:b/>
          <w:color w:val="000000" w:themeColor="text1"/>
          <w:sz w:val="22"/>
          <w:szCs w:val="22"/>
        </w:rPr>
        <w:t>)</w:t>
      </w:r>
      <w:r w:rsidRPr="00345AA4">
        <w:rPr>
          <w:rFonts w:ascii="Arial" w:hAnsi="Arial" w:cs="Arial"/>
          <w:b/>
          <w:color w:val="000000" w:themeColor="text1"/>
          <w:sz w:val="22"/>
          <w:szCs w:val="22"/>
        </w:rPr>
        <w:t xml:space="preserve"> No. 90 series of 2016.</w:t>
      </w:r>
    </w:p>
    <w:p w14:paraId="66514F61" w14:textId="77777777" w:rsidR="00A72CC8" w:rsidRPr="00345AA4" w:rsidRDefault="00A72CC8" w:rsidP="00A72CC8">
      <w:pPr>
        <w:pStyle w:val="ListParagraph"/>
        <w:ind w:left="426"/>
        <w:contextualSpacing/>
        <w:jc w:val="both"/>
        <w:rPr>
          <w:rFonts w:ascii="Arial" w:hAnsi="Arial" w:cs="Arial"/>
          <w:b/>
          <w:color w:val="000000" w:themeColor="text1"/>
          <w:sz w:val="22"/>
          <w:szCs w:val="22"/>
        </w:rPr>
      </w:pPr>
    </w:p>
    <w:p w14:paraId="585F3492" w14:textId="77777777" w:rsidR="00A72CC8" w:rsidRPr="00345AA4" w:rsidRDefault="00A72CC8" w:rsidP="005F1901">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Chapter 2, Section 111 of PD No. 1445 provides that:</w:t>
      </w:r>
    </w:p>
    <w:p w14:paraId="5770BA4D" w14:textId="77777777" w:rsidR="00A72CC8" w:rsidRPr="00345AA4" w:rsidRDefault="00A72CC8" w:rsidP="00A72CC8">
      <w:pPr>
        <w:spacing w:after="0" w:line="240" w:lineRule="auto"/>
        <w:ind w:right="387" w:firstLine="720"/>
        <w:jc w:val="both"/>
        <w:rPr>
          <w:rFonts w:ascii="Arial" w:hAnsi="Arial" w:cs="Arial"/>
          <w:i/>
          <w:color w:val="000000" w:themeColor="text1"/>
        </w:rPr>
      </w:pPr>
    </w:p>
    <w:p w14:paraId="1AA80014" w14:textId="15E8B388" w:rsidR="00A72CC8" w:rsidRPr="00345AA4" w:rsidRDefault="00A72CC8" w:rsidP="0064314D">
      <w:pPr>
        <w:pStyle w:val="NoSpacing"/>
        <w:ind w:left="1440" w:right="702"/>
        <w:jc w:val="both"/>
        <w:rPr>
          <w:rFonts w:ascii="Arial" w:hAnsi="Arial" w:cs="Arial"/>
          <w:i/>
          <w:color w:val="000000" w:themeColor="text1"/>
        </w:rPr>
      </w:pPr>
      <w:r w:rsidRPr="00345AA4">
        <w:rPr>
          <w:rFonts w:ascii="Arial" w:hAnsi="Arial" w:cs="Arial"/>
          <w:i/>
          <w:color w:val="000000" w:themeColor="text1"/>
        </w:rPr>
        <w:t>Keeping of accounts.</w:t>
      </w:r>
    </w:p>
    <w:p w14:paraId="1B3C28EC" w14:textId="77777777" w:rsidR="00D87C79" w:rsidRPr="00345AA4" w:rsidRDefault="00D87C79" w:rsidP="0064314D">
      <w:pPr>
        <w:pStyle w:val="NoSpacing"/>
        <w:ind w:left="1440" w:right="702"/>
        <w:jc w:val="both"/>
        <w:rPr>
          <w:rFonts w:ascii="Arial" w:hAnsi="Arial" w:cs="Arial"/>
          <w:i/>
          <w:color w:val="000000" w:themeColor="text1"/>
        </w:rPr>
      </w:pPr>
    </w:p>
    <w:p w14:paraId="3A17CC84" w14:textId="77777777" w:rsidR="00A72CC8" w:rsidRPr="00345AA4" w:rsidRDefault="00A72CC8" w:rsidP="0064314D">
      <w:pPr>
        <w:pStyle w:val="ListParagraph"/>
        <w:numPr>
          <w:ilvl w:val="0"/>
          <w:numId w:val="3"/>
        </w:numPr>
        <w:ind w:left="1800" w:right="720"/>
        <w:jc w:val="both"/>
        <w:rPr>
          <w:rFonts w:ascii="Arial" w:hAnsi="Arial" w:cs="Arial"/>
          <w:i/>
          <w:color w:val="000000" w:themeColor="text1"/>
          <w:sz w:val="22"/>
          <w:szCs w:val="22"/>
        </w:rPr>
      </w:pPr>
      <w:r w:rsidRPr="00345AA4">
        <w:rPr>
          <w:rFonts w:ascii="Arial" w:hAnsi="Arial" w:cs="Arial"/>
          <w:i/>
          <w:color w:val="000000" w:themeColor="text1"/>
          <w:sz w:val="22"/>
          <w:szCs w:val="22"/>
        </w:rPr>
        <w:t>The accounts of an agency shall be kept in such detail as is necessary to meet the needs of the agency and at the same time be adequate to furnish the information needed by fiscal or control agencies of the government.</w:t>
      </w:r>
    </w:p>
    <w:p w14:paraId="3E0DC835" w14:textId="77777777" w:rsidR="00A72CC8" w:rsidRPr="00345AA4" w:rsidRDefault="00A72CC8" w:rsidP="0064314D">
      <w:pPr>
        <w:spacing w:after="0" w:line="240" w:lineRule="auto"/>
        <w:ind w:left="1440" w:right="387"/>
        <w:jc w:val="both"/>
        <w:rPr>
          <w:rFonts w:ascii="Arial" w:hAnsi="Arial" w:cs="Arial"/>
          <w:i/>
          <w:color w:val="000000" w:themeColor="text1"/>
        </w:rPr>
      </w:pPr>
    </w:p>
    <w:p w14:paraId="31C67471" w14:textId="77777777" w:rsidR="00A72CC8" w:rsidRPr="00345AA4" w:rsidRDefault="00A72CC8" w:rsidP="0064314D">
      <w:pPr>
        <w:pStyle w:val="ListParagraph"/>
        <w:numPr>
          <w:ilvl w:val="0"/>
          <w:numId w:val="3"/>
        </w:numPr>
        <w:ind w:left="1800" w:right="720"/>
        <w:jc w:val="both"/>
        <w:rPr>
          <w:rFonts w:ascii="Arial" w:hAnsi="Arial" w:cs="Arial"/>
          <w:i/>
          <w:color w:val="000000" w:themeColor="text1"/>
          <w:sz w:val="22"/>
          <w:szCs w:val="22"/>
        </w:rPr>
      </w:pPr>
      <w:r w:rsidRPr="00345AA4">
        <w:rPr>
          <w:rFonts w:ascii="Arial" w:hAnsi="Arial" w:cs="Arial"/>
          <w:i/>
          <w:color w:val="000000" w:themeColor="text1"/>
          <w:sz w:val="22"/>
          <w:szCs w:val="22"/>
        </w:rPr>
        <w:t>The highest standards of honesty, objectivity and consistency shall be observed in the keeping of accounts to safeguard against inaccurate or misleading information.</w:t>
      </w:r>
    </w:p>
    <w:p w14:paraId="256DEF11" w14:textId="77777777" w:rsidR="00A72CC8" w:rsidRPr="00345AA4" w:rsidRDefault="00A72CC8" w:rsidP="00A72CC8">
      <w:pPr>
        <w:pStyle w:val="ListParagraph"/>
        <w:ind w:left="0"/>
        <w:contextualSpacing/>
        <w:jc w:val="both"/>
        <w:rPr>
          <w:rFonts w:ascii="Arial" w:hAnsi="Arial" w:cs="Arial"/>
          <w:color w:val="000000" w:themeColor="text1"/>
          <w:sz w:val="22"/>
          <w:szCs w:val="22"/>
        </w:rPr>
      </w:pPr>
    </w:p>
    <w:p w14:paraId="057914C1" w14:textId="77777777" w:rsidR="00B306C7" w:rsidRPr="00345AA4" w:rsidRDefault="00B306C7" w:rsidP="00B306C7">
      <w:pPr>
        <w:pStyle w:val="ListParagraph"/>
        <w:numPr>
          <w:ilvl w:val="1"/>
          <w:numId w:val="1"/>
        </w:numPr>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Paragraph 15 of PAS 1</w:t>
      </w:r>
      <w:r w:rsidR="00E91A80" w:rsidRPr="00345AA4">
        <w:rPr>
          <w:rFonts w:ascii="Arial" w:hAnsi="Arial" w:cs="Arial"/>
          <w:color w:val="000000" w:themeColor="text1"/>
          <w:sz w:val="22"/>
          <w:szCs w:val="22"/>
        </w:rPr>
        <w:t xml:space="preserve"> as cited in Paragraph No. 1.2 hereof</w:t>
      </w:r>
      <w:r w:rsidR="00B8436C" w:rsidRPr="00345AA4">
        <w:rPr>
          <w:rFonts w:ascii="Arial" w:hAnsi="Arial" w:cs="Arial"/>
          <w:color w:val="000000" w:themeColor="text1"/>
          <w:sz w:val="22"/>
          <w:szCs w:val="22"/>
        </w:rPr>
        <w:t>,</w:t>
      </w:r>
      <w:r w:rsidR="00E91A80" w:rsidRPr="00345AA4">
        <w:rPr>
          <w:rFonts w:ascii="Arial" w:hAnsi="Arial" w:cs="Arial"/>
          <w:color w:val="000000" w:themeColor="text1"/>
          <w:sz w:val="22"/>
          <w:szCs w:val="22"/>
        </w:rPr>
        <w:t xml:space="preserve"> </w:t>
      </w:r>
      <w:r w:rsidRPr="00345AA4">
        <w:rPr>
          <w:rFonts w:ascii="Arial" w:hAnsi="Arial" w:cs="Arial"/>
          <w:color w:val="000000" w:themeColor="text1"/>
          <w:sz w:val="22"/>
          <w:szCs w:val="22"/>
        </w:rPr>
        <w:t>provides for the requirement of fair presentation and compliance with the PFRS.</w:t>
      </w:r>
    </w:p>
    <w:p w14:paraId="111DDEB9" w14:textId="77777777" w:rsidR="00A72CC8" w:rsidRPr="00345AA4" w:rsidRDefault="00A72CC8" w:rsidP="00C702BF">
      <w:pPr>
        <w:spacing w:after="0"/>
        <w:ind w:right="720"/>
        <w:contextualSpacing/>
        <w:jc w:val="both"/>
        <w:rPr>
          <w:rFonts w:ascii="Arial" w:hAnsi="Arial" w:cs="Arial"/>
          <w:i/>
          <w:color w:val="000000" w:themeColor="text1"/>
        </w:rPr>
      </w:pPr>
    </w:p>
    <w:p w14:paraId="0D0FD5BB" w14:textId="4832BB5B" w:rsidR="00D87C79" w:rsidRPr="00345AA4" w:rsidRDefault="00A72CC8" w:rsidP="00C702BF">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The AFPRSBS was established as a funding mechanism to ensure the continuous payment of retirement and separation benefits due to the members of the AFP. EO No. 590, as amended by EO No. 590-A, </w:t>
      </w:r>
      <w:r w:rsidR="00D87C79" w:rsidRPr="00345AA4">
        <w:rPr>
          <w:rFonts w:ascii="Arial" w:hAnsi="Arial" w:cs="Arial"/>
          <w:color w:val="000000" w:themeColor="text1"/>
          <w:sz w:val="22"/>
          <w:szCs w:val="22"/>
        </w:rPr>
        <w:t xml:space="preserve">prescribes </w:t>
      </w:r>
      <w:r w:rsidRPr="00345AA4">
        <w:rPr>
          <w:rFonts w:ascii="Arial" w:hAnsi="Arial" w:cs="Arial"/>
          <w:color w:val="000000" w:themeColor="text1"/>
          <w:sz w:val="22"/>
          <w:szCs w:val="22"/>
        </w:rPr>
        <w:t xml:space="preserve">the deactivation of the AFPRSBS and the transfer of the MCs into a trust account to be managed by a </w:t>
      </w:r>
      <w:r w:rsidR="00C702BF" w:rsidRPr="00345AA4">
        <w:rPr>
          <w:rFonts w:ascii="Arial" w:hAnsi="Arial" w:cs="Arial"/>
          <w:color w:val="000000" w:themeColor="text1"/>
          <w:sz w:val="22"/>
          <w:szCs w:val="22"/>
        </w:rPr>
        <w:t>Government Financial Institution (</w:t>
      </w:r>
      <w:r w:rsidRPr="00345AA4">
        <w:rPr>
          <w:rFonts w:ascii="Arial" w:hAnsi="Arial" w:cs="Arial"/>
          <w:color w:val="000000" w:themeColor="text1"/>
          <w:sz w:val="22"/>
          <w:szCs w:val="22"/>
        </w:rPr>
        <w:t>GFI</w:t>
      </w:r>
      <w:r w:rsidR="00C702BF" w:rsidRPr="00345AA4">
        <w:rPr>
          <w:rFonts w:ascii="Arial" w:hAnsi="Arial" w:cs="Arial"/>
          <w:color w:val="000000" w:themeColor="text1"/>
          <w:sz w:val="22"/>
          <w:szCs w:val="22"/>
        </w:rPr>
        <w:t>)</w:t>
      </w:r>
      <w:r w:rsidRPr="00345AA4">
        <w:rPr>
          <w:rFonts w:ascii="Arial" w:hAnsi="Arial" w:cs="Arial"/>
          <w:color w:val="000000" w:themeColor="text1"/>
          <w:sz w:val="22"/>
          <w:szCs w:val="22"/>
        </w:rPr>
        <w:t xml:space="preserve"> as Trustee. </w:t>
      </w:r>
    </w:p>
    <w:p w14:paraId="112D801D" w14:textId="77777777" w:rsidR="00D87C79" w:rsidRPr="00345AA4" w:rsidRDefault="00D87C79" w:rsidP="000937A5">
      <w:pPr>
        <w:pStyle w:val="ListParagraph"/>
        <w:rPr>
          <w:rFonts w:ascii="Arial" w:hAnsi="Arial" w:cs="Arial"/>
          <w:color w:val="000000" w:themeColor="text1"/>
          <w:sz w:val="22"/>
          <w:szCs w:val="22"/>
        </w:rPr>
      </w:pPr>
    </w:p>
    <w:p w14:paraId="41F611EF" w14:textId="216D6B06" w:rsidR="00A72CC8" w:rsidRPr="00345AA4" w:rsidRDefault="00A72CC8" w:rsidP="00C702BF">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Further, MO No. 90 </w:t>
      </w:r>
      <w:r w:rsidR="00D87C79" w:rsidRPr="00345AA4">
        <w:rPr>
          <w:rFonts w:ascii="Arial" w:hAnsi="Arial" w:cs="Arial"/>
          <w:color w:val="000000" w:themeColor="text1"/>
          <w:sz w:val="22"/>
          <w:szCs w:val="22"/>
        </w:rPr>
        <w:t xml:space="preserve">directs </w:t>
      </w:r>
      <w:r w:rsidRPr="00345AA4">
        <w:rPr>
          <w:rFonts w:ascii="Arial" w:hAnsi="Arial" w:cs="Arial"/>
          <w:color w:val="000000" w:themeColor="text1"/>
          <w:sz w:val="22"/>
          <w:szCs w:val="22"/>
        </w:rPr>
        <w:t>the abolition, winding down and liquidation of the AFPRSBS effective April 8, 2016 to include, among others, the cessation of collecting MCs and accrual of interest and the refund of AFPRSBS members’ contributions as they fall due.</w:t>
      </w:r>
    </w:p>
    <w:p w14:paraId="181AD68B" w14:textId="77777777" w:rsidR="00A72CC8" w:rsidRPr="00345AA4" w:rsidRDefault="00A72CC8" w:rsidP="00A72CC8">
      <w:pPr>
        <w:pStyle w:val="ListParagraph"/>
        <w:ind w:left="0"/>
        <w:contextualSpacing/>
        <w:jc w:val="both"/>
        <w:rPr>
          <w:rFonts w:ascii="Arial" w:hAnsi="Arial" w:cs="Arial"/>
          <w:color w:val="000000" w:themeColor="text1"/>
          <w:sz w:val="22"/>
          <w:szCs w:val="22"/>
        </w:rPr>
      </w:pPr>
    </w:p>
    <w:p w14:paraId="58A5485E" w14:textId="77777777" w:rsidR="00A72CC8" w:rsidRPr="00345AA4" w:rsidRDefault="00A72CC8" w:rsidP="00C702BF">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On April 19, 2016, pursuant to the same MO, the System’s </w:t>
      </w:r>
      <w:r w:rsidR="00C702BF" w:rsidRPr="00345AA4">
        <w:rPr>
          <w:rFonts w:ascii="Arial" w:hAnsi="Arial" w:cs="Arial"/>
          <w:color w:val="000000" w:themeColor="text1"/>
          <w:sz w:val="22"/>
          <w:szCs w:val="22"/>
        </w:rPr>
        <w:t>Board of Trustees (</w:t>
      </w:r>
      <w:r w:rsidRPr="00345AA4">
        <w:rPr>
          <w:rFonts w:ascii="Arial" w:hAnsi="Arial" w:cs="Arial"/>
          <w:color w:val="000000" w:themeColor="text1"/>
          <w:sz w:val="22"/>
          <w:szCs w:val="22"/>
        </w:rPr>
        <w:t>BOT</w:t>
      </w:r>
      <w:r w:rsidR="00C702BF" w:rsidRPr="00345AA4">
        <w:rPr>
          <w:rFonts w:ascii="Arial" w:hAnsi="Arial" w:cs="Arial"/>
          <w:color w:val="000000" w:themeColor="text1"/>
          <w:sz w:val="22"/>
          <w:szCs w:val="22"/>
        </w:rPr>
        <w:t>)</w:t>
      </w:r>
      <w:r w:rsidRPr="00345AA4">
        <w:rPr>
          <w:rFonts w:ascii="Arial" w:hAnsi="Arial" w:cs="Arial"/>
          <w:color w:val="000000" w:themeColor="text1"/>
          <w:sz w:val="22"/>
          <w:szCs w:val="22"/>
        </w:rPr>
        <w:t xml:space="preserve"> already convened as </w:t>
      </w:r>
      <w:r w:rsidR="00C702BF" w:rsidRPr="00345AA4">
        <w:rPr>
          <w:rFonts w:ascii="Arial" w:hAnsi="Arial" w:cs="Arial"/>
          <w:color w:val="000000" w:themeColor="text1"/>
          <w:sz w:val="22"/>
          <w:szCs w:val="22"/>
        </w:rPr>
        <w:t>Board of Liquidators (</w:t>
      </w:r>
      <w:r w:rsidRPr="00345AA4">
        <w:rPr>
          <w:rFonts w:ascii="Arial" w:hAnsi="Arial" w:cs="Arial"/>
          <w:color w:val="000000" w:themeColor="text1"/>
          <w:sz w:val="22"/>
          <w:szCs w:val="22"/>
        </w:rPr>
        <w:t>BOL</w:t>
      </w:r>
      <w:r w:rsidR="00C702BF" w:rsidRPr="00345AA4">
        <w:rPr>
          <w:rFonts w:ascii="Arial" w:hAnsi="Arial" w:cs="Arial"/>
          <w:color w:val="000000" w:themeColor="text1"/>
          <w:sz w:val="22"/>
          <w:szCs w:val="22"/>
        </w:rPr>
        <w:t>)</w:t>
      </w:r>
      <w:r w:rsidRPr="00345AA4">
        <w:rPr>
          <w:rFonts w:ascii="Arial" w:hAnsi="Arial" w:cs="Arial"/>
          <w:color w:val="000000" w:themeColor="text1"/>
          <w:sz w:val="22"/>
          <w:szCs w:val="22"/>
        </w:rPr>
        <w:t xml:space="preserve">.  The BOL approved in the meeting the stoppage of the collection of five per cent members’ contributions and the accrual of interest on members’ contributions effective March 31, 2016 as per </w:t>
      </w:r>
      <w:r w:rsidR="00C702BF" w:rsidRPr="00345AA4">
        <w:rPr>
          <w:rFonts w:ascii="Arial" w:hAnsi="Arial" w:cs="Arial"/>
          <w:color w:val="000000" w:themeColor="text1"/>
          <w:sz w:val="22"/>
          <w:szCs w:val="22"/>
        </w:rPr>
        <w:t>Board Resolution (</w:t>
      </w:r>
      <w:r w:rsidRPr="00345AA4">
        <w:rPr>
          <w:rFonts w:ascii="Arial" w:hAnsi="Arial" w:cs="Arial"/>
          <w:color w:val="000000" w:themeColor="text1"/>
          <w:sz w:val="22"/>
          <w:szCs w:val="22"/>
        </w:rPr>
        <w:t>BR</w:t>
      </w:r>
      <w:r w:rsidR="00C702BF" w:rsidRPr="00345AA4">
        <w:rPr>
          <w:rFonts w:ascii="Arial" w:hAnsi="Arial" w:cs="Arial"/>
          <w:color w:val="000000" w:themeColor="text1"/>
          <w:sz w:val="22"/>
          <w:szCs w:val="22"/>
        </w:rPr>
        <w:t>)</w:t>
      </w:r>
      <w:r w:rsidRPr="00345AA4">
        <w:rPr>
          <w:rFonts w:ascii="Arial" w:hAnsi="Arial" w:cs="Arial"/>
          <w:color w:val="000000" w:themeColor="text1"/>
          <w:sz w:val="22"/>
          <w:szCs w:val="22"/>
        </w:rPr>
        <w:t xml:space="preserve"> No. SPL-01-2016. </w:t>
      </w:r>
    </w:p>
    <w:p w14:paraId="57D62EFD" w14:textId="77777777" w:rsidR="00A72CC8" w:rsidRPr="00345AA4" w:rsidRDefault="00A72CC8" w:rsidP="00A72CC8">
      <w:pPr>
        <w:pStyle w:val="ListParagraph"/>
        <w:rPr>
          <w:rFonts w:ascii="Arial" w:hAnsi="Arial" w:cs="Arial"/>
          <w:color w:val="000000" w:themeColor="text1"/>
          <w:sz w:val="22"/>
          <w:szCs w:val="22"/>
        </w:rPr>
      </w:pPr>
    </w:p>
    <w:p w14:paraId="4ED58EE1" w14:textId="46C5D58F" w:rsidR="00A72CC8" w:rsidRPr="00345AA4" w:rsidRDefault="00A72CC8" w:rsidP="00A72CC8">
      <w:pPr>
        <w:pStyle w:val="ListParagraph"/>
        <w:numPr>
          <w:ilvl w:val="1"/>
          <w:numId w:val="1"/>
        </w:numPr>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As at December 31, 2019, the balance</w:t>
      </w:r>
      <w:r w:rsidR="005953A2" w:rsidRPr="00345AA4">
        <w:rPr>
          <w:rFonts w:ascii="Arial" w:hAnsi="Arial" w:cs="Arial"/>
          <w:color w:val="000000" w:themeColor="text1"/>
          <w:sz w:val="22"/>
          <w:szCs w:val="22"/>
        </w:rPr>
        <w:t>s</w:t>
      </w:r>
      <w:r w:rsidRPr="00345AA4">
        <w:rPr>
          <w:rFonts w:ascii="Arial" w:hAnsi="Arial" w:cs="Arial"/>
          <w:color w:val="000000" w:themeColor="text1"/>
          <w:sz w:val="22"/>
          <w:szCs w:val="22"/>
        </w:rPr>
        <w:t xml:space="preserve"> of Refund of MC payable and Estimated liability on MC earnings amounting to P7.268 billion and P2.294 </w:t>
      </w:r>
      <w:r w:rsidRPr="00345AA4">
        <w:rPr>
          <w:rFonts w:ascii="Arial" w:hAnsi="Arial" w:cs="Arial"/>
          <w:color w:val="000000" w:themeColor="text1"/>
          <w:sz w:val="22"/>
          <w:szCs w:val="22"/>
        </w:rPr>
        <w:lastRenderedPageBreak/>
        <w:t>billion, respectively, represent the total accumulated MC to be refunded to the members upon their retirement, separation or discharge from active service and the interest earned o</w:t>
      </w:r>
      <w:r w:rsidR="005953A2" w:rsidRPr="00345AA4">
        <w:rPr>
          <w:rFonts w:ascii="Arial" w:hAnsi="Arial" w:cs="Arial"/>
          <w:color w:val="000000" w:themeColor="text1"/>
          <w:sz w:val="22"/>
          <w:szCs w:val="22"/>
        </w:rPr>
        <w:t>n</w:t>
      </w:r>
      <w:r w:rsidRPr="00345AA4">
        <w:rPr>
          <w:rFonts w:ascii="Arial" w:hAnsi="Arial" w:cs="Arial"/>
          <w:color w:val="000000" w:themeColor="text1"/>
          <w:sz w:val="22"/>
          <w:szCs w:val="22"/>
        </w:rPr>
        <w:t xml:space="preserve"> the contribution, respectively.  The total of the two accounts represents 51 per cent of the P18.899 billion total liability and equity of the System as at December 31, 2019.  Details are as follows:</w:t>
      </w:r>
    </w:p>
    <w:p w14:paraId="71D727F3" w14:textId="77777777" w:rsidR="00A72CC8" w:rsidRPr="00345AA4" w:rsidRDefault="00A72CC8" w:rsidP="00A72CC8">
      <w:pPr>
        <w:pStyle w:val="ListParagraph"/>
        <w:rPr>
          <w:rFonts w:ascii="Arial" w:hAnsi="Arial" w:cs="Arial"/>
          <w:color w:val="000000" w:themeColor="text1"/>
          <w:sz w:val="22"/>
          <w:szCs w:val="22"/>
        </w:rPr>
      </w:pPr>
    </w:p>
    <w:tbl>
      <w:tblPr>
        <w:tblW w:w="7740" w:type="dxa"/>
        <w:tblInd w:w="1008" w:type="dxa"/>
        <w:tblLook w:val="04A0" w:firstRow="1" w:lastRow="0" w:firstColumn="1" w:lastColumn="0" w:noHBand="0" w:noVBand="1"/>
      </w:tblPr>
      <w:tblGrid>
        <w:gridCol w:w="1453"/>
        <w:gridCol w:w="1240"/>
        <w:gridCol w:w="1770"/>
        <w:gridCol w:w="1507"/>
        <w:gridCol w:w="1770"/>
      </w:tblGrid>
      <w:tr w:rsidR="00345AA4" w:rsidRPr="00345AA4" w14:paraId="4DD2C943" w14:textId="77777777" w:rsidTr="00E41173">
        <w:trPr>
          <w:trHeight w:val="230"/>
          <w:tblHeader/>
        </w:trPr>
        <w:tc>
          <w:tcPr>
            <w:tcW w:w="1507" w:type="dxa"/>
            <w:vMerge w:val="restart"/>
            <w:tcBorders>
              <w:top w:val="single" w:sz="4" w:space="0" w:color="auto"/>
              <w:bottom w:val="single" w:sz="4" w:space="0" w:color="auto"/>
            </w:tcBorders>
            <w:shd w:val="clear" w:color="auto" w:fill="auto"/>
            <w:vAlign w:val="bottom"/>
          </w:tcPr>
          <w:p w14:paraId="662489CA" w14:textId="77777777" w:rsidR="00A72CC8" w:rsidRPr="00345AA4" w:rsidRDefault="00A72CC8" w:rsidP="00375E56">
            <w:pPr>
              <w:pStyle w:val="ListParagraph"/>
              <w:ind w:left="0"/>
              <w:contextualSpacing/>
              <w:jc w:val="center"/>
              <w:rPr>
                <w:rFonts w:ascii="Arial" w:hAnsi="Arial" w:cs="Arial"/>
                <w:b/>
                <w:color w:val="000000" w:themeColor="text1"/>
                <w:sz w:val="22"/>
                <w:szCs w:val="22"/>
              </w:rPr>
            </w:pPr>
            <w:r w:rsidRPr="00345AA4">
              <w:rPr>
                <w:rFonts w:ascii="Arial" w:hAnsi="Arial" w:cs="Arial"/>
                <w:b/>
                <w:color w:val="000000" w:themeColor="text1"/>
                <w:sz w:val="22"/>
                <w:szCs w:val="22"/>
              </w:rPr>
              <w:t>Particulars</w:t>
            </w:r>
          </w:p>
        </w:tc>
        <w:tc>
          <w:tcPr>
            <w:tcW w:w="3089" w:type="dxa"/>
            <w:gridSpan w:val="2"/>
            <w:tcBorders>
              <w:top w:val="single" w:sz="4" w:space="0" w:color="auto"/>
              <w:bottom w:val="single" w:sz="4" w:space="0" w:color="auto"/>
            </w:tcBorders>
            <w:shd w:val="clear" w:color="auto" w:fill="auto"/>
            <w:vAlign w:val="center"/>
          </w:tcPr>
          <w:p w14:paraId="22C6F59B" w14:textId="77777777" w:rsidR="00A72CC8" w:rsidRPr="00345AA4" w:rsidRDefault="00A72CC8" w:rsidP="00375E56">
            <w:pPr>
              <w:pStyle w:val="ListParagraph"/>
              <w:ind w:left="0"/>
              <w:contextualSpacing/>
              <w:jc w:val="center"/>
              <w:rPr>
                <w:rFonts w:ascii="Arial" w:hAnsi="Arial" w:cs="Arial"/>
                <w:b/>
                <w:color w:val="000000" w:themeColor="text1"/>
                <w:sz w:val="22"/>
                <w:szCs w:val="22"/>
              </w:rPr>
            </w:pPr>
            <w:r w:rsidRPr="00345AA4">
              <w:rPr>
                <w:rFonts w:ascii="Arial" w:hAnsi="Arial" w:cs="Arial"/>
                <w:b/>
                <w:color w:val="000000" w:themeColor="text1"/>
                <w:sz w:val="22"/>
                <w:szCs w:val="22"/>
              </w:rPr>
              <w:t>Refund of MC payable</w:t>
            </w:r>
          </w:p>
        </w:tc>
        <w:tc>
          <w:tcPr>
            <w:tcW w:w="3144" w:type="dxa"/>
            <w:gridSpan w:val="2"/>
            <w:tcBorders>
              <w:top w:val="single" w:sz="4" w:space="0" w:color="auto"/>
              <w:bottom w:val="single" w:sz="4" w:space="0" w:color="auto"/>
            </w:tcBorders>
            <w:shd w:val="clear" w:color="auto" w:fill="auto"/>
          </w:tcPr>
          <w:p w14:paraId="45C91260" w14:textId="77777777" w:rsidR="00A72CC8" w:rsidRPr="00345AA4" w:rsidRDefault="00A72CC8" w:rsidP="00375E56">
            <w:pPr>
              <w:pStyle w:val="ListParagraph"/>
              <w:ind w:left="0"/>
              <w:contextualSpacing/>
              <w:jc w:val="center"/>
              <w:rPr>
                <w:rFonts w:ascii="Arial" w:hAnsi="Arial" w:cs="Arial"/>
                <w:b/>
                <w:color w:val="000000" w:themeColor="text1"/>
                <w:sz w:val="22"/>
                <w:szCs w:val="22"/>
              </w:rPr>
            </w:pPr>
            <w:r w:rsidRPr="00345AA4">
              <w:rPr>
                <w:rFonts w:ascii="Arial" w:hAnsi="Arial" w:cs="Arial"/>
                <w:b/>
                <w:color w:val="000000" w:themeColor="text1"/>
                <w:sz w:val="22"/>
                <w:szCs w:val="22"/>
              </w:rPr>
              <w:t>Estimated liability on MC earnings</w:t>
            </w:r>
          </w:p>
        </w:tc>
      </w:tr>
      <w:tr w:rsidR="00345AA4" w:rsidRPr="00345AA4" w14:paraId="70B1A55E" w14:textId="77777777" w:rsidTr="00E41173">
        <w:trPr>
          <w:trHeight w:val="230"/>
          <w:tblHeader/>
        </w:trPr>
        <w:tc>
          <w:tcPr>
            <w:tcW w:w="1507" w:type="dxa"/>
            <w:vMerge/>
            <w:tcBorders>
              <w:top w:val="single" w:sz="4" w:space="0" w:color="auto"/>
              <w:bottom w:val="single" w:sz="4" w:space="0" w:color="auto"/>
            </w:tcBorders>
            <w:shd w:val="clear" w:color="auto" w:fill="auto"/>
            <w:vAlign w:val="center"/>
          </w:tcPr>
          <w:p w14:paraId="2A7FE7C2" w14:textId="77777777" w:rsidR="00A72CC8" w:rsidRPr="00345AA4" w:rsidRDefault="00A72CC8" w:rsidP="00375E56">
            <w:pPr>
              <w:pStyle w:val="ListParagraph"/>
              <w:ind w:left="0"/>
              <w:contextualSpacing/>
              <w:jc w:val="center"/>
              <w:rPr>
                <w:rFonts w:ascii="Arial" w:hAnsi="Arial" w:cs="Arial"/>
                <w:b/>
                <w:color w:val="000000" w:themeColor="text1"/>
                <w:sz w:val="22"/>
                <w:szCs w:val="22"/>
              </w:rPr>
            </w:pPr>
          </w:p>
        </w:tc>
        <w:tc>
          <w:tcPr>
            <w:tcW w:w="1319" w:type="dxa"/>
            <w:tcBorders>
              <w:top w:val="single" w:sz="4" w:space="0" w:color="auto"/>
              <w:bottom w:val="single" w:sz="4" w:space="0" w:color="auto"/>
            </w:tcBorders>
            <w:shd w:val="clear" w:color="auto" w:fill="auto"/>
            <w:vAlign w:val="center"/>
          </w:tcPr>
          <w:p w14:paraId="07EABDD8" w14:textId="77777777" w:rsidR="00A72CC8" w:rsidRPr="00345AA4" w:rsidRDefault="00A72CC8" w:rsidP="00375E56">
            <w:pPr>
              <w:pStyle w:val="ListParagraph"/>
              <w:ind w:left="0"/>
              <w:contextualSpacing/>
              <w:jc w:val="center"/>
              <w:rPr>
                <w:rFonts w:ascii="Arial" w:hAnsi="Arial" w:cs="Arial"/>
                <w:b/>
                <w:color w:val="000000" w:themeColor="text1"/>
                <w:sz w:val="22"/>
                <w:szCs w:val="22"/>
              </w:rPr>
            </w:pPr>
            <w:r w:rsidRPr="00345AA4">
              <w:rPr>
                <w:rFonts w:ascii="Arial" w:hAnsi="Arial" w:cs="Arial"/>
                <w:b/>
                <w:color w:val="000000" w:themeColor="text1"/>
                <w:sz w:val="22"/>
                <w:szCs w:val="22"/>
              </w:rPr>
              <w:t>Account number</w:t>
            </w:r>
          </w:p>
        </w:tc>
        <w:tc>
          <w:tcPr>
            <w:tcW w:w="1770" w:type="dxa"/>
            <w:tcBorders>
              <w:top w:val="single" w:sz="4" w:space="0" w:color="auto"/>
              <w:bottom w:val="single" w:sz="4" w:space="0" w:color="auto"/>
            </w:tcBorders>
            <w:shd w:val="clear" w:color="auto" w:fill="auto"/>
            <w:vAlign w:val="bottom"/>
          </w:tcPr>
          <w:p w14:paraId="5381BC11" w14:textId="77777777" w:rsidR="00A72CC8" w:rsidRPr="00345AA4" w:rsidRDefault="00A72CC8" w:rsidP="00375E56">
            <w:pPr>
              <w:pStyle w:val="ListParagraph"/>
              <w:ind w:left="0"/>
              <w:contextualSpacing/>
              <w:jc w:val="center"/>
              <w:rPr>
                <w:rFonts w:ascii="Arial" w:hAnsi="Arial" w:cs="Arial"/>
                <w:b/>
                <w:color w:val="000000" w:themeColor="text1"/>
                <w:sz w:val="22"/>
                <w:szCs w:val="22"/>
              </w:rPr>
            </w:pPr>
            <w:r w:rsidRPr="00345AA4">
              <w:rPr>
                <w:rFonts w:ascii="Arial" w:hAnsi="Arial" w:cs="Arial"/>
                <w:b/>
                <w:color w:val="000000" w:themeColor="text1"/>
                <w:sz w:val="22"/>
                <w:szCs w:val="22"/>
              </w:rPr>
              <w:t>Amount</w:t>
            </w:r>
          </w:p>
        </w:tc>
        <w:tc>
          <w:tcPr>
            <w:tcW w:w="1734" w:type="dxa"/>
            <w:tcBorders>
              <w:top w:val="single" w:sz="4" w:space="0" w:color="auto"/>
              <w:bottom w:val="single" w:sz="4" w:space="0" w:color="auto"/>
            </w:tcBorders>
            <w:shd w:val="clear" w:color="auto" w:fill="auto"/>
            <w:vAlign w:val="bottom"/>
          </w:tcPr>
          <w:p w14:paraId="3318C5A6" w14:textId="77777777" w:rsidR="00A72CC8" w:rsidRPr="00345AA4" w:rsidRDefault="00A72CC8" w:rsidP="00375E56">
            <w:pPr>
              <w:pStyle w:val="ListParagraph"/>
              <w:ind w:left="0"/>
              <w:contextualSpacing/>
              <w:jc w:val="center"/>
              <w:rPr>
                <w:rFonts w:ascii="Arial" w:hAnsi="Arial" w:cs="Arial"/>
                <w:b/>
                <w:color w:val="000000" w:themeColor="text1"/>
                <w:sz w:val="22"/>
                <w:szCs w:val="22"/>
              </w:rPr>
            </w:pPr>
            <w:r w:rsidRPr="00345AA4">
              <w:rPr>
                <w:rFonts w:ascii="Arial" w:hAnsi="Arial" w:cs="Arial"/>
                <w:b/>
                <w:color w:val="000000" w:themeColor="text1"/>
                <w:sz w:val="22"/>
                <w:szCs w:val="22"/>
              </w:rPr>
              <w:t>Account number</w:t>
            </w:r>
          </w:p>
        </w:tc>
        <w:tc>
          <w:tcPr>
            <w:tcW w:w="1410" w:type="dxa"/>
            <w:tcBorders>
              <w:top w:val="single" w:sz="4" w:space="0" w:color="auto"/>
              <w:bottom w:val="single" w:sz="4" w:space="0" w:color="auto"/>
            </w:tcBorders>
            <w:shd w:val="clear" w:color="auto" w:fill="auto"/>
            <w:vAlign w:val="bottom"/>
          </w:tcPr>
          <w:p w14:paraId="5863333E" w14:textId="77777777" w:rsidR="00A72CC8" w:rsidRPr="00345AA4" w:rsidRDefault="00A72CC8" w:rsidP="00375E56">
            <w:pPr>
              <w:pStyle w:val="ListParagraph"/>
              <w:ind w:left="0"/>
              <w:contextualSpacing/>
              <w:jc w:val="center"/>
              <w:rPr>
                <w:rFonts w:ascii="Arial" w:hAnsi="Arial" w:cs="Arial"/>
                <w:b/>
                <w:color w:val="000000" w:themeColor="text1"/>
                <w:sz w:val="22"/>
                <w:szCs w:val="22"/>
              </w:rPr>
            </w:pPr>
            <w:r w:rsidRPr="00345AA4">
              <w:rPr>
                <w:rFonts w:ascii="Arial" w:hAnsi="Arial" w:cs="Arial"/>
                <w:b/>
                <w:color w:val="000000" w:themeColor="text1"/>
                <w:sz w:val="22"/>
                <w:szCs w:val="22"/>
              </w:rPr>
              <w:t>Amount</w:t>
            </w:r>
          </w:p>
        </w:tc>
      </w:tr>
      <w:tr w:rsidR="00345AA4" w:rsidRPr="00345AA4" w14:paraId="427EF6B6" w14:textId="77777777" w:rsidTr="00E41173">
        <w:trPr>
          <w:trHeight w:val="230"/>
        </w:trPr>
        <w:tc>
          <w:tcPr>
            <w:tcW w:w="1507" w:type="dxa"/>
            <w:tcBorders>
              <w:top w:val="single" w:sz="4" w:space="0" w:color="auto"/>
            </w:tcBorders>
            <w:shd w:val="clear" w:color="auto" w:fill="auto"/>
            <w:vAlign w:val="center"/>
          </w:tcPr>
          <w:p w14:paraId="6A21EACD" w14:textId="77777777" w:rsidR="00A72CC8" w:rsidRPr="00345AA4" w:rsidRDefault="00A72CC8" w:rsidP="00375E56">
            <w:pPr>
              <w:pStyle w:val="ListParagraph"/>
              <w:ind w:left="0"/>
              <w:contextualSpacing/>
              <w:rPr>
                <w:rFonts w:ascii="Arial" w:hAnsi="Arial" w:cs="Arial"/>
                <w:color w:val="000000" w:themeColor="text1"/>
                <w:sz w:val="22"/>
                <w:szCs w:val="22"/>
              </w:rPr>
            </w:pPr>
            <w:r w:rsidRPr="00345AA4">
              <w:rPr>
                <w:rFonts w:ascii="Arial" w:hAnsi="Arial" w:cs="Arial"/>
                <w:color w:val="000000" w:themeColor="text1"/>
                <w:sz w:val="22"/>
                <w:szCs w:val="22"/>
              </w:rPr>
              <w:t>Current</w:t>
            </w:r>
          </w:p>
        </w:tc>
        <w:tc>
          <w:tcPr>
            <w:tcW w:w="1319" w:type="dxa"/>
            <w:tcBorders>
              <w:top w:val="single" w:sz="4" w:space="0" w:color="auto"/>
            </w:tcBorders>
            <w:shd w:val="clear" w:color="auto" w:fill="auto"/>
            <w:vAlign w:val="center"/>
          </w:tcPr>
          <w:p w14:paraId="3239AACB" w14:textId="77777777" w:rsidR="00A72CC8" w:rsidRPr="00345AA4" w:rsidRDefault="00A72CC8" w:rsidP="00375E56">
            <w:pPr>
              <w:pStyle w:val="ListParagraph"/>
              <w:ind w:left="0"/>
              <w:contextualSpacing/>
              <w:jc w:val="center"/>
              <w:rPr>
                <w:rFonts w:ascii="Arial" w:hAnsi="Arial" w:cs="Arial"/>
                <w:color w:val="000000" w:themeColor="text1"/>
                <w:sz w:val="22"/>
                <w:szCs w:val="22"/>
              </w:rPr>
            </w:pPr>
            <w:r w:rsidRPr="00345AA4">
              <w:rPr>
                <w:rFonts w:ascii="Arial" w:hAnsi="Arial" w:cs="Arial"/>
                <w:color w:val="000000" w:themeColor="text1"/>
                <w:sz w:val="22"/>
                <w:szCs w:val="22"/>
              </w:rPr>
              <w:t>507101</w:t>
            </w:r>
          </w:p>
        </w:tc>
        <w:tc>
          <w:tcPr>
            <w:tcW w:w="1770" w:type="dxa"/>
            <w:tcBorders>
              <w:top w:val="single" w:sz="4" w:space="0" w:color="auto"/>
            </w:tcBorders>
            <w:shd w:val="clear" w:color="auto" w:fill="auto"/>
            <w:vAlign w:val="center"/>
          </w:tcPr>
          <w:p w14:paraId="6959EBEF" w14:textId="77777777" w:rsidR="00A72CC8" w:rsidRPr="00345AA4" w:rsidRDefault="00AE3546" w:rsidP="00AE3546">
            <w:pPr>
              <w:pStyle w:val="ListParagraph"/>
              <w:ind w:left="0"/>
              <w:contextualSpacing/>
              <w:rPr>
                <w:rFonts w:ascii="Arial" w:hAnsi="Arial" w:cs="Arial"/>
                <w:color w:val="000000" w:themeColor="text1"/>
                <w:sz w:val="22"/>
                <w:szCs w:val="22"/>
              </w:rPr>
            </w:pPr>
            <w:r w:rsidRPr="00345AA4">
              <w:rPr>
                <w:rFonts w:ascii="Arial" w:hAnsi="Arial" w:cs="Arial"/>
                <w:color w:val="000000" w:themeColor="text1"/>
                <w:sz w:val="22"/>
                <w:szCs w:val="22"/>
              </w:rPr>
              <w:t>P</w:t>
            </w:r>
            <w:r w:rsidR="00A72CC8" w:rsidRPr="00345AA4">
              <w:rPr>
                <w:rFonts w:ascii="Arial" w:hAnsi="Arial" w:cs="Arial"/>
                <w:color w:val="000000" w:themeColor="text1"/>
                <w:sz w:val="22"/>
                <w:szCs w:val="22"/>
              </w:rPr>
              <w:t>3,929,006,302</w:t>
            </w:r>
          </w:p>
        </w:tc>
        <w:tc>
          <w:tcPr>
            <w:tcW w:w="1734" w:type="dxa"/>
            <w:tcBorders>
              <w:top w:val="single" w:sz="4" w:space="0" w:color="auto"/>
            </w:tcBorders>
            <w:shd w:val="clear" w:color="auto" w:fill="auto"/>
            <w:vAlign w:val="center"/>
          </w:tcPr>
          <w:p w14:paraId="39BD26E3" w14:textId="77777777" w:rsidR="00A72CC8" w:rsidRPr="00345AA4" w:rsidRDefault="00A72CC8" w:rsidP="00375E56">
            <w:pPr>
              <w:pStyle w:val="ListParagraph"/>
              <w:ind w:left="0"/>
              <w:contextualSpacing/>
              <w:jc w:val="center"/>
              <w:rPr>
                <w:rFonts w:ascii="Arial" w:hAnsi="Arial" w:cs="Arial"/>
                <w:color w:val="000000" w:themeColor="text1"/>
                <w:sz w:val="22"/>
                <w:szCs w:val="22"/>
              </w:rPr>
            </w:pPr>
            <w:r w:rsidRPr="00345AA4">
              <w:rPr>
                <w:rFonts w:ascii="Arial" w:hAnsi="Arial" w:cs="Arial"/>
                <w:color w:val="000000" w:themeColor="text1"/>
                <w:sz w:val="22"/>
                <w:szCs w:val="22"/>
              </w:rPr>
              <w:t>508101</w:t>
            </w:r>
          </w:p>
        </w:tc>
        <w:tc>
          <w:tcPr>
            <w:tcW w:w="1410" w:type="dxa"/>
            <w:tcBorders>
              <w:top w:val="single" w:sz="4" w:space="0" w:color="auto"/>
            </w:tcBorders>
            <w:shd w:val="clear" w:color="auto" w:fill="auto"/>
            <w:vAlign w:val="center"/>
          </w:tcPr>
          <w:p w14:paraId="28899DFF" w14:textId="77777777" w:rsidR="00A72CC8" w:rsidRPr="00345AA4" w:rsidRDefault="00AE3546" w:rsidP="00AE3546">
            <w:pPr>
              <w:pStyle w:val="ListParagraph"/>
              <w:ind w:left="0"/>
              <w:contextualSpacing/>
              <w:rPr>
                <w:rFonts w:ascii="Arial" w:hAnsi="Arial" w:cs="Arial"/>
                <w:color w:val="000000" w:themeColor="text1"/>
                <w:sz w:val="22"/>
                <w:szCs w:val="22"/>
              </w:rPr>
            </w:pPr>
            <w:r w:rsidRPr="00345AA4">
              <w:rPr>
                <w:rFonts w:ascii="Arial" w:hAnsi="Arial" w:cs="Arial"/>
                <w:color w:val="000000" w:themeColor="text1"/>
                <w:sz w:val="22"/>
                <w:szCs w:val="22"/>
              </w:rPr>
              <w:t>P</w:t>
            </w:r>
            <w:r w:rsidR="00A72CC8" w:rsidRPr="00345AA4">
              <w:rPr>
                <w:rFonts w:ascii="Arial" w:hAnsi="Arial" w:cs="Arial"/>
                <w:color w:val="000000" w:themeColor="text1"/>
                <w:sz w:val="22"/>
                <w:szCs w:val="22"/>
              </w:rPr>
              <w:t>1,573,815,083</w:t>
            </w:r>
          </w:p>
        </w:tc>
      </w:tr>
      <w:tr w:rsidR="00345AA4" w:rsidRPr="00345AA4" w14:paraId="4DB55D7E" w14:textId="77777777" w:rsidTr="00E41173">
        <w:trPr>
          <w:trHeight w:val="230"/>
        </w:trPr>
        <w:tc>
          <w:tcPr>
            <w:tcW w:w="1507" w:type="dxa"/>
            <w:tcBorders>
              <w:bottom w:val="single" w:sz="4" w:space="0" w:color="auto"/>
            </w:tcBorders>
            <w:shd w:val="clear" w:color="auto" w:fill="auto"/>
            <w:vAlign w:val="center"/>
          </w:tcPr>
          <w:p w14:paraId="1BCB6B00" w14:textId="77777777" w:rsidR="00A72CC8" w:rsidRPr="00345AA4" w:rsidRDefault="00A72CC8" w:rsidP="00375E56">
            <w:pPr>
              <w:pStyle w:val="ListParagraph"/>
              <w:ind w:left="0"/>
              <w:contextualSpacing/>
              <w:rPr>
                <w:rFonts w:ascii="Arial" w:hAnsi="Arial" w:cs="Arial"/>
                <w:color w:val="000000" w:themeColor="text1"/>
                <w:sz w:val="22"/>
                <w:szCs w:val="22"/>
              </w:rPr>
            </w:pPr>
            <w:r w:rsidRPr="00345AA4">
              <w:rPr>
                <w:rFonts w:ascii="Arial" w:hAnsi="Arial" w:cs="Arial"/>
                <w:color w:val="000000" w:themeColor="text1"/>
                <w:sz w:val="22"/>
                <w:szCs w:val="22"/>
              </w:rPr>
              <w:t>Non-current</w:t>
            </w:r>
          </w:p>
        </w:tc>
        <w:tc>
          <w:tcPr>
            <w:tcW w:w="1319" w:type="dxa"/>
            <w:tcBorders>
              <w:bottom w:val="single" w:sz="4" w:space="0" w:color="auto"/>
            </w:tcBorders>
            <w:shd w:val="clear" w:color="auto" w:fill="auto"/>
            <w:vAlign w:val="center"/>
          </w:tcPr>
          <w:p w14:paraId="65D4B265" w14:textId="77777777" w:rsidR="00A72CC8" w:rsidRPr="00345AA4" w:rsidRDefault="00A72CC8" w:rsidP="00375E56">
            <w:pPr>
              <w:pStyle w:val="ListParagraph"/>
              <w:ind w:left="0"/>
              <w:contextualSpacing/>
              <w:jc w:val="center"/>
              <w:rPr>
                <w:rFonts w:ascii="Arial" w:hAnsi="Arial" w:cs="Arial"/>
                <w:color w:val="000000" w:themeColor="text1"/>
                <w:sz w:val="22"/>
                <w:szCs w:val="22"/>
              </w:rPr>
            </w:pPr>
            <w:r w:rsidRPr="00345AA4">
              <w:rPr>
                <w:rFonts w:ascii="Arial" w:hAnsi="Arial" w:cs="Arial"/>
                <w:color w:val="000000" w:themeColor="text1"/>
                <w:sz w:val="22"/>
                <w:szCs w:val="22"/>
              </w:rPr>
              <w:t>601102</w:t>
            </w:r>
          </w:p>
        </w:tc>
        <w:tc>
          <w:tcPr>
            <w:tcW w:w="1770" w:type="dxa"/>
            <w:tcBorders>
              <w:bottom w:val="single" w:sz="4" w:space="0" w:color="auto"/>
            </w:tcBorders>
            <w:shd w:val="clear" w:color="auto" w:fill="auto"/>
            <w:vAlign w:val="center"/>
          </w:tcPr>
          <w:p w14:paraId="2BCCACE7" w14:textId="77777777" w:rsidR="00A72CC8" w:rsidRPr="00345AA4" w:rsidRDefault="00B8436C" w:rsidP="00B8436C">
            <w:pPr>
              <w:pStyle w:val="ListParagraph"/>
              <w:ind w:left="0"/>
              <w:contextualSpacing/>
              <w:jc w:val="center"/>
              <w:rPr>
                <w:rFonts w:ascii="Arial" w:hAnsi="Arial" w:cs="Arial"/>
                <w:color w:val="000000" w:themeColor="text1"/>
                <w:sz w:val="22"/>
                <w:szCs w:val="22"/>
              </w:rPr>
            </w:pPr>
            <w:r w:rsidRPr="00345AA4">
              <w:rPr>
                <w:rFonts w:ascii="Arial" w:hAnsi="Arial" w:cs="Arial"/>
                <w:color w:val="000000" w:themeColor="text1"/>
                <w:sz w:val="22"/>
                <w:szCs w:val="22"/>
              </w:rPr>
              <w:t xml:space="preserve">  </w:t>
            </w:r>
            <w:r w:rsidR="00A72CC8" w:rsidRPr="00345AA4">
              <w:rPr>
                <w:rFonts w:ascii="Arial" w:hAnsi="Arial" w:cs="Arial"/>
                <w:color w:val="000000" w:themeColor="text1"/>
                <w:sz w:val="22"/>
                <w:szCs w:val="22"/>
              </w:rPr>
              <w:t>3,339,216,962</w:t>
            </w:r>
          </w:p>
        </w:tc>
        <w:tc>
          <w:tcPr>
            <w:tcW w:w="1734" w:type="dxa"/>
            <w:tcBorders>
              <w:bottom w:val="single" w:sz="4" w:space="0" w:color="auto"/>
            </w:tcBorders>
            <w:shd w:val="clear" w:color="auto" w:fill="auto"/>
            <w:vAlign w:val="center"/>
          </w:tcPr>
          <w:p w14:paraId="6611D615" w14:textId="77777777" w:rsidR="00A72CC8" w:rsidRPr="00345AA4" w:rsidRDefault="00A72CC8" w:rsidP="00375E56">
            <w:pPr>
              <w:pStyle w:val="ListParagraph"/>
              <w:ind w:left="0"/>
              <w:contextualSpacing/>
              <w:jc w:val="center"/>
              <w:rPr>
                <w:rFonts w:ascii="Arial" w:hAnsi="Arial" w:cs="Arial"/>
                <w:color w:val="000000" w:themeColor="text1"/>
                <w:sz w:val="22"/>
                <w:szCs w:val="22"/>
              </w:rPr>
            </w:pPr>
            <w:r w:rsidRPr="00345AA4">
              <w:rPr>
                <w:rFonts w:ascii="Arial" w:hAnsi="Arial" w:cs="Arial"/>
                <w:color w:val="000000" w:themeColor="text1"/>
                <w:sz w:val="22"/>
                <w:szCs w:val="22"/>
              </w:rPr>
              <w:t>601102</w:t>
            </w:r>
          </w:p>
        </w:tc>
        <w:tc>
          <w:tcPr>
            <w:tcW w:w="1410" w:type="dxa"/>
            <w:tcBorders>
              <w:bottom w:val="single" w:sz="4" w:space="0" w:color="auto"/>
            </w:tcBorders>
            <w:shd w:val="clear" w:color="auto" w:fill="auto"/>
            <w:vAlign w:val="center"/>
          </w:tcPr>
          <w:p w14:paraId="554EDE5C" w14:textId="77777777" w:rsidR="00A72CC8" w:rsidRPr="00345AA4" w:rsidRDefault="00B8436C" w:rsidP="00B8436C">
            <w:pPr>
              <w:pStyle w:val="ListParagraph"/>
              <w:ind w:left="0"/>
              <w:contextualSpacing/>
              <w:jc w:val="center"/>
              <w:rPr>
                <w:rFonts w:ascii="Arial" w:hAnsi="Arial" w:cs="Arial"/>
                <w:color w:val="000000" w:themeColor="text1"/>
                <w:sz w:val="22"/>
                <w:szCs w:val="22"/>
              </w:rPr>
            </w:pPr>
            <w:r w:rsidRPr="00345AA4">
              <w:rPr>
                <w:rFonts w:ascii="Arial" w:hAnsi="Arial" w:cs="Arial"/>
                <w:color w:val="000000" w:themeColor="text1"/>
                <w:sz w:val="22"/>
                <w:szCs w:val="22"/>
              </w:rPr>
              <w:t xml:space="preserve">     </w:t>
            </w:r>
            <w:r w:rsidR="00A72CC8" w:rsidRPr="00345AA4">
              <w:rPr>
                <w:rFonts w:ascii="Arial" w:hAnsi="Arial" w:cs="Arial"/>
                <w:color w:val="000000" w:themeColor="text1"/>
                <w:sz w:val="22"/>
                <w:szCs w:val="22"/>
              </w:rPr>
              <w:t>719,769,031</w:t>
            </w:r>
          </w:p>
        </w:tc>
      </w:tr>
      <w:tr w:rsidR="00A85B97" w:rsidRPr="00345AA4" w14:paraId="2E4EFD25" w14:textId="77777777" w:rsidTr="00E41173">
        <w:trPr>
          <w:trHeight w:val="230"/>
        </w:trPr>
        <w:tc>
          <w:tcPr>
            <w:tcW w:w="1507" w:type="dxa"/>
            <w:tcBorders>
              <w:top w:val="single" w:sz="4" w:space="0" w:color="auto"/>
              <w:bottom w:val="double" w:sz="4" w:space="0" w:color="auto"/>
            </w:tcBorders>
            <w:shd w:val="clear" w:color="auto" w:fill="auto"/>
            <w:vAlign w:val="center"/>
          </w:tcPr>
          <w:p w14:paraId="41D07E18" w14:textId="77777777" w:rsidR="00A72CC8" w:rsidRPr="00345AA4" w:rsidRDefault="00A72CC8" w:rsidP="00375E56">
            <w:pPr>
              <w:pStyle w:val="ListParagraph"/>
              <w:ind w:left="0"/>
              <w:contextualSpacing/>
              <w:rPr>
                <w:rFonts w:ascii="Arial" w:hAnsi="Arial" w:cs="Arial"/>
                <w:b/>
                <w:color w:val="000000" w:themeColor="text1"/>
                <w:sz w:val="22"/>
                <w:szCs w:val="22"/>
              </w:rPr>
            </w:pPr>
            <w:r w:rsidRPr="00345AA4">
              <w:rPr>
                <w:rFonts w:ascii="Arial" w:hAnsi="Arial" w:cs="Arial"/>
                <w:b/>
                <w:color w:val="000000" w:themeColor="text1"/>
                <w:sz w:val="22"/>
                <w:szCs w:val="22"/>
              </w:rPr>
              <w:t>Total</w:t>
            </w:r>
          </w:p>
        </w:tc>
        <w:tc>
          <w:tcPr>
            <w:tcW w:w="1319" w:type="dxa"/>
            <w:tcBorders>
              <w:top w:val="single" w:sz="4" w:space="0" w:color="auto"/>
              <w:bottom w:val="double" w:sz="4" w:space="0" w:color="auto"/>
            </w:tcBorders>
            <w:shd w:val="clear" w:color="auto" w:fill="auto"/>
            <w:vAlign w:val="center"/>
          </w:tcPr>
          <w:p w14:paraId="768237F5" w14:textId="77777777" w:rsidR="00A72CC8" w:rsidRPr="00345AA4" w:rsidRDefault="00A72CC8" w:rsidP="00375E56">
            <w:pPr>
              <w:pStyle w:val="ListParagraph"/>
              <w:ind w:left="0"/>
              <w:contextualSpacing/>
              <w:rPr>
                <w:rFonts w:ascii="Arial" w:hAnsi="Arial" w:cs="Arial"/>
                <w:color w:val="000000" w:themeColor="text1"/>
                <w:sz w:val="22"/>
                <w:szCs w:val="22"/>
              </w:rPr>
            </w:pPr>
          </w:p>
        </w:tc>
        <w:tc>
          <w:tcPr>
            <w:tcW w:w="1770" w:type="dxa"/>
            <w:tcBorders>
              <w:top w:val="single" w:sz="4" w:space="0" w:color="auto"/>
              <w:bottom w:val="double" w:sz="4" w:space="0" w:color="auto"/>
            </w:tcBorders>
            <w:shd w:val="clear" w:color="auto" w:fill="auto"/>
            <w:vAlign w:val="center"/>
          </w:tcPr>
          <w:p w14:paraId="7CA998A7" w14:textId="77777777" w:rsidR="00A72CC8" w:rsidRPr="00345AA4" w:rsidRDefault="00AE3546" w:rsidP="00AE3546">
            <w:pPr>
              <w:pStyle w:val="ListParagraph"/>
              <w:ind w:left="0"/>
              <w:contextualSpacing/>
              <w:rPr>
                <w:rFonts w:ascii="Arial" w:hAnsi="Arial" w:cs="Arial"/>
                <w:b/>
                <w:color w:val="000000" w:themeColor="text1"/>
                <w:sz w:val="22"/>
                <w:szCs w:val="22"/>
              </w:rPr>
            </w:pPr>
            <w:r w:rsidRPr="00345AA4">
              <w:rPr>
                <w:rFonts w:ascii="Arial" w:hAnsi="Arial" w:cs="Arial"/>
                <w:b/>
                <w:color w:val="000000" w:themeColor="text1"/>
                <w:sz w:val="22"/>
                <w:szCs w:val="22"/>
              </w:rPr>
              <w:t>P</w:t>
            </w:r>
            <w:r w:rsidR="00A72CC8" w:rsidRPr="00345AA4">
              <w:rPr>
                <w:rFonts w:ascii="Arial" w:hAnsi="Arial" w:cs="Arial"/>
                <w:b/>
                <w:color w:val="000000" w:themeColor="text1"/>
                <w:sz w:val="22"/>
                <w:szCs w:val="22"/>
              </w:rPr>
              <w:fldChar w:fldCharType="begin"/>
            </w:r>
            <w:r w:rsidR="00A72CC8" w:rsidRPr="00345AA4">
              <w:rPr>
                <w:rFonts w:ascii="Arial" w:hAnsi="Arial" w:cs="Arial"/>
                <w:b/>
                <w:color w:val="000000" w:themeColor="text1"/>
                <w:sz w:val="22"/>
                <w:szCs w:val="22"/>
              </w:rPr>
              <w:instrText xml:space="preserve"> =SUM(c3:c4) </w:instrText>
            </w:r>
            <w:r w:rsidR="00A72CC8" w:rsidRPr="00345AA4">
              <w:rPr>
                <w:rFonts w:ascii="Arial" w:hAnsi="Arial" w:cs="Arial"/>
                <w:b/>
                <w:color w:val="000000" w:themeColor="text1"/>
                <w:sz w:val="22"/>
                <w:szCs w:val="22"/>
              </w:rPr>
              <w:fldChar w:fldCharType="separate"/>
            </w:r>
            <w:r w:rsidR="00A72CC8" w:rsidRPr="00345AA4">
              <w:rPr>
                <w:rFonts w:ascii="Arial" w:hAnsi="Arial" w:cs="Arial"/>
                <w:b/>
                <w:noProof/>
                <w:color w:val="000000" w:themeColor="text1"/>
                <w:sz w:val="22"/>
                <w:szCs w:val="22"/>
              </w:rPr>
              <w:t>7,268,223,264</w:t>
            </w:r>
            <w:r w:rsidR="00A72CC8" w:rsidRPr="00345AA4">
              <w:rPr>
                <w:rFonts w:ascii="Arial" w:hAnsi="Arial" w:cs="Arial"/>
                <w:b/>
                <w:color w:val="000000" w:themeColor="text1"/>
                <w:sz w:val="22"/>
                <w:szCs w:val="22"/>
              </w:rPr>
              <w:fldChar w:fldCharType="end"/>
            </w:r>
          </w:p>
        </w:tc>
        <w:tc>
          <w:tcPr>
            <w:tcW w:w="1734" w:type="dxa"/>
            <w:tcBorders>
              <w:top w:val="single" w:sz="4" w:space="0" w:color="auto"/>
              <w:bottom w:val="double" w:sz="4" w:space="0" w:color="auto"/>
            </w:tcBorders>
            <w:shd w:val="clear" w:color="auto" w:fill="auto"/>
            <w:vAlign w:val="center"/>
          </w:tcPr>
          <w:p w14:paraId="1152392E" w14:textId="77777777" w:rsidR="00A72CC8" w:rsidRPr="00345AA4" w:rsidRDefault="00A72CC8" w:rsidP="00375E56">
            <w:pPr>
              <w:pStyle w:val="ListParagraph"/>
              <w:ind w:left="0"/>
              <w:contextualSpacing/>
              <w:jc w:val="right"/>
              <w:rPr>
                <w:rFonts w:ascii="Arial" w:hAnsi="Arial" w:cs="Arial"/>
                <w:b/>
                <w:color w:val="000000" w:themeColor="text1"/>
                <w:sz w:val="22"/>
                <w:szCs w:val="22"/>
              </w:rPr>
            </w:pPr>
          </w:p>
        </w:tc>
        <w:tc>
          <w:tcPr>
            <w:tcW w:w="1410" w:type="dxa"/>
            <w:tcBorders>
              <w:top w:val="single" w:sz="4" w:space="0" w:color="auto"/>
              <w:bottom w:val="double" w:sz="4" w:space="0" w:color="auto"/>
            </w:tcBorders>
            <w:shd w:val="clear" w:color="auto" w:fill="auto"/>
            <w:vAlign w:val="center"/>
          </w:tcPr>
          <w:p w14:paraId="1A684C97" w14:textId="77777777" w:rsidR="00A72CC8" w:rsidRPr="00345AA4" w:rsidRDefault="00AE3546" w:rsidP="00AE3546">
            <w:pPr>
              <w:pStyle w:val="ListParagraph"/>
              <w:ind w:left="0"/>
              <w:contextualSpacing/>
              <w:rPr>
                <w:rFonts w:ascii="Arial" w:hAnsi="Arial" w:cs="Arial"/>
                <w:b/>
                <w:color w:val="000000" w:themeColor="text1"/>
                <w:sz w:val="22"/>
                <w:szCs w:val="22"/>
              </w:rPr>
            </w:pPr>
            <w:r w:rsidRPr="00345AA4">
              <w:rPr>
                <w:rFonts w:ascii="Arial" w:hAnsi="Arial" w:cs="Arial"/>
                <w:b/>
                <w:color w:val="000000" w:themeColor="text1"/>
                <w:sz w:val="22"/>
                <w:szCs w:val="22"/>
              </w:rPr>
              <w:t>P</w:t>
            </w:r>
            <w:r w:rsidR="00A72CC8" w:rsidRPr="00345AA4">
              <w:rPr>
                <w:rFonts w:ascii="Arial" w:hAnsi="Arial" w:cs="Arial"/>
                <w:b/>
                <w:color w:val="000000" w:themeColor="text1"/>
                <w:sz w:val="22"/>
                <w:szCs w:val="22"/>
              </w:rPr>
              <w:fldChar w:fldCharType="begin"/>
            </w:r>
            <w:r w:rsidR="00A72CC8" w:rsidRPr="00345AA4">
              <w:rPr>
                <w:rFonts w:ascii="Arial" w:hAnsi="Arial" w:cs="Arial"/>
                <w:b/>
                <w:color w:val="000000" w:themeColor="text1"/>
                <w:sz w:val="22"/>
                <w:szCs w:val="22"/>
              </w:rPr>
              <w:instrText xml:space="preserve"> =SUM(e3:e4) </w:instrText>
            </w:r>
            <w:r w:rsidR="00A72CC8" w:rsidRPr="00345AA4">
              <w:rPr>
                <w:rFonts w:ascii="Arial" w:hAnsi="Arial" w:cs="Arial"/>
                <w:b/>
                <w:color w:val="000000" w:themeColor="text1"/>
                <w:sz w:val="22"/>
                <w:szCs w:val="22"/>
              </w:rPr>
              <w:fldChar w:fldCharType="separate"/>
            </w:r>
            <w:r w:rsidR="00A72CC8" w:rsidRPr="00345AA4">
              <w:rPr>
                <w:rFonts w:ascii="Arial" w:hAnsi="Arial" w:cs="Arial"/>
                <w:b/>
                <w:noProof/>
                <w:color w:val="000000" w:themeColor="text1"/>
                <w:sz w:val="22"/>
                <w:szCs w:val="22"/>
              </w:rPr>
              <w:t>2,293,584,114</w:t>
            </w:r>
            <w:r w:rsidR="00A72CC8" w:rsidRPr="00345AA4">
              <w:rPr>
                <w:rFonts w:ascii="Arial" w:hAnsi="Arial" w:cs="Arial"/>
                <w:b/>
                <w:color w:val="000000" w:themeColor="text1"/>
                <w:sz w:val="22"/>
                <w:szCs w:val="22"/>
              </w:rPr>
              <w:fldChar w:fldCharType="end"/>
            </w:r>
          </w:p>
        </w:tc>
      </w:tr>
    </w:tbl>
    <w:p w14:paraId="27524870" w14:textId="77777777" w:rsidR="00A72CC8" w:rsidRPr="00345AA4" w:rsidRDefault="00A72CC8" w:rsidP="00A72CC8">
      <w:pPr>
        <w:pStyle w:val="ListParagraph"/>
        <w:ind w:left="0"/>
        <w:contextualSpacing/>
        <w:jc w:val="both"/>
        <w:rPr>
          <w:rFonts w:ascii="Arial" w:hAnsi="Arial" w:cs="Arial"/>
          <w:color w:val="000000" w:themeColor="text1"/>
          <w:sz w:val="22"/>
          <w:szCs w:val="22"/>
        </w:rPr>
      </w:pPr>
    </w:p>
    <w:p w14:paraId="1AB1BBEB" w14:textId="6E394982" w:rsidR="00A72CC8" w:rsidRPr="00345AA4" w:rsidRDefault="00A72CC8" w:rsidP="00A72CC8">
      <w:pPr>
        <w:pStyle w:val="ListParagraph"/>
        <w:numPr>
          <w:ilvl w:val="1"/>
          <w:numId w:val="1"/>
        </w:numPr>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Every member should have his/her own individual </w:t>
      </w:r>
      <w:r w:rsidR="00E91A80" w:rsidRPr="00345AA4">
        <w:rPr>
          <w:rFonts w:ascii="Arial" w:hAnsi="Arial" w:cs="Arial"/>
          <w:color w:val="000000" w:themeColor="text1"/>
          <w:sz w:val="22"/>
          <w:szCs w:val="22"/>
        </w:rPr>
        <w:t>SL</w:t>
      </w:r>
      <w:r w:rsidRPr="00345AA4">
        <w:rPr>
          <w:rFonts w:ascii="Arial" w:hAnsi="Arial" w:cs="Arial"/>
          <w:color w:val="000000" w:themeColor="text1"/>
          <w:sz w:val="22"/>
          <w:szCs w:val="22"/>
        </w:rPr>
        <w:t xml:space="preserve"> which contains his/her contributions.  However, updated individual </w:t>
      </w:r>
      <w:r w:rsidR="00E91A80" w:rsidRPr="00345AA4">
        <w:rPr>
          <w:rFonts w:ascii="Arial" w:hAnsi="Arial" w:cs="Arial"/>
          <w:color w:val="000000" w:themeColor="text1"/>
          <w:sz w:val="22"/>
          <w:szCs w:val="22"/>
        </w:rPr>
        <w:t>SL</w:t>
      </w:r>
      <w:r w:rsidR="006F51A1" w:rsidRPr="00345AA4">
        <w:rPr>
          <w:rFonts w:ascii="Arial" w:hAnsi="Arial" w:cs="Arial"/>
          <w:color w:val="000000" w:themeColor="text1"/>
          <w:sz w:val="22"/>
          <w:szCs w:val="22"/>
        </w:rPr>
        <w:t>s</w:t>
      </w:r>
      <w:r w:rsidRPr="00345AA4">
        <w:rPr>
          <w:rFonts w:ascii="Arial" w:hAnsi="Arial" w:cs="Arial"/>
          <w:color w:val="000000" w:themeColor="text1"/>
          <w:sz w:val="22"/>
          <w:szCs w:val="22"/>
        </w:rPr>
        <w:t xml:space="preserve"> of MC was not provided by the System to the Audit Team.  Alternatively, the AD submitted a list extracted from IFMS as of July 2015 which is still under reconciliation with the balance of MC payable per books.  As of to date, the AD is continuously reconciling the data retrieved from the IFMS simultaneous to the processing of the member’s refund by the </w:t>
      </w:r>
      <w:r w:rsidR="00E91A80" w:rsidRPr="00345AA4">
        <w:rPr>
          <w:rFonts w:ascii="Arial" w:hAnsi="Arial" w:cs="Arial"/>
          <w:color w:val="000000" w:themeColor="text1"/>
          <w:sz w:val="22"/>
          <w:szCs w:val="22"/>
        </w:rPr>
        <w:t>Membership Department (</w:t>
      </w:r>
      <w:r w:rsidRPr="00345AA4">
        <w:rPr>
          <w:rFonts w:ascii="Arial" w:hAnsi="Arial" w:cs="Arial"/>
          <w:color w:val="000000" w:themeColor="text1"/>
          <w:sz w:val="22"/>
          <w:szCs w:val="22"/>
        </w:rPr>
        <w:t>MD</w:t>
      </w:r>
      <w:r w:rsidR="00E91A80" w:rsidRPr="00345AA4">
        <w:rPr>
          <w:rFonts w:ascii="Arial" w:hAnsi="Arial" w:cs="Arial"/>
          <w:color w:val="000000" w:themeColor="text1"/>
          <w:sz w:val="22"/>
          <w:szCs w:val="22"/>
        </w:rPr>
        <w:t>)</w:t>
      </w:r>
      <w:r w:rsidRPr="00345AA4">
        <w:rPr>
          <w:rFonts w:ascii="Arial" w:hAnsi="Arial" w:cs="Arial"/>
          <w:color w:val="000000" w:themeColor="text1"/>
          <w:sz w:val="22"/>
          <w:szCs w:val="22"/>
        </w:rPr>
        <w:t xml:space="preserve">.  According to them, once they are able to ascertain the balance of each member’s account, they will be able to compute the total contributions and to actualize the estimated interest or MC earnings.  </w:t>
      </w:r>
    </w:p>
    <w:p w14:paraId="2F82E7EF" w14:textId="77777777" w:rsidR="00A72CC8" w:rsidRPr="00345AA4" w:rsidRDefault="00A72CC8" w:rsidP="00A72CC8">
      <w:pPr>
        <w:pStyle w:val="ListParagraph"/>
        <w:ind w:left="0"/>
        <w:contextualSpacing/>
        <w:jc w:val="both"/>
        <w:rPr>
          <w:rFonts w:ascii="Arial" w:hAnsi="Arial" w:cs="Arial"/>
          <w:color w:val="000000" w:themeColor="text1"/>
          <w:sz w:val="22"/>
          <w:szCs w:val="22"/>
        </w:rPr>
      </w:pPr>
    </w:p>
    <w:p w14:paraId="4C089331" w14:textId="65E21C12" w:rsidR="00E41173" w:rsidRPr="00345AA4" w:rsidRDefault="00A72CC8" w:rsidP="00DC39B8">
      <w:pPr>
        <w:pStyle w:val="ListParagraph"/>
        <w:numPr>
          <w:ilvl w:val="1"/>
          <w:numId w:val="1"/>
        </w:numPr>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Based on </w:t>
      </w:r>
      <w:r w:rsidR="007E5CED" w:rsidRPr="00345AA4">
        <w:rPr>
          <w:rFonts w:ascii="Arial" w:hAnsi="Arial" w:cs="Arial"/>
          <w:color w:val="000000" w:themeColor="text1"/>
          <w:sz w:val="22"/>
          <w:szCs w:val="22"/>
        </w:rPr>
        <w:t>second</w:t>
      </w:r>
      <w:r w:rsidR="00447B23" w:rsidRPr="00345AA4">
        <w:rPr>
          <w:rFonts w:ascii="Arial" w:hAnsi="Arial" w:cs="Arial"/>
          <w:color w:val="000000" w:themeColor="text1"/>
          <w:sz w:val="22"/>
          <w:szCs w:val="22"/>
        </w:rPr>
        <w:t xml:space="preserve"> audit</w:t>
      </w:r>
      <w:r w:rsidRPr="00345AA4">
        <w:rPr>
          <w:rFonts w:ascii="Arial" w:hAnsi="Arial" w:cs="Arial"/>
          <w:color w:val="000000" w:themeColor="text1"/>
          <w:sz w:val="22"/>
          <w:szCs w:val="22"/>
        </w:rPr>
        <w:t xml:space="preserve"> observation</w:t>
      </w:r>
      <w:r w:rsidR="007E5CED" w:rsidRPr="00345AA4">
        <w:rPr>
          <w:rFonts w:ascii="Arial" w:hAnsi="Arial" w:cs="Arial"/>
          <w:color w:val="000000" w:themeColor="text1"/>
          <w:sz w:val="22"/>
          <w:szCs w:val="22"/>
        </w:rPr>
        <w:t xml:space="preserve"> on Part II of 2015 Annual Audit Report (AAR) which</w:t>
      </w:r>
      <w:r w:rsidR="007E5CED" w:rsidRPr="00345AA4">
        <w:rPr>
          <w:rStyle w:val="CommentReference"/>
          <w:rFonts w:ascii="Calibri" w:eastAsia="Calibri" w:hAnsi="Calibri"/>
          <w:color w:val="000000" w:themeColor="text1"/>
        </w:rPr>
        <w:t xml:space="preserve"> </w:t>
      </w:r>
      <w:r w:rsidR="00152FC0" w:rsidRPr="00345AA4">
        <w:rPr>
          <w:rFonts w:ascii="Arial" w:hAnsi="Arial" w:cs="Arial"/>
          <w:color w:val="000000" w:themeColor="text1"/>
          <w:sz w:val="22"/>
          <w:szCs w:val="22"/>
        </w:rPr>
        <w:t>involv</w:t>
      </w:r>
      <w:r w:rsidR="007E5CED" w:rsidRPr="00345AA4">
        <w:rPr>
          <w:rFonts w:ascii="Arial" w:hAnsi="Arial" w:cs="Arial"/>
          <w:color w:val="000000" w:themeColor="text1"/>
          <w:sz w:val="22"/>
          <w:szCs w:val="22"/>
        </w:rPr>
        <w:t>ed</w:t>
      </w:r>
      <w:r w:rsidR="00A024F7" w:rsidRPr="00345AA4">
        <w:rPr>
          <w:rFonts w:ascii="Arial" w:hAnsi="Arial" w:cs="Arial"/>
          <w:color w:val="000000" w:themeColor="text1"/>
          <w:sz w:val="22"/>
          <w:szCs w:val="22"/>
        </w:rPr>
        <w:t xml:space="preserve"> the same issue</w:t>
      </w:r>
      <w:r w:rsidRPr="00345AA4">
        <w:rPr>
          <w:rFonts w:ascii="Arial" w:hAnsi="Arial" w:cs="Arial"/>
          <w:color w:val="000000" w:themeColor="text1"/>
          <w:sz w:val="22"/>
          <w:szCs w:val="22"/>
        </w:rPr>
        <w:t xml:space="preserve">, an expert was hired to extract the members’ individual </w:t>
      </w:r>
      <w:r w:rsidR="00E91A80" w:rsidRPr="00345AA4">
        <w:rPr>
          <w:rFonts w:ascii="Arial" w:hAnsi="Arial" w:cs="Arial"/>
          <w:color w:val="000000" w:themeColor="text1"/>
          <w:sz w:val="22"/>
          <w:szCs w:val="22"/>
        </w:rPr>
        <w:t>SL</w:t>
      </w:r>
      <w:r w:rsidRPr="00345AA4">
        <w:rPr>
          <w:rFonts w:ascii="Arial" w:hAnsi="Arial" w:cs="Arial"/>
          <w:color w:val="000000" w:themeColor="text1"/>
          <w:sz w:val="22"/>
          <w:szCs w:val="22"/>
        </w:rPr>
        <w:t xml:space="preserve"> from the IFMS and convert it into an excel file.  As the AD continuously reconciles the MC account, the reconciliation is 76 per cent completed as at December 31, 2019.  The remaining discrepancy was reduced to P1.182 billion from P4.914 billion in CY 2015.  Details are as follows:</w:t>
      </w:r>
    </w:p>
    <w:p w14:paraId="000390B4" w14:textId="77777777" w:rsidR="00DC39B8" w:rsidRPr="00345AA4" w:rsidRDefault="00DC39B8" w:rsidP="00DC39B8">
      <w:pPr>
        <w:pStyle w:val="ListParagraph"/>
        <w:ind w:left="900"/>
        <w:contextualSpacing/>
        <w:jc w:val="both"/>
        <w:rPr>
          <w:rFonts w:ascii="Arial" w:hAnsi="Arial" w:cs="Arial"/>
          <w:color w:val="000000" w:themeColor="text1"/>
          <w:sz w:val="22"/>
          <w:szCs w:val="22"/>
        </w:rPr>
      </w:pPr>
    </w:p>
    <w:tbl>
      <w:tblPr>
        <w:tblW w:w="0" w:type="auto"/>
        <w:tblInd w:w="1008" w:type="dxa"/>
        <w:tblLook w:val="04A0" w:firstRow="1" w:lastRow="0" w:firstColumn="1" w:lastColumn="0" w:noHBand="0" w:noVBand="1"/>
      </w:tblPr>
      <w:tblGrid>
        <w:gridCol w:w="5196"/>
        <w:gridCol w:w="2544"/>
      </w:tblGrid>
      <w:tr w:rsidR="00345AA4" w:rsidRPr="00345AA4" w14:paraId="47122F22" w14:textId="77777777" w:rsidTr="00E41173">
        <w:trPr>
          <w:trHeight w:val="230"/>
        </w:trPr>
        <w:tc>
          <w:tcPr>
            <w:tcW w:w="5196" w:type="dxa"/>
            <w:tcBorders>
              <w:top w:val="single" w:sz="4" w:space="0" w:color="auto"/>
              <w:left w:val="nil"/>
              <w:bottom w:val="single" w:sz="4" w:space="0" w:color="auto"/>
              <w:right w:val="nil"/>
            </w:tcBorders>
            <w:vAlign w:val="center"/>
            <w:hideMark/>
          </w:tcPr>
          <w:p w14:paraId="23D2EAF6" w14:textId="77777777" w:rsidR="00A72CC8" w:rsidRPr="00345AA4" w:rsidRDefault="00A72CC8" w:rsidP="00375E56">
            <w:pPr>
              <w:pStyle w:val="BodyText"/>
              <w:ind w:right="29" w:firstLine="252"/>
              <w:jc w:val="left"/>
              <w:rPr>
                <w:rFonts w:ascii="Arial" w:hAnsi="Arial" w:cs="Arial"/>
                <w:b/>
                <w:color w:val="000000" w:themeColor="text1"/>
                <w:sz w:val="22"/>
                <w:szCs w:val="22"/>
              </w:rPr>
            </w:pPr>
            <w:r w:rsidRPr="00345AA4">
              <w:rPr>
                <w:rFonts w:ascii="Arial" w:hAnsi="Arial" w:cs="Arial"/>
                <w:b/>
                <w:color w:val="000000" w:themeColor="text1"/>
                <w:sz w:val="22"/>
                <w:szCs w:val="22"/>
              </w:rPr>
              <w:tab/>
              <w:t xml:space="preserve">    Particulars</w:t>
            </w:r>
          </w:p>
        </w:tc>
        <w:tc>
          <w:tcPr>
            <w:tcW w:w="2544" w:type="dxa"/>
            <w:tcBorders>
              <w:top w:val="single" w:sz="4" w:space="0" w:color="auto"/>
              <w:left w:val="nil"/>
              <w:bottom w:val="single" w:sz="4" w:space="0" w:color="auto"/>
              <w:right w:val="nil"/>
            </w:tcBorders>
            <w:vAlign w:val="center"/>
            <w:hideMark/>
          </w:tcPr>
          <w:p w14:paraId="6D8CA13A" w14:textId="77777777" w:rsidR="00A72CC8" w:rsidRPr="00345AA4" w:rsidRDefault="00A72CC8" w:rsidP="00375E56">
            <w:pPr>
              <w:pStyle w:val="BodyText"/>
              <w:ind w:right="29"/>
              <w:rPr>
                <w:rFonts w:ascii="Arial" w:hAnsi="Arial" w:cs="Arial"/>
                <w:b/>
                <w:color w:val="000000" w:themeColor="text1"/>
                <w:sz w:val="22"/>
                <w:szCs w:val="22"/>
              </w:rPr>
            </w:pPr>
            <w:r w:rsidRPr="00345AA4">
              <w:rPr>
                <w:rFonts w:ascii="Arial" w:hAnsi="Arial" w:cs="Arial"/>
                <w:b/>
                <w:color w:val="000000" w:themeColor="text1"/>
                <w:sz w:val="22"/>
                <w:szCs w:val="22"/>
              </w:rPr>
              <w:t xml:space="preserve">                  Amount  </w:t>
            </w:r>
          </w:p>
        </w:tc>
      </w:tr>
      <w:tr w:rsidR="00345AA4" w:rsidRPr="00345AA4" w14:paraId="64B80C22" w14:textId="77777777" w:rsidTr="00E41173">
        <w:trPr>
          <w:trHeight w:val="230"/>
        </w:trPr>
        <w:tc>
          <w:tcPr>
            <w:tcW w:w="5196" w:type="dxa"/>
            <w:tcBorders>
              <w:top w:val="single" w:sz="4" w:space="0" w:color="auto"/>
              <w:left w:val="nil"/>
              <w:bottom w:val="nil"/>
              <w:right w:val="nil"/>
            </w:tcBorders>
            <w:vAlign w:val="center"/>
          </w:tcPr>
          <w:p w14:paraId="1FA713BB" w14:textId="77777777" w:rsidR="00A72CC8" w:rsidRPr="00345AA4" w:rsidRDefault="00A72CC8" w:rsidP="00375E56">
            <w:pPr>
              <w:pStyle w:val="NoSpacing"/>
              <w:rPr>
                <w:rFonts w:ascii="Arial" w:hAnsi="Arial" w:cs="Arial"/>
                <w:color w:val="000000" w:themeColor="text1"/>
              </w:rPr>
            </w:pPr>
            <w:r w:rsidRPr="00345AA4">
              <w:rPr>
                <w:rFonts w:ascii="Arial" w:hAnsi="Arial" w:cs="Arial"/>
                <w:color w:val="000000" w:themeColor="text1"/>
              </w:rPr>
              <w:t>Balance per books, July 31, 2015</w:t>
            </w:r>
          </w:p>
        </w:tc>
        <w:tc>
          <w:tcPr>
            <w:tcW w:w="2544" w:type="dxa"/>
            <w:tcBorders>
              <w:top w:val="single" w:sz="4" w:space="0" w:color="auto"/>
              <w:left w:val="nil"/>
              <w:bottom w:val="nil"/>
              <w:right w:val="nil"/>
            </w:tcBorders>
            <w:vAlign w:val="bottom"/>
            <w:hideMark/>
          </w:tcPr>
          <w:p w14:paraId="67ACA162" w14:textId="77777777" w:rsidR="00A72CC8" w:rsidRPr="00345AA4" w:rsidRDefault="00A72CC8" w:rsidP="00375E56">
            <w:pPr>
              <w:pStyle w:val="NoSpacing"/>
              <w:jc w:val="right"/>
              <w:rPr>
                <w:rFonts w:ascii="Arial" w:hAnsi="Arial" w:cs="Arial"/>
                <w:color w:val="000000" w:themeColor="text1"/>
              </w:rPr>
            </w:pPr>
            <w:r w:rsidRPr="00345AA4">
              <w:rPr>
                <w:rFonts w:ascii="Arial" w:hAnsi="Arial" w:cs="Arial"/>
                <w:color w:val="000000" w:themeColor="text1"/>
              </w:rPr>
              <w:t>P 10,844,040,316</w:t>
            </w:r>
          </w:p>
        </w:tc>
      </w:tr>
      <w:tr w:rsidR="00345AA4" w:rsidRPr="00345AA4" w14:paraId="28987338" w14:textId="77777777" w:rsidTr="00E41173">
        <w:trPr>
          <w:trHeight w:val="230"/>
        </w:trPr>
        <w:tc>
          <w:tcPr>
            <w:tcW w:w="5196" w:type="dxa"/>
            <w:tcBorders>
              <w:top w:val="nil"/>
              <w:left w:val="nil"/>
              <w:bottom w:val="single" w:sz="4" w:space="0" w:color="auto"/>
              <w:right w:val="nil"/>
            </w:tcBorders>
            <w:vAlign w:val="center"/>
            <w:hideMark/>
          </w:tcPr>
          <w:p w14:paraId="03B664E6" w14:textId="77777777" w:rsidR="00A72CC8" w:rsidRPr="00345AA4" w:rsidRDefault="00A72CC8" w:rsidP="00375E56">
            <w:pPr>
              <w:pStyle w:val="NoSpacing"/>
              <w:rPr>
                <w:rFonts w:ascii="Arial" w:hAnsi="Arial" w:cs="Arial"/>
                <w:color w:val="000000" w:themeColor="text1"/>
              </w:rPr>
            </w:pPr>
            <w:r w:rsidRPr="00345AA4">
              <w:rPr>
                <w:rFonts w:ascii="Arial" w:hAnsi="Arial" w:cs="Arial"/>
                <w:color w:val="000000" w:themeColor="text1"/>
              </w:rPr>
              <w:t>Balance per IFMS, July  31, 2015</w:t>
            </w:r>
          </w:p>
        </w:tc>
        <w:tc>
          <w:tcPr>
            <w:tcW w:w="2544" w:type="dxa"/>
            <w:tcBorders>
              <w:top w:val="nil"/>
              <w:left w:val="nil"/>
              <w:bottom w:val="single" w:sz="4" w:space="0" w:color="auto"/>
              <w:right w:val="nil"/>
            </w:tcBorders>
            <w:vAlign w:val="bottom"/>
            <w:hideMark/>
          </w:tcPr>
          <w:p w14:paraId="0749784A" w14:textId="77777777" w:rsidR="00A72CC8" w:rsidRPr="00345AA4" w:rsidRDefault="00A72CC8" w:rsidP="00375E56">
            <w:pPr>
              <w:pStyle w:val="NoSpacing"/>
              <w:jc w:val="right"/>
              <w:rPr>
                <w:rFonts w:ascii="Arial" w:hAnsi="Arial" w:cs="Arial"/>
                <w:bCs/>
                <w:color w:val="000000" w:themeColor="text1"/>
              </w:rPr>
            </w:pPr>
            <w:r w:rsidRPr="00345AA4">
              <w:rPr>
                <w:rFonts w:ascii="Arial" w:hAnsi="Arial" w:cs="Arial"/>
                <w:bCs/>
                <w:color w:val="000000" w:themeColor="text1"/>
              </w:rPr>
              <w:t>12,026,066,245</w:t>
            </w:r>
          </w:p>
        </w:tc>
      </w:tr>
      <w:tr w:rsidR="00A85B97" w:rsidRPr="00345AA4" w14:paraId="75E5852B" w14:textId="77777777" w:rsidTr="00E41173">
        <w:trPr>
          <w:trHeight w:val="230"/>
        </w:trPr>
        <w:tc>
          <w:tcPr>
            <w:tcW w:w="5196" w:type="dxa"/>
            <w:tcBorders>
              <w:top w:val="single" w:sz="4" w:space="0" w:color="auto"/>
              <w:left w:val="nil"/>
              <w:bottom w:val="double" w:sz="4" w:space="0" w:color="auto"/>
              <w:right w:val="nil"/>
            </w:tcBorders>
            <w:vAlign w:val="bottom"/>
            <w:hideMark/>
          </w:tcPr>
          <w:p w14:paraId="7B88F7FE" w14:textId="77777777" w:rsidR="00A72CC8" w:rsidRPr="00345AA4" w:rsidRDefault="00A72CC8" w:rsidP="00375E56">
            <w:pPr>
              <w:pStyle w:val="NoSpacing"/>
              <w:rPr>
                <w:rFonts w:ascii="Arial" w:hAnsi="Arial" w:cs="Arial"/>
                <w:b/>
                <w:color w:val="000000" w:themeColor="text1"/>
              </w:rPr>
            </w:pPr>
            <w:r w:rsidRPr="00345AA4">
              <w:rPr>
                <w:rFonts w:ascii="Arial" w:hAnsi="Arial" w:cs="Arial"/>
                <w:b/>
                <w:color w:val="000000" w:themeColor="text1"/>
              </w:rPr>
              <w:t xml:space="preserve">Difference </w:t>
            </w:r>
          </w:p>
        </w:tc>
        <w:tc>
          <w:tcPr>
            <w:tcW w:w="2544" w:type="dxa"/>
            <w:tcBorders>
              <w:top w:val="single" w:sz="4" w:space="0" w:color="auto"/>
              <w:left w:val="nil"/>
              <w:bottom w:val="double" w:sz="4" w:space="0" w:color="auto"/>
              <w:right w:val="nil"/>
            </w:tcBorders>
            <w:vAlign w:val="bottom"/>
            <w:hideMark/>
          </w:tcPr>
          <w:p w14:paraId="509EC482" w14:textId="77777777" w:rsidR="00A72CC8" w:rsidRPr="00345AA4" w:rsidRDefault="00A72CC8" w:rsidP="00375E56">
            <w:pPr>
              <w:pStyle w:val="NoSpacing"/>
              <w:jc w:val="right"/>
              <w:rPr>
                <w:rFonts w:ascii="Arial" w:hAnsi="Arial" w:cs="Arial"/>
                <w:b/>
                <w:color w:val="000000" w:themeColor="text1"/>
              </w:rPr>
            </w:pPr>
            <w:r w:rsidRPr="00345AA4">
              <w:rPr>
                <w:rFonts w:ascii="Arial" w:hAnsi="Arial" w:cs="Arial"/>
                <w:b/>
                <w:color w:val="000000" w:themeColor="text1"/>
              </w:rPr>
              <w:t xml:space="preserve">P   </w:t>
            </w:r>
            <w:r w:rsidRPr="00345AA4">
              <w:rPr>
                <w:rFonts w:ascii="Arial" w:hAnsi="Arial" w:cs="Arial"/>
                <w:b/>
                <w:color w:val="000000" w:themeColor="text1"/>
              </w:rPr>
              <w:fldChar w:fldCharType="begin"/>
            </w:r>
            <w:r w:rsidRPr="00345AA4">
              <w:rPr>
                <w:rFonts w:ascii="Arial" w:hAnsi="Arial" w:cs="Arial"/>
                <w:b/>
                <w:color w:val="000000" w:themeColor="text1"/>
              </w:rPr>
              <w:instrText xml:space="preserve"> =(b2-b3)*-1 </w:instrText>
            </w:r>
            <w:r w:rsidRPr="00345AA4">
              <w:rPr>
                <w:rFonts w:ascii="Arial" w:hAnsi="Arial" w:cs="Arial"/>
                <w:b/>
                <w:color w:val="000000" w:themeColor="text1"/>
              </w:rPr>
              <w:fldChar w:fldCharType="separate"/>
            </w:r>
            <w:r w:rsidRPr="00345AA4">
              <w:rPr>
                <w:rFonts w:ascii="Arial" w:hAnsi="Arial" w:cs="Arial"/>
                <w:b/>
                <w:noProof/>
                <w:color w:val="000000" w:themeColor="text1"/>
              </w:rPr>
              <w:t>1,182,025,929</w:t>
            </w:r>
            <w:r w:rsidRPr="00345AA4">
              <w:rPr>
                <w:rFonts w:ascii="Arial" w:hAnsi="Arial" w:cs="Arial"/>
                <w:b/>
                <w:color w:val="000000" w:themeColor="text1"/>
              </w:rPr>
              <w:fldChar w:fldCharType="end"/>
            </w:r>
          </w:p>
        </w:tc>
      </w:tr>
    </w:tbl>
    <w:p w14:paraId="0132A994" w14:textId="77777777" w:rsidR="00A72CC8" w:rsidRPr="00345AA4" w:rsidRDefault="00A72CC8" w:rsidP="00A72CC8">
      <w:pPr>
        <w:pStyle w:val="ListParagraph"/>
        <w:ind w:left="900"/>
        <w:contextualSpacing/>
        <w:jc w:val="both"/>
        <w:rPr>
          <w:rFonts w:ascii="Arial" w:hAnsi="Arial" w:cs="Arial"/>
          <w:color w:val="000000" w:themeColor="text1"/>
          <w:sz w:val="22"/>
          <w:szCs w:val="22"/>
        </w:rPr>
      </w:pPr>
    </w:p>
    <w:p w14:paraId="0FA0360F" w14:textId="77777777" w:rsidR="00A72CC8" w:rsidRPr="00345AA4" w:rsidRDefault="00A72CC8" w:rsidP="00A72CC8">
      <w:pPr>
        <w:pStyle w:val="ListParagraph"/>
        <w:numPr>
          <w:ilvl w:val="1"/>
          <w:numId w:val="1"/>
        </w:numPr>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On the other hand, comparison of the balance per books and the SL provided by Management disclosed a difference of P4.758 billion computed as follows:</w:t>
      </w:r>
    </w:p>
    <w:p w14:paraId="1046A622" w14:textId="77777777" w:rsidR="00A72CC8" w:rsidRPr="00345AA4" w:rsidRDefault="00A72CC8" w:rsidP="00A72CC8">
      <w:pPr>
        <w:spacing w:after="0"/>
        <w:contextualSpacing/>
        <w:jc w:val="both"/>
        <w:rPr>
          <w:rFonts w:ascii="Arial" w:hAnsi="Arial" w:cs="Arial"/>
          <w:color w:val="000000" w:themeColor="text1"/>
        </w:rPr>
      </w:pPr>
    </w:p>
    <w:tbl>
      <w:tblPr>
        <w:tblW w:w="7740" w:type="dxa"/>
        <w:tblInd w:w="1008" w:type="dxa"/>
        <w:tblLook w:val="04A0" w:firstRow="1" w:lastRow="0" w:firstColumn="1" w:lastColumn="0" w:noHBand="0" w:noVBand="1"/>
      </w:tblPr>
      <w:tblGrid>
        <w:gridCol w:w="5400"/>
        <w:gridCol w:w="2340"/>
      </w:tblGrid>
      <w:tr w:rsidR="00345AA4" w:rsidRPr="00345AA4" w14:paraId="1CB35FD5" w14:textId="77777777" w:rsidTr="00E41173">
        <w:trPr>
          <w:trHeight w:val="70"/>
          <w:tblHeader/>
        </w:trPr>
        <w:tc>
          <w:tcPr>
            <w:tcW w:w="5400" w:type="dxa"/>
            <w:tcBorders>
              <w:top w:val="single" w:sz="4" w:space="0" w:color="auto"/>
              <w:bottom w:val="single" w:sz="4" w:space="0" w:color="auto"/>
            </w:tcBorders>
            <w:vAlign w:val="center"/>
          </w:tcPr>
          <w:p w14:paraId="01602CAD" w14:textId="77777777" w:rsidR="00A72CC8" w:rsidRPr="00345AA4" w:rsidRDefault="00A72CC8" w:rsidP="00375E56">
            <w:pPr>
              <w:pStyle w:val="BodyText"/>
              <w:ind w:right="29" w:firstLine="252"/>
              <w:jc w:val="left"/>
              <w:rPr>
                <w:rFonts w:ascii="Arial" w:hAnsi="Arial" w:cs="Arial"/>
                <w:b/>
                <w:color w:val="000000" w:themeColor="text1"/>
                <w:sz w:val="22"/>
                <w:szCs w:val="22"/>
              </w:rPr>
            </w:pPr>
            <w:r w:rsidRPr="00345AA4">
              <w:rPr>
                <w:rFonts w:ascii="Arial" w:hAnsi="Arial" w:cs="Arial"/>
                <w:b/>
                <w:color w:val="000000" w:themeColor="text1"/>
                <w:sz w:val="22"/>
                <w:szCs w:val="22"/>
              </w:rPr>
              <w:tab/>
              <w:t xml:space="preserve">    Particulars</w:t>
            </w:r>
          </w:p>
        </w:tc>
        <w:tc>
          <w:tcPr>
            <w:tcW w:w="2340" w:type="dxa"/>
            <w:tcBorders>
              <w:top w:val="single" w:sz="4" w:space="0" w:color="auto"/>
              <w:bottom w:val="single" w:sz="4" w:space="0" w:color="auto"/>
            </w:tcBorders>
            <w:vAlign w:val="center"/>
          </w:tcPr>
          <w:p w14:paraId="619E9B29" w14:textId="77777777" w:rsidR="00A72CC8" w:rsidRPr="00345AA4" w:rsidRDefault="00A72CC8" w:rsidP="00375E56">
            <w:pPr>
              <w:pStyle w:val="BodyText"/>
              <w:ind w:right="29"/>
              <w:rPr>
                <w:rFonts w:ascii="Arial" w:hAnsi="Arial" w:cs="Arial"/>
                <w:b/>
                <w:color w:val="000000" w:themeColor="text1"/>
                <w:sz w:val="22"/>
                <w:szCs w:val="22"/>
              </w:rPr>
            </w:pPr>
            <w:r w:rsidRPr="00345AA4">
              <w:rPr>
                <w:rFonts w:ascii="Arial" w:hAnsi="Arial" w:cs="Arial"/>
                <w:b/>
                <w:color w:val="000000" w:themeColor="text1"/>
                <w:sz w:val="22"/>
                <w:szCs w:val="22"/>
              </w:rPr>
              <w:t xml:space="preserve">                  Amount</w:t>
            </w:r>
          </w:p>
        </w:tc>
      </w:tr>
      <w:tr w:rsidR="00345AA4" w:rsidRPr="00345AA4" w14:paraId="5812C775" w14:textId="77777777" w:rsidTr="00E41173">
        <w:trPr>
          <w:trHeight w:val="70"/>
        </w:trPr>
        <w:tc>
          <w:tcPr>
            <w:tcW w:w="5400" w:type="dxa"/>
            <w:tcBorders>
              <w:top w:val="single" w:sz="4" w:space="0" w:color="auto"/>
            </w:tcBorders>
            <w:vAlign w:val="center"/>
          </w:tcPr>
          <w:p w14:paraId="2870333D" w14:textId="77777777" w:rsidR="00A72CC8" w:rsidRPr="00345AA4" w:rsidRDefault="00A72CC8" w:rsidP="00375E56">
            <w:pPr>
              <w:pStyle w:val="NoSpacing"/>
              <w:rPr>
                <w:rFonts w:ascii="Arial" w:hAnsi="Arial" w:cs="Arial"/>
                <w:color w:val="000000" w:themeColor="text1"/>
              </w:rPr>
            </w:pPr>
            <w:r w:rsidRPr="00345AA4">
              <w:rPr>
                <w:rFonts w:ascii="Arial" w:hAnsi="Arial" w:cs="Arial"/>
                <w:color w:val="000000" w:themeColor="text1"/>
              </w:rPr>
              <w:t>Balance per books, December 31, 2019</w:t>
            </w:r>
          </w:p>
        </w:tc>
        <w:tc>
          <w:tcPr>
            <w:tcW w:w="2340" w:type="dxa"/>
            <w:tcBorders>
              <w:top w:val="single" w:sz="4" w:space="0" w:color="auto"/>
            </w:tcBorders>
            <w:vAlign w:val="center"/>
          </w:tcPr>
          <w:p w14:paraId="736A8239" w14:textId="77777777" w:rsidR="00A72CC8" w:rsidRPr="00345AA4" w:rsidRDefault="00A72CC8" w:rsidP="00375E56">
            <w:pPr>
              <w:pStyle w:val="NoSpacing"/>
              <w:jc w:val="right"/>
              <w:rPr>
                <w:rFonts w:ascii="Arial" w:hAnsi="Arial" w:cs="Arial"/>
                <w:color w:val="000000" w:themeColor="text1"/>
              </w:rPr>
            </w:pPr>
            <w:r w:rsidRPr="00345AA4">
              <w:rPr>
                <w:rFonts w:ascii="Arial" w:hAnsi="Arial" w:cs="Arial"/>
                <w:color w:val="000000" w:themeColor="text1"/>
              </w:rPr>
              <w:t>P 7,268,223,264</w:t>
            </w:r>
          </w:p>
        </w:tc>
      </w:tr>
      <w:tr w:rsidR="00345AA4" w:rsidRPr="00345AA4" w14:paraId="4ED52CEF" w14:textId="77777777" w:rsidTr="00E41173">
        <w:trPr>
          <w:trHeight w:val="288"/>
        </w:trPr>
        <w:tc>
          <w:tcPr>
            <w:tcW w:w="5400" w:type="dxa"/>
            <w:tcBorders>
              <w:bottom w:val="single" w:sz="4" w:space="0" w:color="auto"/>
            </w:tcBorders>
            <w:vAlign w:val="center"/>
          </w:tcPr>
          <w:p w14:paraId="637AABFE" w14:textId="77777777" w:rsidR="00A72CC8" w:rsidRPr="00345AA4" w:rsidRDefault="00A72CC8" w:rsidP="00375E56">
            <w:pPr>
              <w:pStyle w:val="NoSpacing"/>
              <w:rPr>
                <w:rFonts w:ascii="Arial" w:hAnsi="Arial" w:cs="Arial"/>
                <w:color w:val="000000" w:themeColor="text1"/>
              </w:rPr>
            </w:pPr>
            <w:r w:rsidRPr="00345AA4">
              <w:rPr>
                <w:rFonts w:ascii="Arial" w:hAnsi="Arial" w:cs="Arial"/>
                <w:color w:val="000000" w:themeColor="text1"/>
              </w:rPr>
              <w:t>Balance per SL, July  31, 2015</w:t>
            </w:r>
          </w:p>
        </w:tc>
        <w:tc>
          <w:tcPr>
            <w:tcW w:w="2340" w:type="dxa"/>
            <w:tcBorders>
              <w:bottom w:val="single" w:sz="4" w:space="0" w:color="auto"/>
            </w:tcBorders>
            <w:vAlign w:val="center"/>
          </w:tcPr>
          <w:p w14:paraId="74251CF7" w14:textId="77777777" w:rsidR="00A72CC8" w:rsidRPr="00345AA4" w:rsidRDefault="00A72CC8" w:rsidP="00375E56">
            <w:pPr>
              <w:pStyle w:val="NoSpacing"/>
              <w:jc w:val="right"/>
              <w:rPr>
                <w:rFonts w:ascii="Arial" w:hAnsi="Arial" w:cs="Arial"/>
                <w:bCs/>
                <w:color w:val="000000" w:themeColor="text1"/>
              </w:rPr>
            </w:pPr>
            <w:r w:rsidRPr="00345AA4">
              <w:rPr>
                <w:rFonts w:ascii="Arial" w:hAnsi="Arial" w:cs="Arial"/>
                <w:bCs/>
                <w:color w:val="000000" w:themeColor="text1"/>
              </w:rPr>
              <w:t>12,026,066,245</w:t>
            </w:r>
          </w:p>
        </w:tc>
      </w:tr>
      <w:tr w:rsidR="00A85B97" w:rsidRPr="00345AA4" w14:paraId="0E20C50D" w14:textId="77777777" w:rsidTr="00E41173">
        <w:trPr>
          <w:trHeight w:val="288"/>
        </w:trPr>
        <w:tc>
          <w:tcPr>
            <w:tcW w:w="5400" w:type="dxa"/>
            <w:tcBorders>
              <w:top w:val="single" w:sz="4" w:space="0" w:color="auto"/>
              <w:bottom w:val="double" w:sz="4" w:space="0" w:color="auto"/>
            </w:tcBorders>
            <w:vAlign w:val="center"/>
          </w:tcPr>
          <w:p w14:paraId="6329BABE" w14:textId="77777777" w:rsidR="00A72CC8" w:rsidRPr="00345AA4" w:rsidRDefault="00A72CC8" w:rsidP="00375E56">
            <w:pPr>
              <w:pStyle w:val="NoSpacing"/>
              <w:rPr>
                <w:rFonts w:ascii="Arial" w:hAnsi="Arial" w:cs="Arial"/>
                <w:b/>
                <w:color w:val="000000" w:themeColor="text1"/>
              </w:rPr>
            </w:pPr>
            <w:r w:rsidRPr="00345AA4">
              <w:rPr>
                <w:rFonts w:ascii="Arial" w:hAnsi="Arial" w:cs="Arial"/>
                <w:b/>
                <w:color w:val="000000" w:themeColor="text1"/>
              </w:rPr>
              <w:t xml:space="preserve">Difference </w:t>
            </w:r>
          </w:p>
        </w:tc>
        <w:tc>
          <w:tcPr>
            <w:tcW w:w="2340" w:type="dxa"/>
            <w:tcBorders>
              <w:top w:val="single" w:sz="4" w:space="0" w:color="auto"/>
              <w:bottom w:val="double" w:sz="4" w:space="0" w:color="auto"/>
            </w:tcBorders>
            <w:vAlign w:val="center"/>
          </w:tcPr>
          <w:p w14:paraId="52EDF6C5" w14:textId="77777777" w:rsidR="00A72CC8" w:rsidRPr="00345AA4" w:rsidRDefault="00A72CC8" w:rsidP="00375E56">
            <w:pPr>
              <w:pStyle w:val="NoSpacing"/>
              <w:jc w:val="right"/>
              <w:rPr>
                <w:rFonts w:ascii="Arial" w:hAnsi="Arial" w:cs="Arial"/>
                <w:b/>
                <w:color w:val="000000" w:themeColor="text1"/>
              </w:rPr>
            </w:pPr>
            <w:r w:rsidRPr="00345AA4">
              <w:rPr>
                <w:rFonts w:ascii="Arial" w:hAnsi="Arial" w:cs="Arial"/>
                <w:b/>
                <w:color w:val="000000" w:themeColor="text1"/>
              </w:rPr>
              <w:t xml:space="preserve">P </w:t>
            </w:r>
            <w:r w:rsidRPr="00345AA4">
              <w:rPr>
                <w:rFonts w:ascii="Arial" w:hAnsi="Arial" w:cs="Arial"/>
                <w:b/>
                <w:color w:val="000000" w:themeColor="text1"/>
              </w:rPr>
              <w:fldChar w:fldCharType="begin"/>
            </w:r>
            <w:r w:rsidRPr="00345AA4">
              <w:rPr>
                <w:rFonts w:ascii="Arial" w:hAnsi="Arial" w:cs="Arial"/>
                <w:b/>
                <w:color w:val="000000" w:themeColor="text1"/>
              </w:rPr>
              <w:instrText xml:space="preserve"> =(b2-b3)*-1 </w:instrText>
            </w:r>
            <w:r w:rsidRPr="00345AA4">
              <w:rPr>
                <w:rFonts w:ascii="Arial" w:hAnsi="Arial" w:cs="Arial"/>
                <w:b/>
                <w:color w:val="000000" w:themeColor="text1"/>
              </w:rPr>
              <w:fldChar w:fldCharType="separate"/>
            </w:r>
            <w:r w:rsidRPr="00345AA4">
              <w:rPr>
                <w:rFonts w:ascii="Arial" w:hAnsi="Arial" w:cs="Arial"/>
                <w:b/>
                <w:noProof/>
                <w:color w:val="000000" w:themeColor="text1"/>
              </w:rPr>
              <w:t>4,757,842,981</w:t>
            </w:r>
            <w:r w:rsidRPr="00345AA4">
              <w:rPr>
                <w:rFonts w:ascii="Arial" w:hAnsi="Arial" w:cs="Arial"/>
                <w:b/>
                <w:color w:val="000000" w:themeColor="text1"/>
              </w:rPr>
              <w:fldChar w:fldCharType="end"/>
            </w:r>
          </w:p>
        </w:tc>
      </w:tr>
    </w:tbl>
    <w:p w14:paraId="1A344344" w14:textId="77777777" w:rsidR="00A72CC8" w:rsidRPr="00345AA4" w:rsidRDefault="00A72CC8" w:rsidP="00A72CC8">
      <w:pPr>
        <w:spacing w:after="0"/>
        <w:contextualSpacing/>
        <w:jc w:val="both"/>
        <w:rPr>
          <w:rFonts w:ascii="Arial" w:hAnsi="Arial" w:cs="Arial"/>
          <w:color w:val="000000" w:themeColor="text1"/>
        </w:rPr>
      </w:pPr>
    </w:p>
    <w:p w14:paraId="62053C60" w14:textId="2804ED2F" w:rsidR="00A72CC8" w:rsidRPr="00345AA4" w:rsidRDefault="00A72CC8" w:rsidP="00A72CC8">
      <w:pPr>
        <w:pStyle w:val="ListParagraph"/>
        <w:numPr>
          <w:ilvl w:val="1"/>
          <w:numId w:val="1"/>
        </w:numPr>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At the end of 2019, the AD set up P3.158 billion in the current portion of the MC payable coming from the non-current portion based on the estimated refund for 2020 by the MD which was presented to the BOL.  In the said estimate, the MD estimated that by middle of 2021, they will be able to refund the contributions to </w:t>
      </w:r>
      <w:r w:rsidRPr="00345AA4">
        <w:rPr>
          <w:rFonts w:ascii="Arial" w:hAnsi="Arial" w:cs="Arial"/>
          <w:color w:val="000000" w:themeColor="text1"/>
          <w:sz w:val="22"/>
          <w:szCs w:val="22"/>
        </w:rPr>
        <w:lastRenderedPageBreak/>
        <w:t xml:space="preserve">all members.  Furthermore, during the initial conference with Management, the AFPRSBS’ President presented AFPRSBS’ 2019 </w:t>
      </w:r>
      <w:r w:rsidR="00AD45CD" w:rsidRPr="00345AA4">
        <w:rPr>
          <w:rFonts w:ascii="Arial" w:hAnsi="Arial" w:cs="Arial"/>
          <w:color w:val="000000" w:themeColor="text1"/>
          <w:sz w:val="22"/>
          <w:szCs w:val="22"/>
        </w:rPr>
        <w:t>FS</w:t>
      </w:r>
      <w:r w:rsidRPr="00345AA4">
        <w:rPr>
          <w:rFonts w:ascii="Arial" w:hAnsi="Arial" w:cs="Arial"/>
          <w:color w:val="000000" w:themeColor="text1"/>
          <w:sz w:val="22"/>
          <w:szCs w:val="22"/>
        </w:rPr>
        <w:t xml:space="preserve"> showing that the Cash and cash equivalents, Short-term investments-net</w:t>
      </w:r>
      <w:r w:rsidR="0070610D" w:rsidRPr="00345AA4">
        <w:rPr>
          <w:rFonts w:ascii="Arial" w:hAnsi="Arial" w:cs="Arial"/>
          <w:color w:val="000000" w:themeColor="text1"/>
          <w:sz w:val="22"/>
          <w:szCs w:val="22"/>
        </w:rPr>
        <w:t>, Non-current investments, Accrued interest and receivable,</w:t>
      </w:r>
      <w:r w:rsidRPr="00345AA4">
        <w:rPr>
          <w:rFonts w:ascii="Arial" w:hAnsi="Arial" w:cs="Arial"/>
          <w:color w:val="000000" w:themeColor="text1"/>
          <w:sz w:val="22"/>
          <w:szCs w:val="22"/>
        </w:rPr>
        <w:t xml:space="preserve"> and Investment in bonds and comme</w:t>
      </w:r>
      <w:r w:rsidR="003E56E5" w:rsidRPr="00345AA4">
        <w:rPr>
          <w:rFonts w:ascii="Arial" w:hAnsi="Arial" w:cs="Arial"/>
          <w:color w:val="000000" w:themeColor="text1"/>
          <w:sz w:val="22"/>
          <w:szCs w:val="22"/>
        </w:rPr>
        <w:t>rcial papers totaling to P9.429</w:t>
      </w:r>
      <w:r w:rsidRPr="00345AA4">
        <w:rPr>
          <w:rFonts w:ascii="Arial" w:hAnsi="Arial" w:cs="Arial"/>
          <w:color w:val="000000" w:themeColor="text1"/>
          <w:sz w:val="22"/>
          <w:szCs w:val="22"/>
        </w:rPr>
        <w:t xml:space="preserve"> billion are more than enough to cover the liabilities, particularly the refund to the members.  However, the difference between the SL and IFMS balance amounting to P1.182 billion should be considered upon reconciliation.  Thus, the System’s liquid assets are not enough to fully cover its obligation to refund members’ contributions and the interests thereon.  To illustrate:</w:t>
      </w:r>
    </w:p>
    <w:p w14:paraId="7DEA234F" w14:textId="77777777" w:rsidR="00A72CC8" w:rsidRPr="00345AA4" w:rsidRDefault="00A72CC8" w:rsidP="00A72CC8">
      <w:pPr>
        <w:pStyle w:val="ListParagraph"/>
        <w:ind w:left="900"/>
        <w:contextualSpacing/>
        <w:jc w:val="both"/>
        <w:rPr>
          <w:rFonts w:ascii="Arial" w:hAnsi="Arial" w:cs="Arial"/>
          <w:color w:val="000000" w:themeColor="text1"/>
          <w:sz w:val="22"/>
          <w:szCs w:val="22"/>
        </w:rPr>
      </w:pPr>
    </w:p>
    <w:tbl>
      <w:tblPr>
        <w:tblW w:w="7740" w:type="dxa"/>
        <w:tblInd w:w="1008" w:type="dxa"/>
        <w:tblLayout w:type="fixed"/>
        <w:tblLook w:val="04A0" w:firstRow="1" w:lastRow="0" w:firstColumn="1" w:lastColumn="0" w:noHBand="0" w:noVBand="1"/>
      </w:tblPr>
      <w:tblGrid>
        <w:gridCol w:w="5400"/>
        <w:gridCol w:w="2340"/>
      </w:tblGrid>
      <w:tr w:rsidR="00345AA4" w:rsidRPr="00345AA4" w14:paraId="78397706" w14:textId="77777777" w:rsidTr="00E41173">
        <w:trPr>
          <w:trHeight w:val="207"/>
        </w:trPr>
        <w:tc>
          <w:tcPr>
            <w:tcW w:w="5400" w:type="dxa"/>
            <w:tcBorders>
              <w:top w:val="single" w:sz="4" w:space="0" w:color="auto"/>
              <w:left w:val="nil"/>
              <w:bottom w:val="single" w:sz="4" w:space="0" w:color="auto"/>
              <w:right w:val="nil"/>
            </w:tcBorders>
            <w:shd w:val="clear" w:color="auto" w:fill="auto"/>
            <w:noWrap/>
            <w:hideMark/>
          </w:tcPr>
          <w:p w14:paraId="1A59983F" w14:textId="77777777" w:rsidR="00A72CC8" w:rsidRPr="00345AA4" w:rsidRDefault="00E91A80" w:rsidP="00375E56">
            <w:pPr>
              <w:spacing w:after="0"/>
              <w:rPr>
                <w:rFonts w:ascii="Arial" w:eastAsia="Times New Roman" w:hAnsi="Arial" w:cs="Arial"/>
                <w:b/>
                <w:bCs/>
                <w:color w:val="000000" w:themeColor="text1"/>
              </w:rPr>
            </w:pPr>
            <w:r w:rsidRPr="00345AA4">
              <w:rPr>
                <w:rFonts w:ascii="Arial" w:eastAsia="Times New Roman" w:hAnsi="Arial" w:cs="Arial"/>
                <w:b/>
                <w:bCs/>
                <w:color w:val="000000" w:themeColor="text1"/>
              </w:rPr>
              <w:t>Liquid a</w:t>
            </w:r>
            <w:r w:rsidR="00A72CC8" w:rsidRPr="00345AA4">
              <w:rPr>
                <w:rFonts w:ascii="Arial" w:eastAsia="Times New Roman" w:hAnsi="Arial" w:cs="Arial"/>
                <w:b/>
                <w:bCs/>
                <w:color w:val="000000" w:themeColor="text1"/>
              </w:rPr>
              <w:t>ssets</w:t>
            </w:r>
          </w:p>
        </w:tc>
        <w:tc>
          <w:tcPr>
            <w:tcW w:w="2340" w:type="dxa"/>
            <w:tcBorders>
              <w:top w:val="single" w:sz="4" w:space="0" w:color="auto"/>
              <w:left w:val="nil"/>
              <w:bottom w:val="single" w:sz="4" w:space="0" w:color="auto"/>
              <w:right w:val="nil"/>
            </w:tcBorders>
            <w:shd w:val="clear" w:color="auto" w:fill="auto"/>
            <w:noWrap/>
            <w:hideMark/>
          </w:tcPr>
          <w:p w14:paraId="7A3256D1" w14:textId="77777777" w:rsidR="00A72CC8" w:rsidRPr="00345AA4" w:rsidRDefault="00A72CC8" w:rsidP="00375E56">
            <w:pPr>
              <w:spacing w:after="0" w:line="240" w:lineRule="auto"/>
              <w:rPr>
                <w:rFonts w:ascii="Arial" w:eastAsia="Times New Roman" w:hAnsi="Arial" w:cs="Arial"/>
                <w:color w:val="000000" w:themeColor="text1"/>
              </w:rPr>
            </w:pPr>
          </w:p>
        </w:tc>
      </w:tr>
      <w:tr w:rsidR="00345AA4" w:rsidRPr="00345AA4" w14:paraId="2E3FC031" w14:textId="77777777" w:rsidTr="00E41173">
        <w:trPr>
          <w:trHeight w:val="300"/>
        </w:trPr>
        <w:tc>
          <w:tcPr>
            <w:tcW w:w="5400" w:type="dxa"/>
            <w:tcBorders>
              <w:top w:val="single" w:sz="4" w:space="0" w:color="auto"/>
              <w:left w:val="nil"/>
              <w:bottom w:val="nil"/>
              <w:right w:val="nil"/>
            </w:tcBorders>
            <w:shd w:val="clear" w:color="auto" w:fill="auto"/>
            <w:noWrap/>
            <w:vAlign w:val="bottom"/>
          </w:tcPr>
          <w:p w14:paraId="4F981EFC" w14:textId="77777777" w:rsidR="00DC1305" w:rsidRPr="00345AA4" w:rsidRDefault="00DC1305" w:rsidP="00B8436C">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Investment in bonds &amp; commercial papers</w:t>
            </w:r>
          </w:p>
        </w:tc>
        <w:tc>
          <w:tcPr>
            <w:tcW w:w="2340" w:type="dxa"/>
            <w:tcBorders>
              <w:top w:val="single" w:sz="4" w:space="0" w:color="auto"/>
              <w:left w:val="nil"/>
              <w:bottom w:val="nil"/>
              <w:right w:val="nil"/>
            </w:tcBorders>
            <w:shd w:val="clear" w:color="auto" w:fill="auto"/>
            <w:noWrap/>
            <w:vAlign w:val="bottom"/>
          </w:tcPr>
          <w:p w14:paraId="19E9827D" w14:textId="77777777" w:rsidR="00DC1305" w:rsidRPr="00345AA4" w:rsidRDefault="00DC1305" w:rsidP="00B8436C">
            <w:pPr>
              <w:spacing w:after="0" w:line="240" w:lineRule="auto"/>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P5,075,285,230 </w:t>
            </w:r>
          </w:p>
        </w:tc>
      </w:tr>
      <w:tr w:rsidR="00345AA4" w:rsidRPr="00345AA4" w14:paraId="522B4F18" w14:textId="77777777" w:rsidTr="00E41173">
        <w:trPr>
          <w:trHeight w:val="135"/>
        </w:trPr>
        <w:tc>
          <w:tcPr>
            <w:tcW w:w="5400" w:type="dxa"/>
            <w:tcBorders>
              <w:top w:val="nil"/>
              <w:left w:val="nil"/>
              <w:bottom w:val="nil"/>
              <w:right w:val="nil"/>
            </w:tcBorders>
            <w:shd w:val="clear" w:color="auto" w:fill="auto"/>
            <w:noWrap/>
            <w:vAlign w:val="bottom"/>
          </w:tcPr>
          <w:p w14:paraId="5EBCD5EA" w14:textId="77777777" w:rsidR="00DC1305" w:rsidRPr="00345AA4" w:rsidRDefault="00DC1305" w:rsidP="00B8436C">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Short-term investments – net</w:t>
            </w:r>
          </w:p>
        </w:tc>
        <w:tc>
          <w:tcPr>
            <w:tcW w:w="2340" w:type="dxa"/>
            <w:tcBorders>
              <w:top w:val="nil"/>
              <w:left w:val="nil"/>
              <w:bottom w:val="nil"/>
              <w:right w:val="nil"/>
            </w:tcBorders>
            <w:shd w:val="clear" w:color="auto" w:fill="auto"/>
            <w:noWrap/>
            <w:vAlign w:val="bottom"/>
          </w:tcPr>
          <w:p w14:paraId="0D67621B" w14:textId="77777777" w:rsidR="00DC1305" w:rsidRPr="00345AA4" w:rsidRDefault="00DC1305" w:rsidP="00B8436C">
            <w:pPr>
              <w:spacing w:after="0" w:line="240" w:lineRule="auto"/>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  3,373,365,014 </w:t>
            </w:r>
          </w:p>
        </w:tc>
      </w:tr>
      <w:tr w:rsidR="00345AA4" w:rsidRPr="00345AA4" w14:paraId="11676674" w14:textId="77777777" w:rsidTr="00E41173">
        <w:trPr>
          <w:trHeight w:val="135"/>
        </w:trPr>
        <w:tc>
          <w:tcPr>
            <w:tcW w:w="5400" w:type="dxa"/>
            <w:tcBorders>
              <w:top w:val="nil"/>
              <w:left w:val="nil"/>
              <w:bottom w:val="nil"/>
              <w:right w:val="nil"/>
            </w:tcBorders>
            <w:shd w:val="clear" w:color="auto" w:fill="auto"/>
            <w:noWrap/>
            <w:vAlign w:val="bottom"/>
          </w:tcPr>
          <w:p w14:paraId="628628C7" w14:textId="77777777" w:rsidR="00DC1305" w:rsidRPr="00345AA4" w:rsidRDefault="00DC1305" w:rsidP="00B8436C">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Cash and cash equivalents</w:t>
            </w:r>
          </w:p>
        </w:tc>
        <w:tc>
          <w:tcPr>
            <w:tcW w:w="2340" w:type="dxa"/>
            <w:tcBorders>
              <w:top w:val="nil"/>
              <w:left w:val="nil"/>
              <w:bottom w:val="nil"/>
              <w:right w:val="nil"/>
            </w:tcBorders>
            <w:shd w:val="clear" w:color="auto" w:fill="auto"/>
            <w:noWrap/>
            <w:vAlign w:val="bottom"/>
          </w:tcPr>
          <w:p w14:paraId="4FD74B0F" w14:textId="77777777" w:rsidR="00DC1305" w:rsidRPr="00345AA4" w:rsidRDefault="00DC1305" w:rsidP="00B8436C">
            <w:pPr>
              <w:spacing w:after="0" w:line="240" w:lineRule="auto"/>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   898,380,540 </w:t>
            </w:r>
          </w:p>
        </w:tc>
      </w:tr>
      <w:tr w:rsidR="00345AA4" w:rsidRPr="00345AA4" w14:paraId="1680FB5F" w14:textId="77777777" w:rsidTr="00E41173">
        <w:trPr>
          <w:trHeight w:val="135"/>
        </w:trPr>
        <w:tc>
          <w:tcPr>
            <w:tcW w:w="5400" w:type="dxa"/>
            <w:tcBorders>
              <w:top w:val="nil"/>
              <w:left w:val="nil"/>
              <w:bottom w:val="nil"/>
              <w:right w:val="nil"/>
            </w:tcBorders>
            <w:shd w:val="clear" w:color="auto" w:fill="auto"/>
            <w:noWrap/>
            <w:vAlign w:val="bottom"/>
          </w:tcPr>
          <w:p w14:paraId="46D2281D" w14:textId="77777777" w:rsidR="00DC1305" w:rsidRPr="00345AA4" w:rsidRDefault="00DC1305" w:rsidP="00B8436C">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Accrued interest and receivables</w:t>
            </w:r>
          </w:p>
        </w:tc>
        <w:tc>
          <w:tcPr>
            <w:tcW w:w="2340" w:type="dxa"/>
            <w:tcBorders>
              <w:top w:val="nil"/>
              <w:left w:val="nil"/>
              <w:bottom w:val="nil"/>
              <w:right w:val="nil"/>
            </w:tcBorders>
            <w:shd w:val="clear" w:color="auto" w:fill="auto"/>
            <w:noWrap/>
            <w:vAlign w:val="bottom"/>
          </w:tcPr>
          <w:p w14:paraId="0759AE51" w14:textId="77777777" w:rsidR="00DC1305" w:rsidRPr="00345AA4" w:rsidRDefault="00DC1305" w:rsidP="00B8436C">
            <w:pPr>
              <w:spacing w:after="0" w:line="240" w:lineRule="auto"/>
              <w:jc w:val="right"/>
              <w:rPr>
                <w:rFonts w:ascii="Arial" w:eastAsia="Times New Roman" w:hAnsi="Arial" w:cs="Arial"/>
                <w:color w:val="000000" w:themeColor="text1"/>
              </w:rPr>
            </w:pPr>
            <w:r w:rsidRPr="00345AA4">
              <w:rPr>
                <w:rFonts w:ascii="Arial" w:eastAsia="Times New Roman" w:hAnsi="Arial" w:cs="Arial"/>
                <w:color w:val="000000" w:themeColor="text1"/>
              </w:rPr>
              <w:t>49,865,747</w:t>
            </w:r>
          </w:p>
        </w:tc>
      </w:tr>
      <w:tr w:rsidR="00345AA4" w:rsidRPr="00345AA4" w14:paraId="0B6AA4BE" w14:textId="77777777" w:rsidTr="00E41173">
        <w:trPr>
          <w:trHeight w:val="135"/>
        </w:trPr>
        <w:tc>
          <w:tcPr>
            <w:tcW w:w="5400" w:type="dxa"/>
            <w:tcBorders>
              <w:top w:val="nil"/>
              <w:left w:val="nil"/>
              <w:bottom w:val="nil"/>
              <w:right w:val="nil"/>
            </w:tcBorders>
            <w:shd w:val="clear" w:color="auto" w:fill="auto"/>
            <w:noWrap/>
            <w:vAlign w:val="bottom"/>
          </w:tcPr>
          <w:p w14:paraId="6D3829DA" w14:textId="77777777" w:rsidR="00DC1305" w:rsidRPr="00345AA4" w:rsidRDefault="00DC1305" w:rsidP="00375E56">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Non-current investments</w:t>
            </w:r>
          </w:p>
        </w:tc>
        <w:tc>
          <w:tcPr>
            <w:tcW w:w="2340" w:type="dxa"/>
            <w:tcBorders>
              <w:top w:val="nil"/>
              <w:left w:val="nil"/>
              <w:bottom w:val="nil"/>
              <w:right w:val="nil"/>
            </w:tcBorders>
            <w:shd w:val="clear" w:color="auto" w:fill="auto"/>
            <w:noWrap/>
            <w:vAlign w:val="bottom"/>
          </w:tcPr>
          <w:p w14:paraId="1EAA6ED5" w14:textId="77777777" w:rsidR="00DC1305" w:rsidRPr="00345AA4" w:rsidRDefault="00DC1305" w:rsidP="00375E56">
            <w:pPr>
              <w:spacing w:after="0" w:line="240" w:lineRule="auto"/>
              <w:jc w:val="right"/>
              <w:rPr>
                <w:rFonts w:ascii="Arial" w:eastAsia="Times New Roman" w:hAnsi="Arial" w:cs="Arial"/>
                <w:color w:val="000000" w:themeColor="text1"/>
              </w:rPr>
            </w:pPr>
            <w:r w:rsidRPr="00345AA4">
              <w:rPr>
                <w:rFonts w:ascii="Arial" w:eastAsia="Times New Roman" w:hAnsi="Arial" w:cs="Arial"/>
                <w:color w:val="000000" w:themeColor="text1"/>
              </w:rPr>
              <w:t>32,246,271</w:t>
            </w:r>
          </w:p>
        </w:tc>
      </w:tr>
      <w:tr w:rsidR="00345AA4" w:rsidRPr="00345AA4" w14:paraId="0340A6DE" w14:textId="77777777" w:rsidTr="00E41173">
        <w:trPr>
          <w:trHeight w:val="300"/>
        </w:trPr>
        <w:tc>
          <w:tcPr>
            <w:tcW w:w="5400" w:type="dxa"/>
            <w:tcBorders>
              <w:top w:val="single" w:sz="4" w:space="0" w:color="auto"/>
              <w:left w:val="nil"/>
              <w:bottom w:val="single" w:sz="4" w:space="0" w:color="auto"/>
              <w:right w:val="nil"/>
            </w:tcBorders>
            <w:shd w:val="clear" w:color="auto" w:fill="auto"/>
            <w:noWrap/>
            <w:vAlign w:val="bottom"/>
          </w:tcPr>
          <w:p w14:paraId="153ECBD1" w14:textId="77777777" w:rsidR="00DC1305" w:rsidRPr="00345AA4" w:rsidRDefault="00DC1305" w:rsidP="00375E56">
            <w:pPr>
              <w:spacing w:after="0" w:line="240" w:lineRule="auto"/>
              <w:ind w:firstLineChars="200" w:firstLine="440"/>
              <w:rPr>
                <w:rFonts w:ascii="Arial" w:eastAsia="Times New Roman" w:hAnsi="Arial" w:cs="Arial"/>
                <w:color w:val="000000" w:themeColor="text1"/>
              </w:rPr>
            </w:pPr>
          </w:p>
        </w:tc>
        <w:tc>
          <w:tcPr>
            <w:tcW w:w="2340" w:type="dxa"/>
            <w:tcBorders>
              <w:top w:val="single" w:sz="4" w:space="0" w:color="auto"/>
              <w:left w:val="nil"/>
              <w:bottom w:val="single" w:sz="4" w:space="0" w:color="auto"/>
              <w:right w:val="nil"/>
            </w:tcBorders>
            <w:shd w:val="clear" w:color="auto" w:fill="auto"/>
            <w:noWrap/>
            <w:vAlign w:val="bottom"/>
            <w:hideMark/>
          </w:tcPr>
          <w:p w14:paraId="251DCCA5" w14:textId="77777777" w:rsidR="00DC1305" w:rsidRPr="00345AA4" w:rsidRDefault="00DC1305" w:rsidP="00375E56">
            <w:pPr>
              <w:spacing w:after="0" w:line="240" w:lineRule="auto"/>
              <w:jc w:val="right"/>
              <w:rPr>
                <w:rFonts w:ascii="Arial" w:eastAsia="Times New Roman" w:hAnsi="Arial" w:cs="Arial"/>
                <w:b/>
                <w:color w:val="000000" w:themeColor="text1"/>
              </w:rPr>
            </w:pPr>
            <w:r w:rsidRPr="00345AA4">
              <w:rPr>
                <w:rFonts w:ascii="Arial" w:eastAsia="Times New Roman" w:hAnsi="Arial" w:cs="Arial"/>
                <w:b/>
                <w:color w:val="000000" w:themeColor="text1"/>
              </w:rPr>
              <w:t xml:space="preserve">P9,429,142,802 </w:t>
            </w:r>
          </w:p>
        </w:tc>
      </w:tr>
      <w:tr w:rsidR="00345AA4" w:rsidRPr="00345AA4" w14:paraId="2923B962" w14:textId="77777777" w:rsidTr="00E41173">
        <w:trPr>
          <w:trHeight w:val="297"/>
        </w:trPr>
        <w:tc>
          <w:tcPr>
            <w:tcW w:w="5400" w:type="dxa"/>
            <w:tcBorders>
              <w:top w:val="single" w:sz="4" w:space="0" w:color="auto"/>
              <w:left w:val="nil"/>
              <w:bottom w:val="single" w:sz="4" w:space="0" w:color="auto"/>
              <w:right w:val="nil"/>
            </w:tcBorders>
            <w:shd w:val="clear" w:color="auto" w:fill="auto"/>
            <w:noWrap/>
            <w:vAlign w:val="bottom"/>
            <w:hideMark/>
          </w:tcPr>
          <w:p w14:paraId="624E4CB7" w14:textId="77777777" w:rsidR="00DC1305" w:rsidRPr="00345AA4" w:rsidRDefault="00DC1305" w:rsidP="00375E56">
            <w:pPr>
              <w:spacing w:after="0" w:line="240" w:lineRule="auto"/>
              <w:rPr>
                <w:rFonts w:ascii="Arial" w:eastAsia="Times New Roman" w:hAnsi="Arial" w:cs="Arial"/>
                <w:b/>
                <w:bCs/>
                <w:color w:val="000000" w:themeColor="text1"/>
              </w:rPr>
            </w:pPr>
            <w:r w:rsidRPr="00345AA4">
              <w:rPr>
                <w:rFonts w:ascii="Arial" w:eastAsia="Times New Roman" w:hAnsi="Arial" w:cs="Arial"/>
                <w:b/>
                <w:bCs/>
                <w:color w:val="000000" w:themeColor="text1"/>
              </w:rPr>
              <w:t>MC payable and interest</w:t>
            </w:r>
          </w:p>
        </w:tc>
        <w:tc>
          <w:tcPr>
            <w:tcW w:w="2340" w:type="dxa"/>
            <w:tcBorders>
              <w:top w:val="single" w:sz="4" w:space="0" w:color="auto"/>
              <w:left w:val="nil"/>
              <w:bottom w:val="single" w:sz="4" w:space="0" w:color="auto"/>
              <w:right w:val="nil"/>
            </w:tcBorders>
            <w:shd w:val="clear" w:color="auto" w:fill="auto"/>
            <w:noWrap/>
            <w:vAlign w:val="bottom"/>
            <w:hideMark/>
          </w:tcPr>
          <w:p w14:paraId="70E1FFEA" w14:textId="77777777" w:rsidR="00DC1305" w:rsidRPr="00345AA4" w:rsidRDefault="00DC1305" w:rsidP="00375E56">
            <w:pPr>
              <w:spacing w:after="0" w:line="240" w:lineRule="auto"/>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   9,561,807,378 </w:t>
            </w:r>
          </w:p>
        </w:tc>
      </w:tr>
      <w:tr w:rsidR="0070610D" w:rsidRPr="00345AA4" w14:paraId="7CBD8EA4" w14:textId="77777777" w:rsidTr="00E41173">
        <w:trPr>
          <w:trHeight w:val="315"/>
        </w:trPr>
        <w:tc>
          <w:tcPr>
            <w:tcW w:w="5400" w:type="dxa"/>
            <w:tcBorders>
              <w:top w:val="single" w:sz="4" w:space="0" w:color="auto"/>
              <w:left w:val="nil"/>
              <w:bottom w:val="double" w:sz="4" w:space="0" w:color="auto"/>
              <w:right w:val="nil"/>
            </w:tcBorders>
            <w:shd w:val="clear" w:color="auto" w:fill="auto"/>
            <w:noWrap/>
            <w:vAlign w:val="bottom"/>
            <w:hideMark/>
          </w:tcPr>
          <w:p w14:paraId="5A8BA45D" w14:textId="77777777" w:rsidR="00DC1305" w:rsidRPr="00345AA4" w:rsidRDefault="00DC1305" w:rsidP="00375E56">
            <w:pPr>
              <w:spacing w:after="0" w:line="240" w:lineRule="auto"/>
              <w:rPr>
                <w:rFonts w:ascii="Arial" w:eastAsia="Times New Roman" w:hAnsi="Arial" w:cs="Arial"/>
                <w:b/>
                <w:bCs/>
                <w:color w:val="000000" w:themeColor="text1"/>
              </w:rPr>
            </w:pPr>
            <w:r w:rsidRPr="00345AA4">
              <w:rPr>
                <w:rFonts w:ascii="Arial" w:eastAsia="Times New Roman" w:hAnsi="Arial" w:cs="Arial"/>
                <w:b/>
                <w:bCs/>
                <w:color w:val="000000" w:themeColor="text1"/>
              </w:rPr>
              <w:t>Deficiency</w:t>
            </w:r>
          </w:p>
        </w:tc>
        <w:tc>
          <w:tcPr>
            <w:tcW w:w="2340" w:type="dxa"/>
            <w:tcBorders>
              <w:top w:val="single" w:sz="4" w:space="0" w:color="auto"/>
              <w:left w:val="nil"/>
              <w:bottom w:val="double" w:sz="4" w:space="0" w:color="auto"/>
              <w:right w:val="nil"/>
            </w:tcBorders>
            <w:shd w:val="clear" w:color="auto" w:fill="auto"/>
            <w:noWrap/>
            <w:vAlign w:val="bottom"/>
            <w:hideMark/>
          </w:tcPr>
          <w:p w14:paraId="3A2D73BB" w14:textId="77777777" w:rsidR="00DC1305" w:rsidRPr="00345AA4" w:rsidRDefault="00DC1305" w:rsidP="00375E56">
            <w:pPr>
              <w:spacing w:after="0" w:line="240" w:lineRule="auto"/>
              <w:jc w:val="right"/>
              <w:rPr>
                <w:rFonts w:ascii="Arial" w:eastAsia="Times New Roman" w:hAnsi="Arial" w:cs="Arial"/>
                <w:b/>
                <w:color w:val="000000" w:themeColor="text1"/>
              </w:rPr>
            </w:pPr>
            <w:r w:rsidRPr="00345AA4">
              <w:rPr>
                <w:rFonts w:ascii="Arial" w:eastAsia="Times New Roman" w:hAnsi="Arial" w:cs="Arial"/>
                <w:b/>
                <w:color w:val="000000" w:themeColor="text1"/>
              </w:rPr>
              <w:t xml:space="preserve">    P   </w:t>
            </w:r>
            <w:r w:rsidR="0070610D" w:rsidRPr="00345AA4">
              <w:rPr>
                <w:rFonts w:ascii="Arial" w:eastAsia="Times New Roman" w:hAnsi="Arial" w:cs="Arial"/>
                <w:b/>
                <w:color w:val="000000" w:themeColor="text1"/>
              </w:rPr>
              <w:t>132,664,576</w:t>
            </w:r>
          </w:p>
        </w:tc>
      </w:tr>
    </w:tbl>
    <w:p w14:paraId="0F16353F" w14:textId="77777777" w:rsidR="00A72CC8" w:rsidRPr="00345AA4" w:rsidRDefault="00A72CC8" w:rsidP="00A72CC8">
      <w:pPr>
        <w:pStyle w:val="ListParagraph"/>
        <w:ind w:left="0"/>
        <w:contextualSpacing/>
        <w:jc w:val="both"/>
        <w:rPr>
          <w:rFonts w:ascii="Arial" w:hAnsi="Arial" w:cs="Arial"/>
          <w:color w:val="000000" w:themeColor="text1"/>
          <w:sz w:val="22"/>
          <w:szCs w:val="22"/>
        </w:rPr>
      </w:pPr>
    </w:p>
    <w:p w14:paraId="62057B8A" w14:textId="2E5BB90E" w:rsidR="00A72CC8" w:rsidRPr="00345AA4" w:rsidRDefault="00A72CC8" w:rsidP="00A72CC8">
      <w:pPr>
        <w:pStyle w:val="ListParagraph"/>
        <w:numPr>
          <w:ilvl w:val="1"/>
          <w:numId w:val="1"/>
        </w:numPr>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Moreover, there is no supporting schedule provided for the details of the Estimated liability on MC earnings account.  The System failed to update the records of the members’ individual SLs, thus, the correct amount of MCs that should be transferred to the GFI, as Trustee, cannot be determined and the implementation of EO Nos. 590 and 590-A and MO No. 90 on the transfer of MC to the GFI Trustee cannot be facilitated.</w:t>
      </w:r>
    </w:p>
    <w:p w14:paraId="07614C2E" w14:textId="77777777" w:rsidR="00A72CC8" w:rsidRPr="00345AA4" w:rsidRDefault="00A72CC8" w:rsidP="00A72CC8">
      <w:pPr>
        <w:pStyle w:val="ListParagraph"/>
        <w:ind w:left="900"/>
        <w:contextualSpacing/>
        <w:jc w:val="both"/>
        <w:rPr>
          <w:rFonts w:ascii="Arial" w:hAnsi="Arial" w:cs="Arial"/>
          <w:color w:val="000000" w:themeColor="text1"/>
          <w:sz w:val="22"/>
          <w:szCs w:val="22"/>
        </w:rPr>
      </w:pPr>
    </w:p>
    <w:p w14:paraId="3AB43B88" w14:textId="77777777" w:rsidR="00A72CC8" w:rsidRPr="00345AA4" w:rsidRDefault="00A72CC8" w:rsidP="00A72CC8">
      <w:pPr>
        <w:pStyle w:val="ListParagraph"/>
        <w:numPr>
          <w:ilvl w:val="1"/>
          <w:numId w:val="1"/>
        </w:numPr>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Continuous updating of the accounts is being performed by the System to determine the accurate amount of refund of MC and the interest earned thereon.  However, the balance of the two accounts cannot be relied upon due to the absence of updated individual ledger of MC which is contrary to Paragraph 15 of PAS 1 and Section 111 of PD No. 1445.</w:t>
      </w:r>
    </w:p>
    <w:p w14:paraId="2F5C9A70" w14:textId="77777777" w:rsidR="00A72CC8" w:rsidRPr="00345AA4" w:rsidRDefault="00A72CC8" w:rsidP="00A72CC8">
      <w:pPr>
        <w:pStyle w:val="ListParagraph"/>
        <w:ind w:left="900"/>
        <w:contextualSpacing/>
        <w:jc w:val="both"/>
        <w:rPr>
          <w:rFonts w:ascii="Arial" w:hAnsi="Arial" w:cs="Arial"/>
          <w:color w:val="000000" w:themeColor="text1"/>
          <w:sz w:val="22"/>
          <w:szCs w:val="22"/>
        </w:rPr>
      </w:pPr>
    </w:p>
    <w:p w14:paraId="0E9D7FDA" w14:textId="27092C94" w:rsidR="00A72CC8" w:rsidRPr="00345AA4" w:rsidRDefault="00A72CC8" w:rsidP="00A72CC8">
      <w:pPr>
        <w:pStyle w:val="ListParagraph"/>
        <w:numPr>
          <w:ilvl w:val="1"/>
          <w:numId w:val="1"/>
        </w:numPr>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It is the System’s responsibility to have a complete, updated and accurate individual SL of MC since this will be the basis in the computation of the members refund and the corresponding interest thereon, thus, failure to do so affects their benefit</w:t>
      </w:r>
      <w:r w:rsidR="00EA186C" w:rsidRPr="00345AA4">
        <w:rPr>
          <w:rFonts w:ascii="Arial" w:hAnsi="Arial" w:cs="Arial"/>
          <w:color w:val="000000" w:themeColor="text1"/>
          <w:sz w:val="22"/>
          <w:szCs w:val="22"/>
        </w:rPr>
        <w:t xml:space="preserve"> claims </w:t>
      </w:r>
      <w:r w:rsidRPr="00345AA4">
        <w:rPr>
          <w:rFonts w:ascii="Arial" w:hAnsi="Arial" w:cs="Arial"/>
          <w:color w:val="000000" w:themeColor="text1"/>
          <w:sz w:val="22"/>
          <w:szCs w:val="22"/>
        </w:rPr>
        <w:t>and prolong</w:t>
      </w:r>
      <w:r w:rsidR="00EA186C" w:rsidRPr="00345AA4">
        <w:rPr>
          <w:rFonts w:ascii="Arial" w:hAnsi="Arial" w:cs="Arial"/>
          <w:color w:val="000000" w:themeColor="text1"/>
          <w:sz w:val="22"/>
          <w:szCs w:val="22"/>
        </w:rPr>
        <w:t>s</w:t>
      </w:r>
      <w:r w:rsidRPr="00345AA4">
        <w:rPr>
          <w:rFonts w:ascii="Arial" w:hAnsi="Arial" w:cs="Arial"/>
          <w:color w:val="000000" w:themeColor="text1"/>
          <w:sz w:val="22"/>
          <w:szCs w:val="22"/>
        </w:rPr>
        <w:t xml:space="preserve"> the liquidation process of AFPRSBS.</w:t>
      </w:r>
    </w:p>
    <w:p w14:paraId="4B3E7469" w14:textId="77777777" w:rsidR="00A72CC8" w:rsidRPr="00345AA4" w:rsidRDefault="00A72CC8" w:rsidP="00A72CC8">
      <w:pPr>
        <w:pStyle w:val="ListParagraph"/>
        <w:rPr>
          <w:rFonts w:ascii="Arial" w:hAnsi="Arial" w:cs="Arial"/>
          <w:b/>
          <w:color w:val="000000" w:themeColor="text1"/>
          <w:sz w:val="22"/>
          <w:szCs w:val="22"/>
        </w:rPr>
      </w:pPr>
    </w:p>
    <w:p w14:paraId="3604AC0C" w14:textId="77777777" w:rsidR="00A72CC8" w:rsidRPr="00345AA4" w:rsidRDefault="00A72CC8" w:rsidP="00A72CC8">
      <w:pPr>
        <w:pStyle w:val="ListParagraph"/>
        <w:numPr>
          <w:ilvl w:val="1"/>
          <w:numId w:val="1"/>
        </w:numPr>
        <w:ind w:left="900" w:hanging="540"/>
        <w:contextualSpacing/>
        <w:jc w:val="both"/>
        <w:rPr>
          <w:rFonts w:ascii="Arial" w:hAnsi="Arial" w:cs="Arial"/>
          <w:color w:val="000000" w:themeColor="text1"/>
          <w:sz w:val="22"/>
          <w:szCs w:val="22"/>
        </w:rPr>
      </w:pPr>
      <w:r w:rsidRPr="00345AA4">
        <w:rPr>
          <w:rFonts w:ascii="Arial" w:hAnsi="Arial" w:cs="Arial"/>
          <w:b/>
          <w:color w:val="000000" w:themeColor="text1"/>
          <w:sz w:val="22"/>
          <w:szCs w:val="22"/>
        </w:rPr>
        <w:t>We reiterated our CY 2018 recommendation that Management update and reconcile the SLs of the IFMS with the books of accounts maintained by the AD in preparation for the transfer of the records of MC to the G</w:t>
      </w:r>
      <w:r w:rsidR="00860220" w:rsidRPr="00345AA4">
        <w:rPr>
          <w:rFonts w:ascii="Arial" w:hAnsi="Arial" w:cs="Arial"/>
          <w:b/>
          <w:color w:val="000000" w:themeColor="text1"/>
          <w:sz w:val="22"/>
          <w:szCs w:val="22"/>
        </w:rPr>
        <w:t>FI Trustee in accordance with EO</w:t>
      </w:r>
      <w:r w:rsidRPr="00345AA4">
        <w:rPr>
          <w:rFonts w:ascii="Arial" w:hAnsi="Arial" w:cs="Arial"/>
          <w:b/>
          <w:color w:val="000000" w:themeColor="text1"/>
          <w:sz w:val="22"/>
          <w:szCs w:val="22"/>
        </w:rPr>
        <w:t xml:space="preserve"> Nos.</w:t>
      </w:r>
      <w:r w:rsidR="00860220" w:rsidRPr="00345AA4">
        <w:rPr>
          <w:rFonts w:ascii="Arial" w:hAnsi="Arial" w:cs="Arial"/>
          <w:b/>
          <w:color w:val="000000" w:themeColor="text1"/>
          <w:sz w:val="22"/>
          <w:szCs w:val="22"/>
        </w:rPr>
        <w:t xml:space="preserve"> 590 and 590-A, as amended by MO</w:t>
      </w:r>
      <w:r w:rsidRPr="00345AA4">
        <w:rPr>
          <w:rFonts w:ascii="Arial" w:hAnsi="Arial" w:cs="Arial"/>
          <w:b/>
          <w:color w:val="000000" w:themeColor="text1"/>
          <w:sz w:val="22"/>
          <w:szCs w:val="22"/>
        </w:rPr>
        <w:t xml:space="preserve"> No. 90.</w:t>
      </w:r>
    </w:p>
    <w:p w14:paraId="6C492245" w14:textId="77777777" w:rsidR="00A72CC8" w:rsidRPr="00345AA4" w:rsidRDefault="00A72CC8" w:rsidP="00A72CC8">
      <w:pPr>
        <w:pStyle w:val="ListParagraph"/>
        <w:rPr>
          <w:rFonts w:ascii="Arial" w:hAnsi="Arial" w:cs="Arial"/>
          <w:color w:val="000000" w:themeColor="text1"/>
          <w:sz w:val="22"/>
          <w:szCs w:val="22"/>
        </w:rPr>
      </w:pPr>
    </w:p>
    <w:p w14:paraId="4CB4B012" w14:textId="77777777" w:rsidR="00A72CC8" w:rsidRPr="00345AA4" w:rsidRDefault="00A72CC8" w:rsidP="00A72CC8">
      <w:pPr>
        <w:pStyle w:val="ListParagraph"/>
        <w:numPr>
          <w:ilvl w:val="1"/>
          <w:numId w:val="1"/>
        </w:numPr>
        <w:ind w:left="900" w:hanging="540"/>
        <w:contextualSpacing/>
        <w:jc w:val="both"/>
        <w:rPr>
          <w:rFonts w:ascii="Arial" w:hAnsi="Arial" w:cs="Arial"/>
          <w:b/>
          <w:bCs/>
          <w:color w:val="000000" w:themeColor="text1"/>
          <w:sz w:val="22"/>
          <w:szCs w:val="22"/>
        </w:rPr>
      </w:pPr>
      <w:r w:rsidRPr="00345AA4">
        <w:rPr>
          <w:rFonts w:ascii="Arial" w:hAnsi="Arial" w:cs="Arial"/>
          <w:b/>
          <w:bCs/>
          <w:color w:val="000000" w:themeColor="text1"/>
          <w:sz w:val="22"/>
          <w:szCs w:val="22"/>
        </w:rPr>
        <w:t>We further recommended that Management continue the disposal of individual residential units, in addition to the Bonds and commercial papers, to fully cover the obligation to refund members’ contributions and interests thereon.</w:t>
      </w:r>
    </w:p>
    <w:p w14:paraId="613732F4" w14:textId="77777777" w:rsidR="00C239B6" w:rsidRPr="00C47B53" w:rsidRDefault="00C239B6" w:rsidP="00C47B53">
      <w:pPr>
        <w:contextualSpacing/>
        <w:jc w:val="both"/>
        <w:rPr>
          <w:rFonts w:ascii="Arial" w:hAnsi="Arial" w:cs="Arial"/>
          <w:color w:val="000000" w:themeColor="text1"/>
        </w:rPr>
      </w:pPr>
    </w:p>
    <w:p w14:paraId="2DAAEEAC" w14:textId="77777777" w:rsidR="00A72CC8" w:rsidRPr="00345AA4" w:rsidRDefault="00A72CC8" w:rsidP="00A72CC8">
      <w:pPr>
        <w:pStyle w:val="ListParagraph"/>
        <w:numPr>
          <w:ilvl w:val="1"/>
          <w:numId w:val="1"/>
        </w:numPr>
        <w:ind w:left="900" w:hanging="540"/>
        <w:contextualSpacing/>
        <w:jc w:val="both"/>
        <w:rPr>
          <w:rStyle w:val="Strong"/>
          <w:rFonts w:ascii="Arial" w:hAnsi="Arial" w:cs="Arial"/>
          <w:b w:val="0"/>
          <w:color w:val="000000" w:themeColor="text1"/>
          <w:sz w:val="22"/>
          <w:szCs w:val="22"/>
        </w:rPr>
      </w:pPr>
      <w:r w:rsidRPr="00345AA4">
        <w:rPr>
          <w:rStyle w:val="Strong"/>
          <w:rFonts w:ascii="Arial" w:hAnsi="Arial" w:cs="Arial"/>
          <w:b w:val="0"/>
          <w:color w:val="000000" w:themeColor="text1"/>
          <w:sz w:val="22"/>
          <w:szCs w:val="22"/>
        </w:rPr>
        <w:t>Management commented the following:</w:t>
      </w:r>
    </w:p>
    <w:p w14:paraId="11930099" w14:textId="77777777" w:rsidR="00A72CC8" w:rsidRPr="00345AA4" w:rsidRDefault="00A72CC8" w:rsidP="00A72CC8">
      <w:pPr>
        <w:pStyle w:val="ListParagraph"/>
        <w:rPr>
          <w:rStyle w:val="Strong"/>
          <w:rFonts w:ascii="Arial" w:hAnsi="Arial" w:cs="Arial"/>
          <w:b w:val="0"/>
          <w:color w:val="000000" w:themeColor="text1"/>
          <w:sz w:val="22"/>
          <w:szCs w:val="22"/>
        </w:rPr>
      </w:pPr>
    </w:p>
    <w:p w14:paraId="4F8AA554" w14:textId="77777777" w:rsidR="00A72CC8" w:rsidRPr="00345AA4" w:rsidRDefault="00A72CC8" w:rsidP="00A72CC8">
      <w:pPr>
        <w:pStyle w:val="ListParagraph"/>
        <w:numPr>
          <w:ilvl w:val="2"/>
          <w:numId w:val="1"/>
        </w:numPr>
        <w:ind w:left="1418" w:right="-7" w:hanging="567"/>
        <w:contextualSpacing/>
        <w:jc w:val="both"/>
        <w:rPr>
          <w:rStyle w:val="Strong"/>
          <w:rFonts w:ascii="Arial" w:hAnsi="Arial" w:cs="Arial"/>
          <w:b w:val="0"/>
          <w:color w:val="000000" w:themeColor="text1"/>
          <w:sz w:val="22"/>
          <w:szCs w:val="22"/>
        </w:rPr>
      </w:pPr>
      <w:r w:rsidRPr="00345AA4">
        <w:rPr>
          <w:rStyle w:val="Strong"/>
          <w:rFonts w:ascii="Arial" w:hAnsi="Arial" w:cs="Arial"/>
          <w:b w:val="0"/>
          <w:color w:val="000000" w:themeColor="text1"/>
          <w:sz w:val="22"/>
          <w:szCs w:val="22"/>
        </w:rPr>
        <w:t xml:space="preserve">Continuous efforts are being done to reconcile the SLs of the members per IFMS and the books of accounts maintained by AD.  From the P4.914 billion discrepancy in July 2015, the accomplishments are </w:t>
      </w:r>
      <w:r w:rsidR="00544070" w:rsidRPr="00345AA4">
        <w:rPr>
          <w:rStyle w:val="Strong"/>
          <w:rFonts w:ascii="Arial" w:hAnsi="Arial" w:cs="Arial"/>
          <w:b w:val="0"/>
          <w:color w:val="000000" w:themeColor="text1"/>
          <w:sz w:val="22"/>
          <w:szCs w:val="22"/>
        </w:rPr>
        <w:t>as follows</w:t>
      </w:r>
      <w:r w:rsidRPr="00345AA4">
        <w:rPr>
          <w:rStyle w:val="Strong"/>
          <w:rFonts w:ascii="Arial" w:hAnsi="Arial" w:cs="Arial"/>
          <w:b w:val="0"/>
          <w:color w:val="000000" w:themeColor="text1"/>
          <w:sz w:val="22"/>
          <w:szCs w:val="22"/>
        </w:rPr>
        <w:t>:</w:t>
      </w:r>
    </w:p>
    <w:p w14:paraId="14F566C1" w14:textId="77777777" w:rsidR="00A72CC8" w:rsidRPr="00345AA4" w:rsidRDefault="00A72CC8" w:rsidP="00A72CC8">
      <w:pPr>
        <w:pStyle w:val="ListParagraph"/>
        <w:ind w:left="851"/>
        <w:contextualSpacing/>
        <w:jc w:val="both"/>
        <w:rPr>
          <w:rStyle w:val="Strong"/>
          <w:rFonts w:ascii="Arial" w:hAnsi="Arial" w:cs="Arial"/>
          <w:b w:val="0"/>
          <w:color w:val="000000" w:themeColor="text1"/>
          <w:sz w:val="22"/>
          <w:szCs w:val="22"/>
        </w:rPr>
      </w:pPr>
    </w:p>
    <w:tbl>
      <w:tblPr>
        <w:tblStyle w:val="TableGrid"/>
        <w:tblW w:w="7200" w:type="dxa"/>
        <w:tblInd w:w="1548"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55"/>
        <w:gridCol w:w="2553"/>
        <w:gridCol w:w="2692"/>
      </w:tblGrid>
      <w:tr w:rsidR="00345AA4" w:rsidRPr="00345AA4" w14:paraId="1BA2BB84" w14:textId="77777777" w:rsidTr="00E41173">
        <w:trPr>
          <w:trHeight w:val="250"/>
        </w:trPr>
        <w:tc>
          <w:tcPr>
            <w:tcW w:w="1955" w:type="dxa"/>
            <w:tcBorders>
              <w:bottom w:val="single" w:sz="4" w:space="0" w:color="auto"/>
            </w:tcBorders>
          </w:tcPr>
          <w:p w14:paraId="2573A86C" w14:textId="77777777" w:rsidR="00A72CC8" w:rsidRPr="00345AA4" w:rsidRDefault="00CA0DCF" w:rsidP="00375E56">
            <w:pPr>
              <w:pStyle w:val="ListParagraph"/>
              <w:ind w:left="0"/>
              <w:contextualSpacing/>
              <w:jc w:val="center"/>
              <w:rPr>
                <w:rStyle w:val="Strong"/>
                <w:rFonts w:ascii="Arial" w:hAnsi="Arial" w:cs="Arial"/>
                <w:b w:val="0"/>
                <w:color w:val="000000" w:themeColor="text1"/>
                <w:sz w:val="22"/>
                <w:szCs w:val="22"/>
              </w:rPr>
            </w:pPr>
            <w:r w:rsidRPr="00345AA4">
              <w:rPr>
                <w:rStyle w:val="Strong"/>
                <w:rFonts w:ascii="Arial" w:hAnsi="Arial" w:cs="Arial"/>
                <w:b w:val="0"/>
                <w:color w:val="000000" w:themeColor="text1"/>
                <w:sz w:val="22"/>
                <w:szCs w:val="22"/>
              </w:rPr>
              <w:t>Cut-off date</w:t>
            </w:r>
          </w:p>
        </w:tc>
        <w:tc>
          <w:tcPr>
            <w:tcW w:w="2553" w:type="dxa"/>
            <w:tcBorders>
              <w:bottom w:val="single" w:sz="4" w:space="0" w:color="auto"/>
            </w:tcBorders>
          </w:tcPr>
          <w:p w14:paraId="6110F473" w14:textId="77777777" w:rsidR="00544070" w:rsidRPr="00345AA4" w:rsidRDefault="00A72CC8" w:rsidP="00375E56">
            <w:pPr>
              <w:pStyle w:val="ListParagraph"/>
              <w:ind w:left="0"/>
              <w:contextualSpacing/>
              <w:jc w:val="center"/>
              <w:rPr>
                <w:rStyle w:val="Strong"/>
                <w:rFonts w:ascii="Arial" w:hAnsi="Arial" w:cs="Arial"/>
                <w:b w:val="0"/>
                <w:color w:val="000000" w:themeColor="text1"/>
                <w:sz w:val="22"/>
                <w:szCs w:val="22"/>
              </w:rPr>
            </w:pPr>
            <w:r w:rsidRPr="00345AA4">
              <w:rPr>
                <w:rStyle w:val="Strong"/>
                <w:rFonts w:ascii="Arial" w:hAnsi="Arial" w:cs="Arial"/>
                <w:b w:val="0"/>
                <w:color w:val="000000" w:themeColor="text1"/>
                <w:sz w:val="22"/>
                <w:szCs w:val="22"/>
              </w:rPr>
              <w:t xml:space="preserve">Discrepancy </w:t>
            </w:r>
          </w:p>
          <w:p w14:paraId="627EC8FA" w14:textId="77777777" w:rsidR="00A72CC8" w:rsidRPr="00345AA4" w:rsidRDefault="00A72CC8" w:rsidP="00375E56">
            <w:pPr>
              <w:pStyle w:val="ListParagraph"/>
              <w:ind w:left="0"/>
              <w:contextualSpacing/>
              <w:jc w:val="center"/>
              <w:rPr>
                <w:rStyle w:val="Strong"/>
                <w:rFonts w:ascii="Arial" w:hAnsi="Arial" w:cs="Arial"/>
                <w:b w:val="0"/>
                <w:color w:val="000000" w:themeColor="text1"/>
                <w:sz w:val="22"/>
                <w:szCs w:val="22"/>
              </w:rPr>
            </w:pPr>
            <w:r w:rsidRPr="00345AA4">
              <w:rPr>
                <w:rStyle w:val="Strong"/>
                <w:rFonts w:ascii="Arial" w:hAnsi="Arial" w:cs="Arial"/>
                <w:b w:val="0"/>
                <w:color w:val="000000" w:themeColor="text1"/>
                <w:sz w:val="22"/>
                <w:szCs w:val="22"/>
              </w:rPr>
              <w:t>(in billions)</w:t>
            </w:r>
          </w:p>
        </w:tc>
        <w:tc>
          <w:tcPr>
            <w:tcW w:w="2692" w:type="dxa"/>
            <w:tcBorders>
              <w:bottom w:val="single" w:sz="4" w:space="0" w:color="auto"/>
            </w:tcBorders>
          </w:tcPr>
          <w:p w14:paraId="34F0F98F" w14:textId="77777777" w:rsidR="00A72CC8" w:rsidRPr="00345AA4" w:rsidRDefault="00A72CC8" w:rsidP="00375E56">
            <w:pPr>
              <w:pStyle w:val="ListParagraph"/>
              <w:ind w:left="0"/>
              <w:contextualSpacing/>
              <w:jc w:val="center"/>
              <w:rPr>
                <w:rStyle w:val="Strong"/>
                <w:rFonts w:ascii="Arial" w:hAnsi="Arial" w:cs="Arial"/>
                <w:b w:val="0"/>
                <w:color w:val="000000" w:themeColor="text1"/>
                <w:sz w:val="22"/>
                <w:szCs w:val="22"/>
              </w:rPr>
            </w:pPr>
            <w:r w:rsidRPr="00345AA4">
              <w:rPr>
                <w:rStyle w:val="Strong"/>
                <w:rFonts w:ascii="Arial" w:hAnsi="Arial" w:cs="Arial"/>
                <w:b w:val="0"/>
                <w:color w:val="000000" w:themeColor="text1"/>
                <w:sz w:val="22"/>
                <w:szCs w:val="22"/>
              </w:rPr>
              <w:t>% of accomplishment</w:t>
            </w:r>
          </w:p>
        </w:tc>
      </w:tr>
      <w:tr w:rsidR="00345AA4" w:rsidRPr="00345AA4" w14:paraId="27B76857" w14:textId="77777777" w:rsidTr="00E41173">
        <w:trPr>
          <w:trHeight w:val="250"/>
        </w:trPr>
        <w:tc>
          <w:tcPr>
            <w:tcW w:w="1955" w:type="dxa"/>
            <w:tcBorders>
              <w:bottom w:val="nil"/>
            </w:tcBorders>
          </w:tcPr>
          <w:p w14:paraId="4D008541" w14:textId="77777777" w:rsidR="00A72CC8" w:rsidRPr="00345AA4" w:rsidRDefault="00A72CC8" w:rsidP="00375E56">
            <w:pPr>
              <w:pStyle w:val="ListParagraph"/>
              <w:ind w:left="0"/>
              <w:contextualSpacing/>
              <w:jc w:val="both"/>
              <w:rPr>
                <w:rStyle w:val="Strong"/>
                <w:rFonts w:ascii="Arial" w:hAnsi="Arial" w:cs="Arial"/>
                <w:b w:val="0"/>
                <w:color w:val="000000" w:themeColor="text1"/>
                <w:sz w:val="22"/>
                <w:szCs w:val="22"/>
              </w:rPr>
            </w:pPr>
            <w:r w:rsidRPr="00345AA4">
              <w:rPr>
                <w:rStyle w:val="Strong"/>
                <w:rFonts w:ascii="Arial" w:hAnsi="Arial" w:cs="Arial"/>
                <w:b w:val="0"/>
                <w:color w:val="000000" w:themeColor="text1"/>
                <w:sz w:val="22"/>
                <w:szCs w:val="22"/>
              </w:rPr>
              <w:t>December 2019</w:t>
            </w:r>
          </w:p>
        </w:tc>
        <w:tc>
          <w:tcPr>
            <w:tcW w:w="2553" w:type="dxa"/>
            <w:tcBorders>
              <w:bottom w:val="nil"/>
            </w:tcBorders>
          </w:tcPr>
          <w:p w14:paraId="2804E156" w14:textId="77777777" w:rsidR="00A72CC8" w:rsidRPr="00345AA4" w:rsidRDefault="00A72CC8" w:rsidP="00375E56">
            <w:pPr>
              <w:pStyle w:val="ListParagraph"/>
              <w:ind w:left="0"/>
              <w:contextualSpacing/>
              <w:jc w:val="center"/>
              <w:rPr>
                <w:rStyle w:val="Strong"/>
                <w:rFonts w:ascii="Arial" w:hAnsi="Arial" w:cs="Arial"/>
                <w:b w:val="0"/>
                <w:color w:val="000000" w:themeColor="text1"/>
                <w:sz w:val="22"/>
                <w:szCs w:val="22"/>
              </w:rPr>
            </w:pPr>
            <w:r w:rsidRPr="00345AA4">
              <w:rPr>
                <w:rStyle w:val="Strong"/>
                <w:rFonts w:ascii="Arial" w:hAnsi="Arial" w:cs="Arial"/>
                <w:b w:val="0"/>
                <w:color w:val="000000" w:themeColor="text1"/>
                <w:sz w:val="22"/>
                <w:szCs w:val="22"/>
              </w:rPr>
              <w:t>P1.182</w:t>
            </w:r>
          </w:p>
        </w:tc>
        <w:tc>
          <w:tcPr>
            <w:tcW w:w="2692" w:type="dxa"/>
            <w:tcBorders>
              <w:bottom w:val="nil"/>
            </w:tcBorders>
          </w:tcPr>
          <w:p w14:paraId="5E456819" w14:textId="77777777" w:rsidR="00A72CC8" w:rsidRPr="00345AA4" w:rsidRDefault="00544070" w:rsidP="00375E56">
            <w:pPr>
              <w:pStyle w:val="ListParagraph"/>
              <w:ind w:left="0"/>
              <w:contextualSpacing/>
              <w:jc w:val="center"/>
              <w:rPr>
                <w:rStyle w:val="Strong"/>
                <w:rFonts w:ascii="Arial" w:hAnsi="Arial" w:cs="Arial"/>
                <w:b w:val="0"/>
                <w:color w:val="000000" w:themeColor="text1"/>
                <w:sz w:val="22"/>
                <w:szCs w:val="22"/>
              </w:rPr>
            </w:pPr>
            <w:r w:rsidRPr="00345AA4">
              <w:rPr>
                <w:rStyle w:val="Strong"/>
                <w:rFonts w:ascii="Arial" w:hAnsi="Arial" w:cs="Arial"/>
                <w:b w:val="0"/>
                <w:color w:val="000000" w:themeColor="text1"/>
                <w:sz w:val="22"/>
                <w:szCs w:val="22"/>
              </w:rPr>
              <w:t>76</w:t>
            </w:r>
          </w:p>
        </w:tc>
      </w:tr>
      <w:tr w:rsidR="00A85B97" w:rsidRPr="00345AA4" w14:paraId="18BCACFA" w14:textId="77777777" w:rsidTr="00E41173">
        <w:trPr>
          <w:trHeight w:val="250"/>
        </w:trPr>
        <w:tc>
          <w:tcPr>
            <w:tcW w:w="1955" w:type="dxa"/>
            <w:tcBorders>
              <w:top w:val="nil"/>
              <w:bottom w:val="nil"/>
            </w:tcBorders>
          </w:tcPr>
          <w:p w14:paraId="422AA29A" w14:textId="77777777" w:rsidR="00A72CC8" w:rsidRPr="00345AA4" w:rsidRDefault="00A72CC8" w:rsidP="00375E56">
            <w:pPr>
              <w:pStyle w:val="ListParagraph"/>
              <w:ind w:left="0"/>
              <w:contextualSpacing/>
              <w:jc w:val="both"/>
              <w:rPr>
                <w:rStyle w:val="Strong"/>
                <w:rFonts w:ascii="Arial" w:hAnsi="Arial" w:cs="Arial"/>
                <w:b w:val="0"/>
                <w:color w:val="000000" w:themeColor="text1"/>
                <w:sz w:val="22"/>
                <w:szCs w:val="22"/>
              </w:rPr>
            </w:pPr>
            <w:r w:rsidRPr="00345AA4">
              <w:rPr>
                <w:rStyle w:val="Strong"/>
                <w:rFonts w:ascii="Arial" w:hAnsi="Arial" w:cs="Arial"/>
                <w:b w:val="0"/>
                <w:color w:val="000000" w:themeColor="text1"/>
                <w:sz w:val="22"/>
                <w:szCs w:val="22"/>
              </w:rPr>
              <w:t>April 2020</w:t>
            </w:r>
          </w:p>
        </w:tc>
        <w:tc>
          <w:tcPr>
            <w:tcW w:w="2553" w:type="dxa"/>
            <w:tcBorders>
              <w:top w:val="nil"/>
              <w:bottom w:val="nil"/>
            </w:tcBorders>
          </w:tcPr>
          <w:p w14:paraId="78ACD558" w14:textId="77777777" w:rsidR="00A72CC8" w:rsidRPr="00345AA4" w:rsidRDefault="00A72CC8" w:rsidP="00375E56">
            <w:pPr>
              <w:pStyle w:val="ListParagraph"/>
              <w:ind w:left="0"/>
              <w:contextualSpacing/>
              <w:jc w:val="center"/>
              <w:rPr>
                <w:rStyle w:val="Strong"/>
                <w:rFonts w:ascii="Arial" w:hAnsi="Arial" w:cs="Arial"/>
                <w:b w:val="0"/>
                <w:color w:val="000000" w:themeColor="text1"/>
                <w:sz w:val="22"/>
                <w:szCs w:val="22"/>
              </w:rPr>
            </w:pPr>
            <w:r w:rsidRPr="00345AA4">
              <w:rPr>
                <w:rStyle w:val="Strong"/>
                <w:rFonts w:ascii="Arial" w:hAnsi="Arial" w:cs="Arial"/>
                <w:b w:val="0"/>
                <w:color w:val="000000" w:themeColor="text1"/>
                <w:sz w:val="22"/>
                <w:szCs w:val="22"/>
              </w:rPr>
              <w:t>P1.050</w:t>
            </w:r>
          </w:p>
        </w:tc>
        <w:tc>
          <w:tcPr>
            <w:tcW w:w="2692" w:type="dxa"/>
            <w:tcBorders>
              <w:top w:val="nil"/>
              <w:bottom w:val="nil"/>
            </w:tcBorders>
          </w:tcPr>
          <w:p w14:paraId="19818449" w14:textId="77777777" w:rsidR="00A72CC8" w:rsidRPr="00345AA4" w:rsidRDefault="00860220" w:rsidP="00544070">
            <w:pPr>
              <w:pStyle w:val="ListParagraph"/>
              <w:ind w:left="0"/>
              <w:contextualSpacing/>
              <w:jc w:val="center"/>
              <w:rPr>
                <w:rStyle w:val="Strong"/>
                <w:rFonts w:ascii="Arial" w:hAnsi="Arial" w:cs="Arial"/>
                <w:b w:val="0"/>
                <w:color w:val="000000" w:themeColor="text1"/>
                <w:sz w:val="22"/>
                <w:szCs w:val="22"/>
              </w:rPr>
            </w:pPr>
            <w:r w:rsidRPr="00345AA4">
              <w:rPr>
                <w:rStyle w:val="Strong"/>
                <w:rFonts w:ascii="Arial" w:hAnsi="Arial" w:cs="Arial"/>
                <w:b w:val="0"/>
                <w:color w:val="000000" w:themeColor="text1"/>
                <w:sz w:val="22"/>
                <w:szCs w:val="22"/>
              </w:rPr>
              <w:t>79</w:t>
            </w:r>
          </w:p>
        </w:tc>
      </w:tr>
    </w:tbl>
    <w:p w14:paraId="1944BF1A" w14:textId="77777777" w:rsidR="00A72CC8" w:rsidRPr="00345AA4" w:rsidRDefault="00A72CC8" w:rsidP="00A72CC8">
      <w:pPr>
        <w:pStyle w:val="ListParagraph"/>
        <w:tabs>
          <w:tab w:val="left" w:pos="990"/>
        </w:tabs>
        <w:ind w:left="900"/>
        <w:contextualSpacing/>
        <w:jc w:val="both"/>
        <w:rPr>
          <w:rFonts w:ascii="Arial" w:hAnsi="Arial" w:cs="Arial"/>
          <w:bCs/>
          <w:color w:val="000000" w:themeColor="text1"/>
          <w:sz w:val="22"/>
          <w:szCs w:val="22"/>
        </w:rPr>
      </w:pPr>
    </w:p>
    <w:p w14:paraId="7D63F879" w14:textId="0FD711C0" w:rsidR="00A72CC8" w:rsidRPr="00345AA4" w:rsidRDefault="00A72CC8" w:rsidP="00A72CC8">
      <w:pPr>
        <w:pStyle w:val="ListParagraph"/>
        <w:numPr>
          <w:ilvl w:val="2"/>
          <w:numId w:val="1"/>
        </w:numPr>
        <w:ind w:left="1418" w:right="-7" w:hanging="567"/>
        <w:contextualSpacing/>
        <w:jc w:val="both"/>
        <w:rPr>
          <w:rStyle w:val="Strong"/>
          <w:rFonts w:ascii="Arial" w:hAnsi="Arial" w:cs="Arial"/>
          <w:b w:val="0"/>
          <w:color w:val="000000" w:themeColor="text1"/>
          <w:sz w:val="22"/>
          <w:szCs w:val="22"/>
        </w:rPr>
      </w:pPr>
      <w:r w:rsidRPr="00345AA4">
        <w:rPr>
          <w:rStyle w:val="Strong"/>
          <w:rFonts w:ascii="Arial" w:hAnsi="Arial" w:cs="Arial"/>
          <w:b w:val="0"/>
          <w:color w:val="000000" w:themeColor="text1"/>
          <w:sz w:val="22"/>
          <w:szCs w:val="22"/>
        </w:rPr>
        <w:t xml:space="preserve">The System is continuously undertaking public biddings for the disposal of its major assets and equity shares to fully fund the remaining liabilities to the members amounting to P9.562 billion as </w:t>
      </w:r>
      <w:r w:rsidR="00155D8D" w:rsidRPr="00345AA4">
        <w:rPr>
          <w:rStyle w:val="Strong"/>
          <w:rFonts w:ascii="Arial" w:hAnsi="Arial" w:cs="Arial"/>
          <w:b w:val="0"/>
          <w:color w:val="000000" w:themeColor="text1"/>
          <w:sz w:val="22"/>
          <w:szCs w:val="22"/>
        </w:rPr>
        <w:t>at</w:t>
      </w:r>
      <w:r w:rsidRPr="00345AA4">
        <w:rPr>
          <w:rStyle w:val="Strong"/>
          <w:rFonts w:ascii="Arial" w:hAnsi="Arial" w:cs="Arial"/>
          <w:b w:val="0"/>
          <w:color w:val="000000" w:themeColor="text1"/>
          <w:sz w:val="22"/>
          <w:szCs w:val="22"/>
        </w:rPr>
        <w:t xml:space="preserve"> December 31, 2019.  The System has available funds of P9.</w:t>
      </w:r>
      <w:r w:rsidR="00E94A8C" w:rsidRPr="00345AA4">
        <w:rPr>
          <w:rStyle w:val="Strong"/>
          <w:rFonts w:ascii="Arial" w:hAnsi="Arial" w:cs="Arial"/>
          <w:b w:val="0"/>
          <w:color w:val="000000" w:themeColor="text1"/>
          <w:sz w:val="22"/>
          <w:szCs w:val="22"/>
        </w:rPr>
        <w:t>429</w:t>
      </w:r>
      <w:r w:rsidRPr="00345AA4">
        <w:rPr>
          <w:rStyle w:val="Strong"/>
          <w:rFonts w:ascii="Arial" w:hAnsi="Arial" w:cs="Arial"/>
          <w:b w:val="0"/>
          <w:color w:val="000000" w:themeColor="text1"/>
          <w:sz w:val="22"/>
          <w:szCs w:val="22"/>
        </w:rPr>
        <w:t xml:space="preserve"> billion consisting of Cash on hand and in banks, Investments in money market placements, Treasury bills and Investments in long-term bonds and commercial papers.</w:t>
      </w:r>
    </w:p>
    <w:p w14:paraId="7F40245A" w14:textId="77777777" w:rsidR="00A72CC8" w:rsidRPr="00345AA4" w:rsidRDefault="00A72CC8" w:rsidP="00A72CC8">
      <w:pPr>
        <w:pStyle w:val="ListParagraph"/>
        <w:ind w:left="1418" w:right="-7"/>
        <w:contextualSpacing/>
        <w:jc w:val="both"/>
        <w:rPr>
          <w:rStyle w:val="Strong"/>
          <w:rFonts w:ascii="Arial" w:hAnsi="Arial" w:cs="Arial"/>
          <w:b w:val="0"/>
          <w:color w:val="000000" w:themeColor="text1"/>
          <w:sz w:val="22"/>
          <w:szCs w:val="22"/>
        </w:rPr>
      </w:pPr>
    </w:p>
    <w:p w14:paraId="5ABF8E33" w14:textId="04E0D9ED" w:rsidR="00A72CC8" w:rsidRPr="00345AA4" w:rsidRDefault="00A72CC8" w:rsidP="00A72CC8">
      <w:pPr>
        <w:pStyle w:val="ListParagraph"/>
        <w:ind w:left="1418" w:right="-7"/>
        <w:contextualSpacing/>
        <w:jc w:val="both"/>
        <w:rPr>
          <w:rStyle w:val="Strong"/>
          <w:rFonts w:ascii="Arial" w:hAnsi="Arial" w:cs="Arial"/>
          <w:b w:val="0"/>
          <w:color w:val="000000" w:themeColor="text1"/>
          <w:sz w:val="22"/>
          <w:szCs w:val="22"/>
        </w:rPr>
      </w:pPr>
      <w:r w:rsidRPr="00345AA4">
        <w:rPr>
          <w:rStyle w:val="Strong"/>
          <w:rFonts w:ascii="Arial" w:hAnsi="Arial" w:cs="Arial"/>
          <w:b w:val="0"/>
          <w:color w:val="000000" w:themeColor="text1"/>
          <w:sz w:val="22"/>
          <w:szCs w:val="22"/>
        </w:rPr>
        <w:t>The System also has existing receivables from a developer on the sale of a real estate in Iloilo amounting to P444.849 million payable until March 2021.  Further, on Ma</w:t>
      </w:r>
      <w:r w:rsidR="00155D8D" w:rsidRPr="00345AA4">
        <w:rPr>
          <w:rStyle w:val="Strong"/>
          <w:rFonts w:ascii="Arial" w:hAnsi="Arial" w:cs="Arial"/>
          <w:b w:val="0"/>
          <w:color w:val="000000" w:themeColor="text1"/>
          <w:sz w:val="22"/>
          <w:szCs w:val="22"/>
        </w:rPr>
        <w:t>r</w:t>
      </w:r>
      <w:r w:rsidRPr="00345AA4">
        <w:rPr>
          <w:rStyle w:val="Strong"/>
          <w:rFonts w:ascii="Arial" w:hAnsi="Arial" w:cs="Arial"/>
          <w:b w:val="0"/>
          <w:color w:val="000000" w:themeColor="text1"/>
          <w:sz w:val="22"/>
          <w:szCs w:val="22"/>
        </w:rPr>
        <w:t>ch 12, 2020, the System was able to dispose its equity shares in a subsidiary for P150.780 million to</w:t>
      </w:r>
      <w:r w:rsidR="00A62278" w:rsidRPr="00345AA4">
        <w:rPr>
          <w:rStyle w:val="Strong"/>
          <w:rFonts w:ascii="Arial" w:hAnsi="Arial" w:cs="Arial"/>
          <w:b w:val="0"/>
          <w:color w:val="000000" w:themeColor="text1"/>
          <w:sz w:val="22"/>
          <w:szCs w:val="22"/>
        </w:rPr>
        <w:t xml:space="preserve"> a</w:t>
      </w:r>
      <w:r w:rsidRPr="00345AA4">
        <w:rPr>
          <w:rStyle w:val="Strong"/>
          <w:rFonts w:ascii="Arial" w:hAnsi="Arial" w:cs="Arial"/>
          <w:b w:val="0"/>
          <w:color w:val="000000" w:themeColor="text1"/>
          <w:sz w:val="22"/>
          <w:szCs w:val="22"/>
        </w:rPr>
        <w:t xml:space="preserve"> utility company payable in 35 working days from receipt of the</w:t>
      </w:r>
      <w:r w:rsidR="00860220" w:rsidRPr="00345AA4">
        <w:rPr>
          <w:rStyle w:val="Strong"/>
          <w:rFonts w:ascii="Arial" w:hAnsi="Arial" w:cs="Arial"/>
          <w:b w:val="0"/>
          <w:color w:val="000000" w:themeColor="text1"/>
          <w:sz w:val="22"/>
          <w:szCs w:val="22"/>
        </w:rPr>
        <w:t xml:space="preserve"> Notice of Award</w:t>
      </w:r>
      <w:r w:rsidRPr="00345AA4">
        <w:rPr>
          <w:rStyle w:val="Strong"/>
          <w:rFonts w:ascii="Arial" w:hAnsi="Arial" w:cs="Arial"/>
          <w:b w:val="0"/>
          <w:color w:val="000000" w:themeColor="text1"/>
          <w:sz w:val="22"/>
          <w:szCs w:val="22"/>
        </w:rPr>
        <w:t xml:space="preserve"> </w:t>
      </w:r>
      <w:r w:rsidR="00860220" w:rsidRPr="00345AA4">
        <w:rPr>
          <w:rStyle w:val="Strong"/>
          <w:rFonts w:ascii="Arial" w:hAnsi="Arial" w:cs="Arial"/>
          <w:b w:val="0"/>
          <w:color w:val="000000" w:themeColor="text1"/>
          <w:sz w:val="22"/>
          <w:szCs w:val="22"/>
        </w:rPr>
        <w:t>(</w:t>
      </w:r>
      <w:r w:rsidRPr="00345AA4">
        <w:rPr>
          <w:rStyle w:val="Strong"/>
          <w:rFonts w:ascii="Arial" w:hAnsi="Arial" w:cs="Arial"/>
          <w:b w:val="0"/>
          <w:color w:val="000000" w:themeColor="text1"/>
          <w:sz w:val="22"/>
          <w:szCs w:val="22"/>
        </w:rPr>
        <w:t>NOA</w:t>
      </w:r>
      <w:r w:rsidR="00860220" w:rsidRPr="00345AA4">
        <w:rPr>
          <w:rStyle w:val="Strong"/>
          <w:rFonts w:ascii="Arial" w:hAnsi="Arial" w:cs="Arial"/>
          <w:b w:val="0"/>
          <w:color w:val="000000" w:themeColor="text1"/>
          <w:sz w:val="22"/>
          <w:szCs w:val="22"/>
        </w:rPr>
        <w:t>)</w:t>
      </w:r>
      <w:r w:rsidRPr="00345AA4">
        <w:rPr>
          <w:rStyle w:val="Strong"/>
          <w:rFonts w:ascii="Arial" w:hAnsi="Arial" w:cs="Arial"/>
          <w:b w:val="0"/>
          <w:color w:val="000000" w:themeColor="text1"/>
          <w:sz w:val="22"/>
          <w:szCs w:val="22"/>
        </w:rPr>
        <w:t xml:space="preserve"> by the latter.</w:t>
      </w:r>
    </w:p>
    <w:p w14:paraId="01BF1DF6" w14:textId="77777777" w:rsidR="00A72CC8" w:rsidRPr="00345AA4" w:rsidRDefault="00A72CC8" w:rsidP="00A72CC8">
      <w:pPr>
        <w:pStyle w:val="ListParagraph"/>
        <w:rPr>
          <w:rFonts w:ascii="Arial" w:hAnsi="Arial" w:cs="Arial"/>
          <w:bCs/>
          <w:color w:val="000000" w:themeColor="text1"/>
          <w:sz w:val="22"/>
          <w:szCs w:val="22"/>
        </w:rPr>
      </w:pPr>
    </w:p>
    <w:p w14:paraId="1BED1B45" w14:textId="77777777" w:rsidR="00A72CC8" w:rsidRPr="00345AA4" w:rsidRDefault="00A72CC8" w:rsidP="00A72CC8">
      <w:pPr>
        <w:pStyle w:val="ListParagraph"/>
        <w:numPr>
          <w:ilvl w:val="1"/>
          <w:numId w:val="1"/>
        </w:numPr>
        <w:ind w:left="900" w:hanging="540"/>
        <w:contextualSpacing/>
        <w:jc w:val="both"/>
        <w:rPr>
          <w:rFonts w:ascii="Arial" w:hAnsi="Arial" w:cs="Arial"/>
          <w:bCs/>
          <w:color w:val="000000" w:themeColor="text1"/>
          <w:sz w:val="22"/>
          <w:szCs w:val="22"/>
        </w:rPr>
      </w:pPr>
      <w:r w:rsidRPr="00345AA4">
        <w:rPr>
          <w:rFonts w:ascii="Arial" w:hAnsi="Arial" w:cs="Arial"/>
          <w:bCs/>
          <w:color w:val="000000" w:themeColor="text1"/>
          <w:sz w:val="22"/>
          <w:szCs w:val="22"/>
        </w:rPr>
        <w:t>As a rejoinder, we commend Management’s continuous efforts to reconcile the SLs of the members per IFMS and the books of accounts maintained by AD despite of limited manpower.  However, prior to the refund of all contributions and interests to the members, the amount to be refunded mu</w:t>
      </w:r>
      <w:r w:rsidR="00E94A8C" w:rsidRPr="00345AA4">
        <w:rPr>
          <w:rFonts w:ascii="Arial" w:hAnsi="Arial" w:cs="Arial"/>
          <w:bCs/>
          <w:color w:val="000000" w:themeColor="text1"/>
          <w:sz w:val="22"/>
          <w:szCs w:val="22"/>
        </w:rPr>
        <w:t xml:space="preserve">st have been already determined.  </w:t>
      </w:r>
      <w:r w:rsidRPr="00345AA4">
        <w:rPr>
          <w:rFonts w:ascii="Arial" w:hAnsi="Arial" w:cs="Arial"/>
          <w:bCs/>
          <w:color w:val="000000" w:themeColor="text1"/>
          <w:sz w:val="22"/>
          <w:szCs w:val="22"/>
        </w:rPr>
        <w:t>This will provide the Management a reliable information to actualize the recorded interests on MC and ensure that the System has enough fund for the refund of contributions a</w:t>
      </w:r>
      <w:r w:rsidR="00E94A8C" w:rsidRPr="00345AA4">
        <w:rPr>
          <w:rFonts w:ascii="Arial" w:hAnsi="Arial" w:cs="Arial"/>
          <w:bCs/>
          <w:color w:val="000000" w:themeColor="text1"/>
          <w:sz w:val="22"/>
          <w:szCs w:val="22"/>
        </w:rPr>
        <w:t xml:space="preserve">nd interests thereon.  </w:t>
      </w:r>
      <w:r w:rsidR="00E94A8C" w:rsidRPr="00345AA4">
        <w:rPr>
          <w:rFonts w:ascii="Arial" w:hAnsi="Arial" w:cs="Arial"/>
          <w:b/>
          <w:color w:val="000000" w:themeColor="text1"/>
          <w:sz w:val="22"/>
          <w:szCs w:val="22"/>
        </w:rPr>
        <w:t>Thus</w:t>
      </w:r>
      <w:r w:rsidRPr="00345AA4">
        <w:rPr>
          <w:rFonts w:ascii="Arial" w:hAnsi="Arial" w:cs="Arial"/>
          <w:b/>
          <w:color w:val="000000" w:themeColor="text1"/>
          <w:sz w:val="22"/>
          <w:szCs w:val="22"/>
        </w:rPr>
        <w:t xml:space="preserve">, we further recommend that Management provide timetable showing that the reconciliation of members’ SLs will be completed ahead of the </w:t>
      </w:r>
      <w:r w:rsidR="00E94A8C" w:rsidRPr="00345AA4">
        <w:rPr>
          <w:rFonts w:ascii="Arial" w:hAnsi="Arial" w:cs="Arial"/>
          <w:b/>
          <w:color w:val="000000" w:themeColor="text1"/>
          <w:sz w:val="22"/>
          <w:szCs w:val="22"/>
        </w:rPr>
        <w:t>MD’s</w:t>
      </w:r>
      <w:r w:rsidRPr="00345AA4">
        <w:rPr>
          <w:rFonts w:ascii="Arial" w:hAnsi="Arial" w:cs="Arial"/>
          <w:b/>
          <w:color w:val="000000" w:themeColor="text1"/>
          <w:sz w:val="22"/>
          <w:szCs w:val="22"/>
        </w:rPr>
        <w:t xml:space="preserve"> projected completion of the refund of the members’ contributions and corresponding interests.</w:t>
      </w:r>
    </w:p>
    <w:p w14:paraId="723BE2AF" w14:textId="77777777" w:rsidR="00FD4026" w:rsidRPr="00345AA4" w:rsidRDefault="00FD4026" w:rsidP="00FD4026">
      <w:pPr>
        <w:contextualSpacing/>
        <w:jc w:val="both"/>
        <w:rPr>
          <w:rFonts w:ascii="Arial" w:hAnsi="Arial" w:cs="Arial"/>
          <w:bCs/>
          <w:color w:val="000000" w:themeColor="text1"/>
        </w:rPr>
      </w:pPr>
    </w:p>
    <w:p w14:paraId="7E744264" w14:textId="6AC45D12" w:rsidR="00FD4026" w:rsidRPr="00345AA4" w:rsidRDefault="00FD4026" w:rsidP="00076643">
      <w:pPr>
        <w:pStyle w:val="ListParagraph"/>
        <w:numPr>
          <w:ilvl w:val="0"/>
          <w:numId w:val="1"/>
        </w:numPr>
        <w:ind w:left="426" w:hanging="426"/>
        <w:jc w:val="both"/>
        <w:rPr>
          <w:rFonts w:ascii="Arial" w:hAnsi="Arial" w:cs="Arial"/>
          <w:b/>
          <w:color w:val="000000" w:themeColor="text1"/>
          <w:sz w:val="22"/>
          <w:szCs w:val="22"/>
        </w:rPr>
      </w:pPr>
      <w:r w:rsidRPr="00345AA4">
        <w:rPr>
          <w:rFonts w:ascii="Arial" w:hAnsi="Arial" w:cs="Arial"/>
          <w:b/>
          <w:color w:val="000000" w:themeColor="text1"/>
          <w:sz w:val="22"/>
          <w:szCs w:val="22"/>
        </w:rPr>
        <w:t xml:space="preserve">Dormant Accounts Receivables as at December 31, 2019 totaling to P955.148 million </w:t>
      </w:r>
      <w:r w:rsidR="00F50607" w:rsidRPr="00345AA4">
        <w:rPr>
          <w:rFonts w:ascii="Arial" w:hAnsi="Arial" w:cs="Arial"/>
          <w:b/>
          <w:color w:val="000000" w:themeColor="text1"/>
          <w:sz w:val="22"/>
          <w:szCs w:val="22"/>
        </w:rPr>
        <w:t xml:space="preserve">have </w:t>
      </w:r>
      <w:r w:rsidRPr="00345AA4">
        <w:rPr>
          <w:rFonts w:ascii="Arial" w:hAnsi="Arial" w:cs="Arial"/>
          <w:b/>
          <w:color w:val="000000" w:themeColor="text1"/>
          <w:sz w:val="22"/>
          <w:szCs w:val="22"/>
        </w:rPr>
        <w:t>remain</w:t>
      </w:r>
      <w:r w:rsidR="00F50607" w:rsidRPr="00345AA4">
        <w:rPr>
          <w:rFonts w:ascii="Arial" w:hAnsi="Arial" w:cs="Arial"/>
          <w:b/>
          <w:color w:val="000000" w:themeColor="text1"/>
          <w:sz w:val="22"/>
          <w:szCs w:val="22"/>
        </w:rPr>
        <w:t>ed</w:t>
      </w:r>
      <w:r w:rsidRPr="00345AA4">
        <w:rPr>
          <w:rFonts w:ascii="Arial" w:hAnsi="Arial" w:cs="Arial"/>
          <w:b/>
          <w:color w:val="000000" w:themeColor="text1"/>
          <w:sz w:val="22"/>
          <w:szCs w:val="22"/>
        </w:rPr>
        <w:t xml:space="preserve"> outstanding for 11 to more than 20 years, thus, deprives the System of funds for its accelerated refund and payment of other obligations, contrary to C</w:t>
      </w:r>
      <w:r w:rsidR="004C1225">
        <w:rPr>
          <w:rFonts w:ascii="Arial" w:hAnsi="Arial" w:cs="Arial"/>
          <w:b/>
          <w:color w:val="000000" w:themeColor="text1"/>
          <w:sz w:val="22"/>
          <w:szCs w:val="22"/>
        </w:rPr>
        <w:t>ommission on Audit (C</w:t>
      </w:r>
      <w:r w:rsidRPr="00345AA4">
        <w:rPr>
          <w:rFonts w:ascii="Arial" w:hAnsi="Arial" w:cs="Arial"/>
          <w:b/>
          <w:color w:val="000000" w:themeColor="text1"/>
          <w:sz w:val="22"/>
          <w:szCs w:val="22"/>
        </w:rPr>
        <w:t>OA</w:t>
      </w:r>
      <w:r w:rsidR="004C1225">
        <w:rPr>
          <w:rFonts w:ascii="Arial" w:hAnsi="Arial" w:cs="Arial"/>
          <w:b/>
          <w:color w:val="000000" w:themeColor="text1"/>
          <w:sz w:val="22"/>
          <w:szCs w:val="22"/>
        </w:rPr>
        <w:t>)</w:t>
      </w:r>
      <w:r w:rsidRPr="00345AA4">
        <w:rPr>
          <w:rFonts w:ascii="Arial" w:hAnsi="Arial" w:cs="Arial"/>
          <w:b/>
          <w:color w:val="000000" w:themeColor="text1"/>
          <w:sz w:val="22"/>
          <w:szCs w:val="22"/>
        </w:rPr>
        <w:t xml:space="preserve"> Circular No. 2016-005. </w:t>
      </w:r>
    </w:p>
    <w:p w14:paraId="4D23E90B" w14:textId="77777777" w:rsidR="00FD4026" w:rsidRPr="00345AA4" w:rsidRDefault="00FD4026" w:rsidP="00FD4026">
      <w:pPr>
        <w:pStyle w:val="ListParagraph"/>
        <w:rPr>
          <w:rFonts w:ascii="Arial" w:hAnsi="Arial" w:cs="Arial"/>
          <w:b/>
          <w:color w:val="000000" w:themeColor="text1"/>
          <w:sz w:val="22"/>
          <w:szCs w:val="22"/>
        </w:rPr>
      </w:pPr>
    </w:p>
    <w:p w14:paraId="75B0286E" w14:textId="58FB74E5" w:rsidR="00FD4026" w:rsidRPr="00345AA4" w:rsidRDefault="00FD4026" w:rsidP="005F1901">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COA Circular No. 2016-005 dated December 19, 2016 provides the Guidelines and Procedures on the Write-Off of Dormant Receivable Accounts, Unliquidated Cash Advances and Fund Transfers of National Government Agencies, Local Government Units and Government-Owned and Controlled Corporations.  Section 5 of the </w:t>
      </w:r>
      <w:r w:rsidR="00E94A8C" w:rsidRPr="00345AA4">
        <w:rPr>
          <w:rFonts w:ascii="Arial" w:hAnsi="Arial" w:cs="Arial"/>
          <w:color w:val="000000" w:themeColor="text1"/>
          <w:sz w:val="22"/>
          <w:szCs w:val="22"/>
        </w:rPr>
        <w:t>said</w:t>
      </w:r>
      <w:r w:rsidRPr="00345AA4">
        <w:rPr>
          <w:rFonts w:ascii="Arial" w:hAnsi="Arial" w:cs="Arial"/>
          <w:color w:val="000000" w:themeColor="text1"/>
          <w:sz w:val="22"/>
          <w:szCs w:val="22"/>
        </w:rPr>
        <w:t xml:space="preserve"> Circular </w:t>
      </w:r>
      <w:r w:rsidR="00FE0018" w:rsidRPr="00345AA4">
        <w:rPr>
          <w:rFonts w:ascii="Arial" w:hAnsi="Arial" w:cs="Arial"/>
          <w:color w:val="000000" w:themeColor="text1"/>
          <w:sz w:val="22"/>
          <w:szCs w:val="22"/>
        </w:rPr>
        <w:t xml:space="preserve">defines </w:t>
      </w:r>
      <w:r w:rsidRPr="00345AA4">
        <w:rPr>
          <w:rFonts w:ascii="Arial" w:hAnsi="Arial" w:cs="Arial"/>
          <w:color w:val="000000" w:themeColor="text1"/>
          <w:sz w:val="22"/>
          <w:szCs w:val="22"/>
        </w:rPr>
        <w:t>the following terms:</w:t>
      </w:r>
    </w:p>
    <w:p w14:paraId="020BF136" w14:textId="77777777" w:rsidR="00FD4026" w:rsidRPr="00345AA4" w:rsidRDefault="00FD4026" w:rsidP="00FD4026">
      <w:pPr>
        <w:spacing w:after="0" w:line="240" w:lineRule="auto"/>
        <w:ind w:left="720"/>
        <w:jc w:val="both"/>
        <w:rPr>
          <w:rFonts w:ascii="Arial" w:eastAsia="Times New Roman" w:hAnsi="Arial" w:cs="Arial"/>
          <w:color w:val="000000" w:themeColor="text1"/>
        </w:rPr>
      </w:pPr>
    </w:p>
    <w:p w14:paraId="7F753030" w14:textId="77777777" w:rsidR="00F043CF" w:rsidRPr="00345AA4" w:rsidRDefault="00F043CF" w:rsidP="00FD4026">
      <w:pPr>
        <w:spacing w:after="0" w:line="240" w:lineRule="auto"/>
        <w:ind w:left="720"/>
        <w:jc w:val="both"/>
        <w:rPr>
          <w:rFonts w:ascii="Arial" w:eastAsia="Times New Roman" w:hAnsi="Arial" w:cs="Arial"/>
          <w:color w:val="000000" w:themeColor="text1"/>
        </w:rPr>
      </w:pPr>
    </w:p>
    <w:p w14:paraId="4DC68B9C" w14:textId="77777777" w:rsidR="00F043CF" w:rsidRPr="00345AA4" w:rsidRDefault="00F043CF" w:rsidP="00FD4026">
      <w:pPr>
        <w:spacing w:after="0" w:line="240" w:lineRule="auto"/>
        <w:ind w:left="720"/>
        <w:jc w:val="both"/>
        <w:rPr>
          <w:rFonts w:ascii="Arial" w:eastAsia="Times New Roman" w:hAnsi="Arial" w:cs="Arial"/>
          <w:color w:val="000000" w:themeColor="text1"/>
        </w:rPr>
      </w:pPr>
    </w:p>
    <w:p w14:paraId="1F3151CD" w14:textId="1824D215" w:rsidR="00FD4026" w:rsidRPr="00345AA4" w:rsidRDefault="00F043CF" w:rsidP="0064314D">
      <w:pPr>
        <w:pStyle w:val="NoSpacing"/>
        <w:ind w:left="1440" w:right="702"/>
        <w:jc w:val="both"/>
        <w:rPr>
          <w:rFonts w:ascii="Arial" w:eastAsia="Times New Roman" w:hAnsi="Arial" w:cs="Arial"/>
          <w:i/>
          <w:color w:val="000000" w:themeColor="text1"/>
        </w:rPr>
      </w:pPr>
      <w:r w:rsidRPr="00345AA4">
        <w:rPr>
          <w:rFonts w:ascii="Arial" w:eastAsia="Times New Roman" w:hAnsi="Arial" w:cs="Arial"/>
          <w:i/>
          <w:color w:val="000000" w:themeColor="text1"/>
        </w:rPr>
        <w:t>X</w:t>
      </w:r>
      <w:r w:rsidR="00FD4026" w:rsidRPr="00345AA4">
        <w:rPr>
          <w:rFonts w:ascii="Arial" w:eastAsia="Times New Roman" w:hAnsi="Arial" w:cs="Arial"/>
          <w:i/>
          <w:color w:val="000000" w:themeColor="text1"/>
        </w:rPr>
        <w:t>xx</w:t>
      </w:r>
    </w:p>
    <w:p w14:paraId="54E6C859" w14:textId="77777777" w:rsidR="00F043CF" w:rsidRPr="00C47B53" w:rsidRDefault="00F043CF" w:rsidP="0064314D">
      <w:pPr>
        <w:pStyle w:val="NoSpacing"/>
        <w:ind w:left="1440" w:right="702"/>
        <w:jc w:val="both"/>
        <w:rPr>
          <w:rFonts w:ascii="Arial" w:eastAsia="Times New Roman" w:hAnsi="Arial" w:cs="Arial"/>
          <w:i/>
          <w:color w:val="000000" w:themeColor="text1"/>
          <w:sz w:val="18"/>
          <w:szCs w:val="18"/>
        </w:rPr>
      </w:pPr>
    </w:p>
    <w:p w14:paraId="421BED42" w14:textId="77777777" w:rsidR="00FD4026" w:rsidRPr="00345AA4" w:rsidRDefault="00FD4026" w:rsidP="0064314D">
      <w:pPr>
        <w:pStyle w:val="NoSpacing"/>
        <w:ind w:left="1440" w:right="702"/>
        <w:jc w:val="both"/>
        <w:rPr>
          <w:rFonts w:ascii="Arial" w:eastAsia="Times New Roman" w:hAnsi="Arial" w:cs="Arial"/>
          <w:i/>
          <w:color w:val="000000" w:themeColor="text1"/>
        </w:rPr>
      </w:pPr>
      <w:r w:rsidRPr="00345AA4">
        <w:rPr>
          <w:rFonts w:ascii="Arial" w:eastAsia="Times New Roman" w:hAnsi="Arial" w:cs="Arial"/>
          <w:i/>
          <w:color w:val="000000" w:themeColor="text1"/>
        </w:rPr>
        <w:t>5.5 Dormant Receivable Accounts – accounts which balances remained inactive or non-moving in the books of accounts for 10 years or more and where settlement/collectability could no longer be ascertained.</w:t>
      </w:r>
    </w:p>
    <w:p w14:paraId="4469C7E8" w14:textId="77777777" w:rsidR="00FD4026" w:rsidRPr="00345AA4" w:rsidRDefault="00FD4026" w:rsidP="0064314D">
      <w:pPr>
        <w:spacing w:after="0" w:line="240" w:lineRule="auto"/>
        <w:ind w:left="1440" w:right="702"/>
        <w:jc w:val="both"/>
        <w:rPr>
          <w:rFonts w:ascii="Arial" w:eastAsia="Times New Roman" w:hAnsi="Arial" w:cs="Arial"/>
          <w:i/>
          <w:color w:val="000000" w:themeColor="text1"/>
        </w:rPr>
      </w:pPr>
      <w:r w:rsidRPr="00345AA4">
        <w:rPr>
          <w:rFonts w:ascii="Arial" w:eastAsia="Times New Roman" w:hAnsi="Arial" w:cs="Arial"/>
          <w:i/>
          <w:color w:val="000000" w:themeColor="text1"/>
        </w:rPr>
        <w:t>Xxx</w:t>
      </w:r>
    </w:p>
    <w:p w14:paraId="2926DB56" w14:textId="77777777" w:rsidR="00FD4026" w:rsidRPr="00C47B53" w:rsidRDefault="00FD4026" w:rsidP="0064314D">
      <w:pPr>
        <w:spacing w:after="0" w:line="240" w:lineRule="auto"/>
        <w:ind w:left="1440" w:right="702"/>
        <w:jc w:val="both"/>
        <w:rPr>
          <w:rFonts w:ascii="Arial" w:eastAsia="Times New Roman" w:hAnsi="Arial" w:cs="Arial"/>
          <w:i/>
          <w:color w:val="000000" w:themeColor="text1"/>
          <w:sz w:val="18"/>
          <w:szCs w:val="18"/>
        </w:rPr>
      </w:pPr>
    </w:p>
    <w:p w14:paraId="52B933BB" w14:textId="485F30B6" w:rsidR="00FD4026" w:rsidRPr="00345AA4" w:rsidRDefault="00FD4026" w:rsidP="0064314D">
      <w:pPr>
        <w:spacing w:after="0" w:line="240" w:lineRule="auto"/>
        <w:ind w:left="1440" w:right="702"/>
        <w:jc w:val="both"/>
        <w:rPr>
          <w:rFonts w:ascii="Arial" w:eastAsia="Times New Roman" w:hAnsi="Arial" w:cs="Arial"/>
          <w:i/>
          <w:color w:val="000000" w:themeColor="text1"/>
        </w:rPr>
      </w:pPr>
      <w:r w:rsidRPr="00345AA4">
        <w:rPr>
          <w:rFonts w:ascii="Arial" w:eastAsia="Times New Roman" w:hAnsi="Arial" w:cs="Arial"/>
          <w:i/>
          <w:color w:val="000000" w:themeColor="text1"/>
        </w:rPr>
        <w:t xml:space="preserve">5.9 Write-off of Dormant Accounts – the process of derecognizing the asset account and the corresponding allowance for impairment from the books of accounts and transferring the same to the </w:t>
      </w:r>
      <w:r w:rsidR="00510123" w:rsidRPr="00345AA4">
        <w:rPr>
          <w:rFonts w:ascii="Arial" w:eastAsia="Times New Roman" w:hAnsi="Arial" w:cs="Arial"/>
          <w:i/>
          <w:color w:val="000000" w:themeColor="text1"/>
        </w:rPr>
        <w:t>Registry of Accounts Written off (</w:t>
      </w:r>
      <w:r w:rsidRPr="00345AA4">
        <w:rPr>
          <w:rFonts w:ascii="Arial" w:eastAsia="Times New Roman" w:hAnsi="Arial" w:cs="Arial"/>
          <w:i/>
          <w:color w:val="000000" w:themeColor="text1"/>
        </w:rPr>
        <w:t>RAWO</w:t>
      </w:r>
      <w:r w:rsidR="00510123" w:rsidRPr="00345AA4">
        <w:rPr>
          <w:rFonts w:ascii="Arial" w:eastAsia="Times New Roman" w:hAnsi="Arial" w:cs="Arial"/>
          <w:i/>
          <w:color w:val="000000" w:themeColor="text1"/>
        </w:rPr>
        <w:t>)</w:t>
      </w:r>
      <w:r w:rsidRPr="00345AA4">
        <w:rPr>
          <w:rFonts w:ascii="Arial" w:eastAsia="Times New Roman" w:hAnsi="Arial" w:cs="Arial"/>
          <w:i/>
          <w:color w:val="000000" w:themeColor="text1"/>
        </w:rPr>
        <w:t>.</w:t>
      </w:r>
      <w:r w:rsidR="00E8361D" w:rsidRPr="00345AA4">
        <w:rPr>
          <w:rFonts w:ascii="Arial" w:eastAsia="Times New Roman" w:hAnsi="Arial" w:cs="Arial"/>
          <w:i/>
          <w:color w:val="000000" w:themeColor="text1"/>
        </w:rPr>
        <w:t xml:space="preserve"> </w:t>
      </w:r>
      <w:r w:rsidRPr="00345AA4">
        <w:rPr>
          <w:rFonts w:ascii="Arial" w:eastAsia="Times New Roman" w:hAnsi="Arial" w:cs="Arial"/>
          <w:i/>
          <w:color w:val="000000" w:themeColor="text1"/>
        </w:rPr>
        <w:t>This does not mean condoning/extinguishing the obligation of the accountable officer/debtor.</w:t>
      </w:r>
    </w:p>
    <w:p w14:paraId="26025D55" w14:textId="77777777" w:rsidR="00FD4026" w:rsidRPr="00C47B53" w:rsidRDefault="00FD4026" w:rsidP="00FD4026">
      <w:pPr>
        <w:spacing w:after="0" w:line="240" w:lineRule="auto"/>
        <w:jc w:val="both"/>
        <w:rPr>
          <w:rFonts w:ascii="Arial" w:eastAsia="Times New Roman" w:hAnsi="Arial" w:cs="Arial"/>
          <w:color w:val="000000" w:themeColor="text1"/>
          <w:sz w:val="18"/>
          <w:szCs w:val="18"/>
        </w:rPr>
      </w:pPr>
    </w:p>
    <w:p w14:paraId="43C35BE6" w14:textId="77777777" w:rsidR="00FD4026" w:rsidRPr="00345AA4" w:rsidRDefault="00FD4026" w:rsidP="0064314D">
      <w:pPr>
        <w:pStyle w:val="ListParagraph"/>
        <w:numPr>
          <w:ilvl w:val="1"/>
          <w:numId w:val="1"/>
        </w:numPr>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Moreover, under Section</w:t>
      </w:r>
      <w:r w:rsidR="00E8361D" w:rsidRPr="00345AA4">
        <w:rPr>
          <w:rFonts w:ascii="Arial" w:hAnsi="Arial" w:cs="Arial"/>
          <w:color w:val="000000" w:themeColor="text1"/>
          <w:sz w:val="22"/>
          <w:szCs w:val="22"/>
        </w:rPr>
        <w:t>s</w:t>
      </w:r>
      <w:r w:rsidRPr="00345AA4">
        <w:rPr>
          <w:rFonts w:ascii="Arial" w:hAnsi="Arial" w:cs="Arial"/>
          <w:color w:val="000000" w:themeColor="text1"/>
          <w:sz w:val="22"/>
          <w:szCs w:val="22"/>
        </w:rPr>
        <w:t xml:space="preserve"> 8.2</w:t>
      </w:r>
      <w:r w:rsidR="00E8361D" w:rsidRPr="00345AA4">
        <w:rPr>
          <w:rFonts w:ascii="Arial" w:hAnsi="Arial" w:cs="Arial"/>
          <w:color w:val="000000" w:themeColor="text1"/>
          <w:sz w:val="22"/>
          <w:szCs w:val="22"/>
        </w:rPr>
        <w:t xml:space="preserve"> and 8.3</w:t>
      </w:r>
      <w:r w:rsidRPr="00345AA4">
        <w:rPr>
          <w:rFonts w:ascii="Arial" w:hAnsi="Arial" w:cs="Arial"/>
          <w:color w:val="000000" w:themeColor="text1"/>
          <w:sz w:val="22"/>
          <w:szCs w:val="22"/>
        </w:rPr>
        <w:t xml:space="preserve"> of the said Circular, the Head of the government entity shall file the request for the authority to write-off dormant receivable accounts, </w:t>
      </w:r>
      <w:r w:rsidR="00E94A8C" w:rsidRPr="00345AA4">
        <w:rPr>
          <w:rFonts w:ascii="Arial" w:hAnsi="Arial" w:cs="Arial"/>
          <w:color w:val="000000" w:themeColor="text1"/>
          <w:sz w:val="22"/>
          <w:szCs w:val="22"/>
        </w:rPr>
        <w:t>among others</w:t>
      </w:r>
      <w:r w:rsidRPr="00345AA4">
        <w:rPr>
          <w:rFonts w:ascii="Arial" w:hAnsi="Arial" w:cs="Arial"/>
          <w:color w:val="000000" w:themeColor="text1"/>
          <w:sz w:val="22"/>
          <w:szCs w:val="22"/>
        </w:rPr>
        <w:t>, supported by the Schedule of dormant accounts by accountable officer/debtor/government entity and by account, certified by the accountants and approved by the Head of the government entity together with the certified copies of relevant documents validating the existence of the conditions as enumerated in the said Circular.</w:t>
      </w:r>
    </w:p>
    <w:p w14:paraId="38A94E1D" w14:textId="77777777" w:rsidR="0064314D" w:rsidRPr="00C47B53" w:rsidRDefault="0064314D" w:rsidP="0064314D">
      <w:pPr>
        <w:pStyle w:val="ListParagraph"/>
        <w:ind w:left="900"/>
        <w:contextualSpacing/>
        <w:jc w:val="both"/>
        <w:rPr>
          <w:rFonts w:ascii="Arial" w:hAnsi="Arial" w:cs="Arial"/>
          <w:color w:val="000000" w:themeColor="text1"/>
          <w:sz w:val="20"/>
          <w:szCs w:val="20"/>
        </w:rPr>
      </w:pPr>
    </w:p>
    <w:p w14:paraId="522673EB" w14:textId="77777777" w:rsidR="0064314D" w:rsidRPr="00345AA4" w:rsidRDefault="0064314D" w:rsidP="00AE3546">
      <w:pPr>
        <w:pStyle w:val="ListParagraph"/>
        <w:numPr>
          <w:ilvl w:val="1"/>
          <w:numId w:val="1"/>
        </w:numPr>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Also, the saving clause under Section 11 of the Circular states:</w:t>
      </w:r>
    </w:p>
    <w:p w14:paraId="2839DFDB" w14:textId="77777777" w:rsidR="0064314D" w:rsidRPr="00345AA4" w:rsidRDefault="0064314D" w:rsidP="0064314D">
      <w:pPr>
        <w:pStyle w:val="ListParagraph"/>
        <w:rPr>
          <w:rFonts w:ascii="Arial" w:hAnsi="Arial" w:cs="Arial"/>
          <w:color w:val="000000" w:themeColor="text1"/>
          <w:sz w:val="22"/>
          <w:szCs w:val="22"/>
        </w:rPr>
      </w:pPr>
    </w:p>
    <w:p w14:paraId="4F4D9419" w14:textId="77777777" w:rsidR="0064314D" w:rsidRPr="00345AA4" w:rsidRDefault="0064314D" w:rsidP="008D4B69">
      <w:pPr>
        <w:spacing w:after="0" w:line="240" w:lineRule="auto"/>
        <w:ind w:left="1440" w:right="702"/>
        <w:jc w:val="both"/>
        <w:rPr>
          <w:rFonts w:ascii="Arial" w:hAnsi="Arial" w:cs="Arial"/>
          <w:i/>
          <w:color w:val="000000" w:themeColor="text1"/>
        </w:rPr>
      </w:pPr>
      <w:r w:rsidRPr="00345AA4">
        <w:rPr>
          <w:rFonts w:ascii="Arial" w:hAnsi="Arial" w:cs="Arial"/>
          <w:i/>
          <w:color w:val="000000" w:themeColor="text1"/>
        </w:rPr>
        <w:t>This Circular shall not be interpreted to neither condone the written off accounts nor to extinguish the obligations. The Management shall continue to exert effort to collect the accounts appearing in the RAWO when circumstances would warrant. Further, this shall not be construed as a ground to exonerate the liability of the officers/employees for infidelity in the custody of documents.</w:t>
      </w:r>
    </w:p>
    <w:p w14:paraId="6E375E1E" w14:textId="77777777" w:rsidR="00E41173" w:rsidRPr="00C47B53" w:rsidRDefault="00E41173" w:rsidP="00FD4026">
      <w:pPr>
        <w:spacing w:after="0" w:line="240" w:lineRule="auto"/>
        <w:jc w:val="both"/>
        <w:rPr>
          <w:rFonts w:ascii="Arial" w:eastAsia="Times New Roman" w:hAnsi="Arial" w:cs="Arial"/>
          <w:color w:val="000000" w:themeColor="text1"/>
          <w:sz w:val="18"/>
          <w:szCs w:val="18"/>
        </w:rPr>
      </w:pPr>
    </w:p>
    <w:p w14:paraId="5D229956" w14:textId="77777777" w:rsidR="00FD4026" w:rsidRPr="00345AA4" w:rsidRDefault="00FD4026" w:rsidP="00AE3546">
      <w:pPr>
        <w:pStyle w:val="ListParagraph"/>
        <w:numPr>
          <w:ilvl w:val="1"/>
          <w:numId w:val="1"/>
        </w:numPr>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As at December 31, 2019, the Receivables-net, Loans receivable-net, and Advances to subsidiaries and associates-net have the following balances:</w:t>
      </w:r>
    </w:p>
    <w:p w14:paraId="13615C93" w14:textId="77777777" w:rsidR="00510123" w:rsidRPr="00C47B53" w:rsidRDefault="00510123" w:rsidP="00FD4026">
      <w:pPr>
        <w:spacing w:after="0" w:line="240" w:lineRule="auto"/>
        <w:jc w:val="both"/>
        <w:rPr>
          <w:color w:val="000000" w:themeColor="text1"/>
          <w:sz w:val="18"/>
          <w:szCs w:val="18"/>
        </w:rPr>
      </w:pPr>
    </w:p>
    <w:tbl>
      <w:tblPr>
        <w:tblW w:w="7938" w:type="dxa"/>
        <w:tblInd w:w="900" w:type="dxa"/>
        <w:tblLayout w:type="fixed"/>
        <w:tblLook w:val="04A0" w:firstRow="1" w:lastRow="0" w:firstColumn="1" w:lastColumn="0" w:noHBand="0" w:noVBand="1"/>
      </w:tblPr>
      <w:tblGrid>
        <w:gridCol w:w="6048"/>
        <w:gridCol w:w="1890"/>
      </w:tblGrid>
      <w:tr w:rsidR="00345AA4" w:rsidRPr="00345AA4" w14:paraId="303F1A66" w14:textId="77777777" w:rsidTr="00E41173">
        <w:trPr>
          <w:trHeight w:val="225"/>
          <w:tblHeader/>
        </w:trPr>
        <w:tc>
          <w:tcPr>
            <w:tcW w:w="6048" w:type="dxa"/>
            <w:tcBorders>
              <w:top w:val="single" w:sz="4" w:space="0" w:color="auto"/>
              <w:left w:val="nil"/>
              <w:bottom w:val="single" w:sz="4" w:space="0" w:color="auto"/>
              <w:right w:val="nil"/>
            </w:tcBorders>
            <w:shd w:val="clear" w:color="auto" w:fill="auto"/>
            <w:noWrap/>
            <w:vAlign w:val="bottom"/>
            <w:hideMark/>
          </w:tcPr>
          <w:p w14:paraId="19292F33" w14:textId="77777777" w:rsidR="00722D48" w:rsidRPr="00345AA4" w:rsidRDefault="00722D48" w:rsidP="00BF28A0">
            <w:pPr>
              <w:spacing w:after="0" w:line="240" w:lineRule="auto"/>
              <w:jc w:val="center"/>
              <w:rPr>
                <w:rFonts w:ascii="Arial" w:eastAsia="Times New Roman" w:hAnsi="Arial" w:cs="Arial"/>
                <w:b/>
                <w:bCs/>
                <w:color w:val="000000" w:themeColor="text1"/>
              </w:rPr>
            </w:pPr>
            <w:r w:rsidRPr="00345AA4">
              <w:rPr>
                <w:rFonts w:ascii="Arial" w:eastAsia="Times New Roman" w:hAnsi="Arial" w:cs="Arial"/>
                <w:b/>
                <w:bCs/>
                <w:color w:val="000000" w:themeColor="text1"/>
              </w:rPr>
              <w:t>Account title</w:t>
            </w:r>
          </w:p>
        </w:tc>
        <w:tc>
          <w:tcPr>
            <w:tcW w:w="1890" w:type="dxa"/>
            <w:tcBorders>
              <w:top w:val="single" w:sz="4" w:space="0" w:color="auto"/>
              <w:left w:val="nil"/>
              <w:bottom w:val="single" w:sz="4" w:space="0" w:color="auto"/>
              <w:right w:val="nil"/>
            </w:tcBorders>
          </w:tcPr>
          <w:p w14:paraId="5C04690E" w14:textId="77777777" w:rsidR="00722D48" w:rsidRPr="00345AA4" w:rsidRDefault="00722D48" w:rsidP="00BF28A0">
            <w:pPr>
              <w:spacing w:after="0" w:line="240" w:lineRule="auto"/>
              <w:jc w:val="center"/>
              <w:rPr>
                <w:rFonts w:ascii="Arial" w:eastAsia="Times New Roman" w:hAnsi="Arial" w:cs="Arial"/>
                <w:b/>
                <w:bCs/>
                <w:color w:val="000000" w:themeColor="text1"/>
              </w:rPr>
            </w:pPr>
            <w:r w:rsidRPr="00345AA4">
              <w:rPr>
                <w:rFonts w:ascii="Arial" w:eastAsia="Times New Roman" w:hAnsi="Arial" w:cs="Arial"/>
                <w:b/>
                <w:bCs/>
                <w:color w:val="000000" w:themeColor="text1"/>
              </w:rPr>
              <w:t>Amount</w:t>
            </w:r>
          </w:p>
        </w:tc>
      </w:tr>
      <w:tr w:rsidR="00345AA4" w:rsidRPr="00345AA4" w14:paraId="53473212" w14:textId="77777777" w:rsidTr="00E41173">
        <w:trPr>
          <w:trHeight w:val="225"/>
        </w:trPr>
        <w:tc>
          <w:tcPr>
            <w:tcW w:w="6048" w:type="dxa"/>
            <w:tcBorders>
              <w:top w:val="nil"/>
              <w:left w:val="nil"/>
              <w:bottom w:val="nil"/>
              <w:right w:val="nil"/>
            </w:tcBorders>
            <w:shd w:val="clear" w:color="auto" w:fill="auto"/>
            <w:noWrap/>
            <w:vAlign w:val="bottom"/>
          </w:tcPr>
          <w:p w14:paraId="7FE48C80" w14:textId="77777777" w:rsidR="00722D48" w:rsidRPr="00345AA4" w:rsidRDefault="00722D48" w:rsidP="00BF28A0">
            <w:pPr>
              <w:spacing w:after="0" w:line="240" w:lineRule="auto"/>
              <w:rPr>
                <w:rFonts w:ascii="Arial" w:eastAsia="Times New Roman" w:hAnsi="Arial" w:cs="Arial"/>
                <w:color w:val="000000" w:themeColor="text1"/>
              </w:rPr>
            </w:pPr>
            <w:r w:rsidRPr="00345AA4">
              <w:rPr>
                <w:rFonts w:ascii="Arial" w:eastAsia="Times New Roman" w:hAnsi="Arial" w:cs="Arial"/>
                <w:b/>
                <w:bCs/>
                <w:color w:val="000000" w:themeColor="text1"/>
              </w:rPr>
              <w:t>Accounts receivable, trade</w:t>
            </w:r>
          </w:p>
        </w:tc>
        <w:tc>
          <w:tcPr>
            <w:tcW w:w="1890" w:type="dxa"/>
            <w:tcBorders>
              <w:top w:val="nil"/>
              <w:left w:val="nil"/>
              <w:bottom w:val="nil"/>
              <w:right w:val="nil"/>
            </w:tcBorders>
            <w:vAlign w:val="bottom"/>
          </w:tcPr>
          <w:p w14:paraId="7DEEF558" w14:textId="77777777" w:rsidR="00722D48" w:rsidRPr="00345AA4" w:rsidRDefault="00722D48" w:rsidP="00BF28A0">
            <w:pPr>
              <w:spacing w:after="0" w:line="240" w:lineRule="auto"/>
              <w:jc w:val="right"/>
              <w:rPr>
                <w:rFonts w:ascii="Arial" w:eastAsia="Times New Roman" w:hAnsi="Arial" w:cs="Arial"/>
                <w:color w:val="000000" w:themeColor="text1"/>
              </w:rPr>
            </w:pPr>
          </w:p>
        </w:tc>
      </w:tr>
      <w:tr w:rsidR="00345AA4" w:rsidRPr="00345AA4" w14:paraId="4219BDEF" w14:textId="77777777" w:rsidTr="00E41173">
        <w:trPr>
          <w:trHeight w:val="225"/>
        </w:trPr>
        <w:tc>
          <w:tcPr>
            <w:tcW w:w="6048" w:type="dxa"/>
            <w:tcBorders>
              <w:top w:val="nil"/>
              <w:left w:val="nil"/>
              <w:bottom w:val="nil"/>
              <w:right w:val="nil"/>
            </w:tcBorders>
            <w:shd w:val="clear" w:color="auto" w:fill="auto"/>
            <w:noWrap/>
            <w:vAlign w:val="bottom"/>
          </w:tcPr>
          <w:p w14:paraId="6D58B52D" w14:textId="77777777" w:rsidR="00722D48" w:rsidRPr="00345AA4" w:rsidRDefault="00722D48" w:rsidP="00E94A8C">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AR trade, lessee</w:t>
            </w:r>
          </w:p>
        </w:tc>
        <w:tc>
          <w:tcPr>
            <w:tcW w:w="1890" w:type="dxa"/>
            <w:tcBorders>
              <w:top w:val="nil"/>
              <w:left w:val="nil"/>
              <w:bottom w:val="nil"/>
              <w:right w:val="nil"/>
            </w:tcBorders>
            <w:vAlign w:val="bottom"/>
          </w:tcPr>
          <w:p w14:paraId="7F2B7AFA" w14:textId="48D0A70D" w:rsidR="00722D48" w:rsidRPr="00345AA4" w:rsidRDefault="00722D48" w:rsidP="00964281">
            <w:pPr>
              <w:spacing w:after="0" w:line="240" w:lineRule="auto"/>
              <w:jc w:val="right"/>
              <w:rPr>
                <w:rFonts w:ascii="Arial" w:eastAsia="Times New Roman" w:hAnsi="Arial" w:cs="Arial"/>
                <w:color w:val="000000" w:themeColor="text1"/>
              </w:rPr>
            </w:pPr>
            <w:r w:rsidRPr="00345AA4">
              <w:rPr>
                <w:rFonts w:ascii="Arial" w:eastAsia="Times New Roman" w:hAnsi="Arial" w:cs="Arial"/>
                <w:color w:val="000000" w:themeColor="text1"/>
              </w:rPr>
              <w:t>P 15</w:t>
            </w:r>
            <w:r w:rsidR="00447B23" w:rsidRPr="00345AA4">
              <w:rPr>
                <w:rFonts w:ascii="Arial" w:eastAsia="Times New Roman" w:hAnsi="Arial" w:cs="Arial"/>
                <w:color w:val="000000" w:themeColor="text1"/>
              </w:rPr>
              <w:t>4,145,114</w:t>
            </w:r>
            <w:r w:rsidRPr="00345AA4">
              <w:rPr>
                <w:rFonts w:ascii="Arial" w:eastAsia="Times New Roman" w:hAnsi="Arial" w:cs="Arial"/>
                <w:color w:val="000000" w:themeColor="text1"/>
              </w:rPr>
              <w:t xml:space="preserve"> </w:t>
            </w:r>
          </w:p>
        </w:tc>
      </w:tr>
      <w:tr w:rsidR="00345AA4" w:rsidRPr="00345AA4" w14:paraId="43D4E4C0" w14:textId="77777777" w:rsidTr="00E41173">
        <w:trPr>
          <w:trHeight w:val="225"/>
        </w:trPr>
        <w:tc>
          <w:tcPr>
            <w:tcW w:w="6048" w:type="dxa"/>
            <w:tcBorders>
              <w:top w:val="nil"/>
              <w:left w:val="nil"/>
              <w:bottom w:val="nil"/>
              <w:right w:val="nil"/>
            </w:tcBorders>
            <w:shd w:val="clear" w:color="auto" w:fill="auto"/>
            <w:noWrap/>
            <w:vAlign w:val="bottom"/>
          </w:tcPr>
          <w:p w14:paraId="70985010" w14:textId="77777777" w:rsidR="00722D48" w:rsidRPr="00345AA4" w:rsidRDefault="00722D48" w:rsidP="00E94A8C">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AR trade, real estate buyers</w:t>
            </w:r>
          </w:p>
        </w:tc>
        <w:tc>
          <w:tcPr>
            <w:tcW w:w="1890" w:type="dxa"/>
            <w:tcBorders>
              <w:top w:val="nil"/>
              <w:left w:val="nil"/>
              <w:bottom w:val="nil"/>
              <w:right w:val="nil"/>
            </w:tcBorders>
            <w:vAlign w:val="bottom"/>
          </w:tcPr>
          <w:p w14:paraId="1E4478A4" w14:textId="07A56F53" w:rsidR="00722D48" w:rsidRPr="00345AA4" w:rsidRDefault="00722D48" w:rsidP="00964281">
            <w:pPr>
              <w:spacing w:after="0" w:line="240" w:lineRule="auto"/>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    3,625,32</w:t>
            </w:r>
            <w:r w:rsidR="00447B23" w:rsidRPr="00345AA4">
              <w:rPr>
                <w:rFonts w:ascii="Arial" w:eastAsia="Times New Roman" w:hAnsi="Arial" w:cs="Arial"/>
                <w:color w:val="000000" w:themeColor="text1"/>
              </w:rPr>
              <w:t>1</w:t>
            </w:r>
            <w:r w:rsidRPr="00345AA4">
              <w:rPr>
                <w:rFonts w:ascii="Arial" w:eastAsia="Times New Roman" w:hAnsi="Arial" w:cs="Arial"/>
                <w:color w:val="000000" w:themeColor="text1"/>
              </w:rPr>
              <w:t xml:space="preserve"> </w:t>
            </w:r>
          </w:p>
        </w:tc>
      </w:tr>
      <w:tr w:rsidR="00345AA4" w:rsidRPr="00345AA4" w14:paraId="72CA5648" w14:textId="77777777" w:rsidTr="00E41173">
        <w:trPr>
          <w:trHeight w:val="225"/>
        </w:trPr>
        <w:tc>
          <w:tcPr>
            <w:tcW w:w="6048" w:type="dxa"/>
            <w:tcBorders>
              <w:top w:val="nil"/>
              <w:left w:val="nil"/>
              <w:bottom w:val="nil"/>
              <w:right w:val="nil"/>
            </w:tcBorders>
            <w:shd w:val="clear" w:color="auto" w:fill="auto"/>
            <w:noWrap/>
            <w:vAlign w:val="bottom"/>
          </w:tcPr>
          <w:p w14:paraId="595863EE" w14:textId="77777777" w:rsidR="00722D48" w:rsidRPr="00345AA4" w:rsidRDefault="00722D48" w:rsidP="00E94A8C">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AR trade, second REM</w:t>
            </w:r>
          </w:p>
        </w:tc>
        <w:tc>
          <w:tcPr>
            <w:tcW w:w="1890" w:type="dxa"/>
            <w:tcBorders>
              <w:top w:val="nil"/>
              <w:left w:val="nil"/>
              <w:bottom w:val="nil"/>
              <w:right w:val="nil"/>
            </w:tcBorders>
            <w:vAlign w:val="bottom"/>
          </w:tcPr>
          <w:p w14:paraId="2EFE748F" w14:textId="70AC6F35" w:rsidR="00722D48" w:rsidRPr="00345AA4" w:rsidRDefault="00722D48" w:rsidP="00964281">
            <w:pPr>
              <w:spacing w:after="0" w:line="240" w:lineRule="auto"/>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    2,888,57</w:t>
            </w:r>
            <w:r w:rsidR="00447B23" w:rsidRPr="00345AA4">
              <w:rPr>
                <w:rFonts w:ascii="Arial" w:eastAsia="Times New Roman" w:hAnsi="Arial" w:cs="Arial"/>
                <w:color w:val="000000" w:themeColor="text1"/>
              </w:rPr>
              <w:t>4</w:t>
            </w:r>
            <w:r w:rsidRPr="00345AA4">
              <w:rPr>
                <w:rFonts w:ascii="Arial" w:eastAsia="Times New Roman" w:hAnsi="Arial" w:cs="Arial"/>
                <w:color w:val="000000" w:themeColor="text1"/>
              </w:rPr>
              <w:t xml:space="preserve"> </w:t>
            </w:r>
          </w:p>
        </w:tc>
      </w:tr>
      <w:tr w:rsidR="00345AA4" w:rsidRPr="00345AA4" w14:paraId="554A1C39" w14:textId="77777777" w:rsidTr="00E41173">
        <w:trPr>
          <w:trHeight w:val="225"/>
        </w:trPr>
        <w:tc>
          <w:tcPr>
            <w:tcW w:w="6048" w:type="dxa"/>
            <w:tcBorders>
              <w:top w:val="nil"/>
              <w:left w:val="nil"/>
              <w:bottom w:val="nil"/>
              <w:right w:val="nil"/>
            </w:tcBorders>
            <w:shd w:val="clear" w:color="auto" w:fill="auto"/>
            <w:noWrap/>
            <w:vAlign w:val="bottom"/>
          </w:tcPr>
          <w:p w14:paraId="575CFB2C" w14:textId="77777777" w:rsidR="00722D48" w:rsidRPr="00345AA4" w:rsidRDefault="00722D48" w:rsidP="00E94A8C">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AR trade, others-beginning</w:t>
            </w:r>
          </w:p>
        </w:tc>
        <w:tc>
          <w:tcPr>
            <w:tcW w:w="1890" w:type="dxa"/>
            <w:tcBorders>
              <w:top w:val="nil"/>
              <w:left w:val="nil"/>
              <w:bottom w:val="nil"/>
              <w:right w:val="nil"/>
            </w:tcBorders>
            <w:vAlign w:val="bottom"/>
          </w:tcPr>
          <w:p w14:paraId="251C99EF" w14:textId="77777777" w:rsidR="00722D48" w:rsidRPr="00345AA4" w:rsidRDefault="00722D48" w:rsidP="00964281">
            <w:pPr>
              <w:spacing w:after="0" w:line="240" w:lineRule="auto"/>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    2,746,190 </w:t>
            </w:r>
          </w:p>
        </w:tc>
      </w:tr>
      <w:tr w:rsidR="00345AA4" w:rsidRPr="00345AA4" w14:paraId="5B7B1A03" w14:textId="77777777" w:rsidTr="00E41173">
        <w:trPr>
          <w:trHeight w:val="225"/>
        </w:trPr>
        <w:tc>
          <w:tcPr>
            <w:tcW w:w="6048" w:type="dxa"/>
            <w:tcBorders>
              <w:top w:val="nil"/>
              <w:left w:val="nil"/>
              <w:bottom w:val="nil"/>
              <w:right w:val="nil"/>
            </w:tcBorders>
            <w:shd w:val="clear" w:color="auto" w:fill="auto"/>
            <w:noWrap/>
            <w:vAlign w:val="bottom"/>
          </w:tcPr>
          <w:p w14:paraId="17298B9B" w14:textId="77777777" w:rsidR="00722D48" w:rsidRPr="00345AA4" w:rsidRDefault="00722D48" w:rsidP="00E94A8C">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AR discounted</w:t>
            </w:r>
          </w:p>
        </w:tc>
        <w:tc>
          <w:tcPr>
            <w:tcW w:w="1890" w:type="dxa"/>
            <w:tcBorders>
              <w:top w:val="nil"/>
              <w:left w:val="nil"/>
              <w:bottom w:val="nil"/>
              <w:right w:val="nil"/>
            </w:tcBorders>
            <w:vAlign w:val="bottom"/>
          </w:tcPr>
          <w:p w14:paraId="2FDD6511" w14:textId="77777777" w:rsidR="00722D48" w:rsidRPr="00345AA4" w:rsidRDefault="00722D48" w:rsidP="00964281">
            <w:pPr>
              <w:spacing w:after="0" w:line="240" w:lineRule="auto"/>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1,010,081 </w:t>
            </w:r>
          </w:p>
        </w:tc>
      </w:tr>
      <w:tr w:rsidR="00345AA4" w:rsidRPr="00345AA4" w14:paraId="75C856C9" w14:textId="77777777" w:rsidTr="00E41173">
        <w:trPr>
          <w:trHeight w:val="225"/>
        </w:trPr>
        <w:tc>
          <w:tcPr>
            <w:tcW w:w="6048" w:type="dxa"/>
            <w:tcBorders>
              <w:top w:val="nil"/>
              <w:left w:val="nil"/>
              <w:bottom w:val="nil"/>
              <w:right w:val="nil"/>
            </w:tcBorders>
            <w:shd w:val="clear" w:color="auto" w:fill="auto"/>
            <w:noWrap/>
            <w:vAlign w:val="bottom"/>
          </w:tcPr>
          <w:p w14:paraId="1CA1C0F4" w14:textId="77777777" w:rsidR="00722D48" w:rsidRPr="00345AA4" w:rsidRDefault="00722D48" w:rsidP="00E94A8C">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AR trade, equities</w:t>
            </w:r>
          </w:p>
        </w:tc>
        <w:tc>
          <w:tcPr>
            <w:tcW w:w="1890" w:type="dxa"/>
            <w:tcBorders>
              <w:top w:val="nil"/>
              <w:left w:val="nil"/>
              <w:bottom w:val="nil"/>
              <w:right w:val="nil"/>
            </w:tcBorders>
            <w:vAlign w:val="bottom"/>
          </w:tcPr>
          <w:p w14:paraId="04741EA5" w14:textId="77777777" w:rsidR="00722D48" w:rsidRPr="00345AA4" w:rsidRDefault="00722D48" w:rsidP="00964281">
            <w:pPr>
              <w:spacing w:after="0" w:line="240" w:lineRule="auto"/>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       399,915 </w:t>
            </w:r>
          </w:p>
        </w:tc>
      </w:tr>
      <w:tr w:rsidR="00345AA4" w:rsidRPr="00345AA4" w14:paraId="7DE06DAF" w14:textId="77777777" w:rsidTr="00E41173">
        <w:trPr>
          <w:trHeight w:val="225"/>
        </w:trPr>
        <w:tc>
          <w:tcPr>
            <w:tcW w:w="6048" w:type="dxa"/>
            <w:tcBorders>
              <w:top w:val="nil"/>
              <w:left w:val="nil"/>
              <w:bottom w:val="single" w:sz="4" w:space="0" w:color="auto"/>
              <w:right w:val="nil"/>
            </w:tcBorders>
            <w:shd w:val="clear" w:color="auto" w:fill="auto"/>
            <w:noWrap/>
            <w:vAlign w:val="bottom"/>
          </w:tcPr>
          <w:p w14:paraId="21B65BBA" w14:textId="77777777" w:rsidR="00722D48" w:rsidRPr="00345AA4" w:rsidRDefault="00722D48" w:rsidP="00E94A8C">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AR trade, financing retention</w:t>
            </w:r>
          </w:p>
        </w:tc>
        <w:tc>
          <w:tcPr>
            <w:tcW w:w="1890" w:type="dxa"/>
            <w:tcBorders>
              <w:top w:val="nil"/>
              <w:left w:val="nil"/>
              <w:bottom w:val="single" w:sz="4" w:space="0" w:color="auto"/>
              <w:right w:val="nil"/>
            </w:tcBorders>
            <w:vAlign w:val="bottom"/>
          </w:tcPr>
          <w:p w14:paraId="6BE9A80A" w14:textId="77777777" w:rsidR="00722D48" w:rsidRPr="00345AA4" w:rsidRDefault="00722D48" w:rsidP="00964281">
            <w:pPr>
              <w:spacing w:after="0" w:line="240" w:lineRule="auto"/>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       303,539 </w:t>
            </w:r>
          </w:p>
        </w:tc>
      </w:tr>
      <w:tr w:rsidR="00345AA4" w:rsidRPr="00345AA4" w14:paraId="10976FAB" w14:textId="77777777" w:rsidTr="00E41173">
        <w:trPr>
          <w:trHeight w:val="225"/>
        </w:trPr>
        <w:tc>
          <w:tcPr>
            <w:tcW w:w="6048" w:type="dxa"/>
            <w:tcBorders>
              <w:top w:val="single" w:sz="4" w:space="0" w:color="auto"/>
              <w:left w:val="nil"/>
              <w:bottom w:val="single" w:sz="4" w:space="0" w:color="auto"/>
              <w:right w:val="nil"/>
            </w:tcBorders>
            <w:shd w:val="clear" w:color="auto" w:fill="auto"/>
            <w:noWrap/>
            <w:vAlign w:val="bottom"/>
          </w:tcPr>
          <w:p w14:paraId="25DCBBB3" w14:textId="41BC718E" w:rsidR="00722D48" w:rsidRPr="00345AA4" w:rsidRDefault="00722D48" w:rsidP="00E94A8C">
            <w:pPr>
              <w:spacing w:after="0" w:line="240" w:lineRule="auto"/>
              <w:rPr>
                <w:rFonts w:ascii="Arial" w:eastAsia="Times New Roman" w:hAnsi="Arial" w:cs="Arial"/>
                <w:b/>
                <w:color w:val="000000" w:themeColor="text1"/>
              </w:rPr>
            </w:pPr>
            <w:r w:rsidRPr="00345AA4">
              <w:rPr>
                <w:rFonts w:ascii="Arial" w:eastAsia="Times New Roman" w:hAnsi="Arial" w:cs="Arial"/>
                <w:b/>
                <w:color w:val="000000" w:themeColor="text1"/>
              </w:rPr>
              <w:t>Sub</w:t>
            </w:r>
            <w:r w:rsidR="004177EE" w:rsidRPr="00345AA4">
              <w:rPr>
                <w:rFonts w:ascii="Arial" w:eastAsia="Times New Roman" w:hAnsi="Arial" w:cs="Arial"/>
                <w:b/>
                <w:color w:val="000000" w:themeColor="text1"/>
              </w:rPr>
              <w:t>-</w:t>
            </w:r>
            <w:r w:rsidRPr="00345AA4">
              <w:rPr>
                <w:rFonts w:ascii="Arial" w:eastAsia="Times New Roman" w:hAnsi="Arial" w:cs="Arial"/>
                <w:b/>
                <w:color w:val="000000" w:themeColor="text1"/>
              </w:rPr>
              <w:t>total</w:t>
            </w:r>
          </w:p>
        </w:tc>
        <w:tc>
          <w:tcPr>
            <w:tcW w:w="1890" w:type="dxa"/>
            <w:tcBorders>
              <w:top w:val="single" w:sz="4" w:space="0" w:color="auto"/>
              <w:left w:val="nil"/>
              <w:bottom w:val="single" w:sz="4" w:space="0" w:color="auto"/>
              <w:right w:val="nil"/>
            </w:tcBorders>
            <w:vAlign w:val="bottom"/>
          </w:tcPr>
          <w:p w14:paraId="201995E0" w14:textId="22333CF7" w:rsidR="00722D48" w:rsidRPr="00345AA4" w:rsidRDefault="00BA0F80" w:rsidP="00E94A8C">
            <w:pPr>
              <w:spacing w:after="0" w:line="240" w:lineRule="auto"/>
              <w:jc w:val="right"/>
              <w:rPr>
                <w:rFonts w:ascii="Arial" w:eastAsia="Times New Roman" w:hAnsi="Arial" w:cs="Arial"/>
                <w:color w:val="000000" w:themeColor="text1"/>
              </w:rPr>
            </w:pPr>
            <w:r w:rsidRPr="00345AA4">
              <w:rPr>
                <w:rFonts w:ascii="Arial" w:eastAsia="Times New Roman" w:hAnsi="Arial" w:cs="Arial"/>
                <w:b/>
                <w:bCs/>
                <w:color w:val="000000" w:themeColor="text1"/>
              </w:rPr>
              <w:t>P 16</w:t>
            </w:r>
            <w:r w:rsidR="00447B23" w:rsidRPr="00345AA4">
              <w:rPr>
                <w:rFonts w:ascii="Arial" w:eastAsia="Times New Roman" w:hAnsi="Arial" w:cs="Arial"/>
                <w:b/>
                <w:bCs/>
                <w:color w:val="000000" w:themeColor="text1"/>
              </w:rPr>
              <w:t>5,118,734</w:t>
            </w:r>
          </w:p>
        </w:tc>
      </w:tr>
      <w:tr w:rsidR="00345AA4" w:rsidRPr="00345AA4" w14:paraId="5093A6B7" w14:textId="77777777" w:rsidTr="00E41173">
        <w:trPr>
          <w:trHeight w:val="225"/>
        </w:trPr>
        <w:tc>
          <w:tcPr>
            <w:tcW w:w="7938" w:type="dxa"/>
            <w:gridSpan w:val="2"/>
            <w:tcBorders>
              <w:top w:val="nil"/>
              <w:left w:val="nil"/>
              <w:bottom w:val="nil"/>
              <w:right w:val="nil"/>
            </w:tcBorders>
            <w:shd w:val="clear" w:color="auto" w:fill="auto"/>
            <w:noWrap/>
            <w:vAlign w:val="center"/>
          </w:tcPr>
          <w:p w14:paraId="1CA3BCEE" w14:textId="77777777" w:rsidR="00722D48" w:rsidRPr="00345AA4" w:rsidRDefault="00722D48" w:rsidP="00E94A8C">
            <w:pPr>
              <w:spacing w:after="0" w:line="240" w:lineRule="auto"/>
              <w:rPr>
                <w:rFonts w:ascii="Arial" w:eastAsia="Times New Roman" w:hAnsi="Arial" w:cs="Arial"/>
                <w:color w:val="000000" w:themeColor="text1"/>
              </w:rPr>
            </w:pPr>
            <w:r w:rsidRPr="00345AA4">
              <w:rPr>
                <w:rFonts w:ascii="Arial" w:eastAsia="Times New Roman" w:hAnsi="Arial" w:cs="Arial"/>
                <w:b/>
                <w:bCs/>
                <w:color w:val="000000" w:themeColor="text1"/>
              </w:rPr>
              <w:t>Accrued interest and dividend receivable</w:t>
            </w:r>
          </w:p>
        </w:tc>
      </w:tr>
      <w:tr w:rsidR="00345AA4" w:rsidRPr="00345AA4" w14:paraId="08D19493" w14:textId="77777777" w:rsidTr="00E41173">
        <w:trPr>
          <w:trHeight w:val="225"/>
        </w:trPr>
        <w:tc>
          <w:tcPr>
            <w:tcW w:w="6048" w:type="dxa"/>
            <w:tcBorders>
              <w:top w:val="nil"/>
              <w:left w:val="nil"/>
              <w:bottom w:val="nil"/>
              <w:right w:val="nil"/>
            </w:tcBorders>
            <w:shd w:val="clear" w:color="auto" w:fill="auto"/>
            <w:noWrap/>
            <w:vAlign w:val="center"/>
          </w:tcPr>
          <w:p w14:paraId="4B6F936C" w14:textId="77777777" w:rsidR="00722D48" w:rsidRPr="00345AA4" w:rsidRDefault="00722D48" w:rsidP="00E94A8C">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Accrued interest income, long term investment</w:t>
            </w:r>
          </w:p>
        </w:tc>
        <w:tc>
          <w:tcPr>
            <w:tcW w:w="1890" w:type="dxa"/>
            <w:tcBorders>
              <w:top w:val="nil"/>
              <w:left w:val="nil"/>
              <w:bottom w:val="nil"/>
              <w:right w:val="nil"/>
            </w:tcBorders>
            <w:vAlign w:val="center"/>
          </w:tcPr>
          <w:p w14:paraId="12776104" w14:textId="77777777" w:rsidR="00722D48" w:rsidRPr="00345AA4" w:rsidRDefault="00722D48" w:rsidP="00E94A8C">
            <w:pPr>
              <w:spacing w:after="0" w:line="240" w:lineRule="auto"/>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P   39,573,958 </w:t>
            </w:r>
          </w:p>
        </w:tc>
      </w:tr>
      <w:tr w:rsidR="00345AA4" w:rsidRPr="00345AA4" w14:paraId="61855A1D" w14:textId="77777777" w:rsidTr="00E41173">
        <w:trPr>
          <w:trHeight w:val="225"/>
        </w:trPr>
        <w:tc>
          <w:tcPr>
            <w:tcW w:w="6048" w:type="dxa"/>
            <w:tcBorders>
              <w:top w:val="nil"/>
              <w:left w:val="nil"/>
              <w:bottom w:val="nil"/>
              <w:right w:val="nil"/>
            </w:tcBorders>
            <w:shd w:val="clear" w:color="auto" w:fill="auto"/>
            <w:noWrap/>
            <w:vAlign w:val="center"/>
          </w:tcPr>
          <w:p w14:paraId="6B3D6EC4" w14:textId="77777777" w:rsidR="00722D48" w:rsidRPr="00345AA4" w:rsidRDefault="00722D48" w:rsidP="00E94A8C">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Accrued interest income, short term investment</w:t>
            </w:r>
          </w:p>
        </w:tc>
        <w:tc>
          <w:tcPr>
            <w:tcW w:w="1890" w:type="dxa"/>
            <w:tcBorders>
              <w:top w:val="nil"/>
              <w:left w:val="nil"/>
              <w:bottom w:val="nil"/>
              <w:right w:val="nil"/>
            </w:tcBorders>
            <w:vAlign w:val="center"/>
          </w:tcPr>
          <w:p w14:paraId="2ECF4B37" w14:textId="77777777" w:rsidR="00722D48" w:rsidRPr="00345AA4" w:rsidRDefault="00722D48" w:rsidP="00E94A8C">
            <w:pPr>
              <w:spacing w:after="0" w:line="240" w:lineRule="auto"/>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    6,500,134 </w:t>
            </w:r>
          </w:p>
        </w:tc>
      </w:tr>
      <w:tr w:rsidR="00345AA4" w:rsidRPr="00345AA4" w14:paraId="61CFC69F" w14:textId="77777777" w:rsidTr="00E41173">
        <w:trPr>
          <w:trHeight w:val="225"/>
        </w:trPr>
        <w:tc>
          <w:tcPr>
            <w:tcW w:w="6048" w:type="dxa"/>
            <w:tcBorders>
              <w:top w:val="nil"/>
              <w:left w:val="nil"/>
              <w:bottom w:val="nil"/>
              <w:right w:val="nil"/>
            </w:tcBorders>
            <w:shd w:val="clear" w:color="auto" w:fill="auto"/>
            <w:noWrap/>
            <w:vAlign w:val="bottom"/>
          </w:tcPr>
          <w:p w14:paraId="53DF0245" w14:textId="77777777" w:rsidR="00722D48" w:rsidRPr="00345AA4" w:rsidRDefault="00722D48" w:rsidP="00E94A8C">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Accrued interest income, others</w:t>
            </w:r>
          </w:p>
        </w:tc>
        <w:tc>
          <w:tcPr>
            <w:tcW w:w="1890" w:type="dxa"/>
            <w:tcBorders>
              <w:top w:val="nil"/>
              <w:left w:val="nil"/>
              <w:bottom w:val="nil"/>
              <w:right w:val="nil"/>
            </w:tcBorders>
            <w:vAlign w:val="bottom"/>
          </w:tcPr>
          <w:p w14:paraId="2D66F4F3" w14:textId="77777777" w:rsidR="00722D48" w:rsidRPr="00345AA4" w:rsidRDefault="00722D48" w:rsidP="00E94A8C">
            <w:pPr>
              <w:spacing w:after="0" w:line="240" w:lineRule="auto"/>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    6,164,636 </w:t>
            </w:r>
          </w:p>
        </w:tc>
      </w:tr>
      <w:tr w:rsidR="00345AA4" w:rsidRPr="00345AA4" w14:paraId="230E29B4" w14:textId="77777777" w:rsidTr="00E41173">
        <w:trPr>
          <w:trHeight w:val="225"/>
        </w:trPr>
        <w:tc>
          <w:tcPr>
            <w:tcW w:w="6048" w:type="dxa"/>
            <w:tcBorders>
              <w:top w:val="nil"/>
              <w:left w:val="nil"/>
              <w:bottom w:val="nil"/>
              <w:right w:val="nil"/>
            </w:tcBorders>
            <w:shd w:val="clear" w:color="auto" w:fill="auto"/>
            <w:noWrap/>
            <w:vAlign w:val="center"/>
            <w:hideMark/>
          </w:tcPr>
          <w:p w14:paraId="5B20BEA2" w14:textId="09AB4EF8" w:rsidR="00F8148E" w:rsidRPr="00345AA4" w:rsidRDefault="00F8148E" w:rsidP="00E94A8C">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(Forward)</w:t>
            </w:r>
          </w:p>
          <w:p w14:paraId="7B03B260" w14:textId="5B36A9E6" w:rsidR="00722D48" w:rsidRPr="00345AA4" w:rsidRDefault="00722D48" w:rsidP="00E94A8C">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lastRenderedPageBreak/>
              <w:t>Accrued interest income on installment contract receivable</w:t>
            </w:r>
          </w:p>
        </w:tc>
        <w:tc>
          <w:tcPr>
            <w:tcW w:w="1890" w:type="dxa"/>
            <w:tcBorders>
              <w:top w:val="nil"/>
              <w:left w:val="nil"/>
              <w:bottom w:val="nil"/>
              <w:right w:val="nil"/>
            </w:tcBorders>
            <w:vAlign w:val="center"/>
          </w:tcPr>
          <w:p w14:paraId="12C2FC75" w14:textId="77777777" w:rsidR="00F8148E" w:rsidRPr="00345AA4" w:rsidRDefault="00722D48" w:rsidP="00E94A8C">
            <w:pPr>
              <w:spacing w:after="0" w:line="240" w:lineRule="auto"/>
              <w:jc w:val="right"/>
              <w:rPr>
                <w:rFonts w:ascii="Arial" w:eastAsia="Times New Roman" w:hAnsi="Arial" w:cs="Arial"/>
                <w:color w:val="000000" w:themeColor="text1"/>
              </w:rPr>
            </w:pPr>
            <w:r w:rsidRPr="00345AA4">
              <w:rPr>
                <w:rFonts w:ascii="Arial" w:eastAsia="Times New Roman" w:hAnsi="Arial" w:cs="Arial"/>
                <w:color w:val="000000" w:themeColor="text1"/>
              </w:rPr>
              <w:lastRenderedPageBreak/>
              <w:t xml:space="preserve">   </w:t>
            </w:r>
          </w:p>
          <w:p w14:paraId="57DF0D4D" w14:textId="24274D08" w:rsidR="00722D48" w:rsidRPr="00345AA4" w:rsidRDefault="00722D48" w:rsidP="00E94A8C">
            <w:pPr>
              <w:spacing w:after="0" w:line="240" w:lineRule="auto"/>
              <w:jc w:val="right"/>
              <w:rPr>
                <w:rFonts w:ascii="Arial" w:eastAsia="Times New Roman" w:hAnsi="Arial" w:cs="Arial"/>
                <w:color w:val="000000" w:themeColor="text1"/>
              </w:rPr>
            </w:pPr>
            <w:r w:rsidRPr="00345AA4">
              <w:rPr>
                <w:rFonts w:ascii="Arial" w:eastAsia="Times New Roman" w:hAnsi="Arial" w:cs="Arial"/>
                <w:color w:val="000000" w:themeColor="text1"/>
              </w:rPr>
              <w:lastRenderedPageBreak/>
              <w:t xml:space="preserve">4,962,443 </w:t>
            </w:r>
          </w:p>
        </w:tc>
      </w:tr>
      <w:tr w:rsidR="00345AA4" w:rsidRPr="00345AA4" w14:paraId="42AC2E9D" w14:textId="77777777" w:rsidTr="00E41173">
        <w:trPr>
          <w:trHeight w:val="243"/>
        </w:trPr>
        <w:tc>
          <w:tcPr>
            <w:tcW w:w="6048" w:type="dxa"/>
            <w:tcBorders>
              <w:top w:val="nil"/>
              <w:left w:val="nil"/>
              <w:bottom w:val="nil"/>
              <w:right w:val="nil"/>
            </w:tcBorders>
            <w:shd w:val="clear" w:color="auto" w:fill="auto"/>
            <w:noWrap/>
            <w:vAlign w:val="bottom"/>
          </w:tcPr>
          <w:p w14:paraId="716292FD" w14:textId="77777777" w:rsidR="00722D48" w:rsidRPr="00345AA4" w:rsidRDefault="00722D48" w:rsidP="00E94A8C">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lastRenderedPageBreak/>
              <w:t>Dividend receivable</w:t>
            </w:r>
          </w:p>
        </w:tc>
        <w:tc>
          <w:tcPr>
            <w:tcW w:w="1890" w:type="dxa"/>
            <w:tcBorders>
              <w:top w:val="nil"/>
              <w:left w:val="nil"/>
              <w:bottom w:val="nil"/>
              <w:right w:val="nil"/>
            </w:tcBorders>
            <w:vAlign w:val="bottom"/>
          </w:tcPr>
          <w:p w14:paraId="6DADE161" w14:textId="77777777" w:rsidR="00722D48" w:rsidRPr="00345AA4" w:rsidRDefault="00722D48" w:rsidP="00E94A8C">
            <w:pPr>
              <w:spacing w:after="0" w:line="240" w:lineRule="auto"/>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    2,381,660 </w:t>
            </w:r>
          </w:p>
        </w:tc>
      </w:tr>
      <w:tr w:rsidR="00345AA4" w:rsidRPr="00345AA4" w14:paraId="6B30AD37" w14:textId="77777777" w:rsidTr="00E41173">
        <w:trPr>
          <w:trHeight w:val="225"/>
        </w:trPr>
        <w:tc>
          <w:tcPr>
            <w:tcW w:w="6048" w:type="dxa"/>
            <w:tcBorders>
              <w:top w:val="nil"/>
              <w:left w:val="nil"/>
              <w:bottom w:val="single" w:sz="4" w:space="0" w:color="auto"/>
              <w:right w:val="nil"/>
            </w:tcBorders>
            <w:shd w:val="clear" w:color="auto" w:fill="auto"/>
            <w:noWrap/>
            <w:vAlign w:val="bottom"/>
          </w:tcPr>
          <w:p w14:paraId="628517EC" w14:textId="77777777" w:rsidR="00722D48" w:rsidRPr="00345AA4" w:rsidRDefault="00722D48" w:rsidP="00E94A8C">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Accrued interest income, member loans</w:t>
            </w:r>
          </w:p>
        </w:tc>
        <w:tc>
          <w:tcPr>
            <w:tcW w:w="1890" w:type="dxa"/>
            <w:tcBorders>
              <w:top w:val="nil"/>
              <w:left w:val="nil"/>
              <w:bottom w:val="single" w:sz="4" w:space="0" w:color="auto"/>
              <w:right w:val="nil"/>
            </w:tcBorders>
            <w:vAlign w:val="bottom"/>
          </w:tcPr>
          <w:p w14:paraId="26F39F3D" w14:textId="77777777" w:rsidR="00722D48" w:rsidRPr="00345AA4" w:rsidRDefault="00722D48" w:rsidP="00E94A8C">
            <w:pPr>
              <w:spacing w:after="0" w:line="240" w:lineRule="auto"/>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        52,045 </w:t>
            </w:r>
          </w:p>
        </w:tc>
      </w:tr>
      <w:tr w:rsidR="00345AA4" w:rsidRPr="00345AA4" w14:paraId="313C0AD0" w14:textId="77777777" w:rsidTr="00E41173">
        <w:trPr>
          <w:trHeight w:val="225"/>
        </w:trPr>
        <w:tc>
          <w:tcPr>
            <w:tcW w:w="6048" w:type="dxa"/>
            <w:tcBorders>
              <w:top w:val="single" w:sz="4" w:space="0" w:color="auto"/>
              <w:left w:val="nil"/>
              <w:bottom w:val="single" w:sz="4" w:space="0" w:color="auto"/>
              <w:right w:val="nil"/>
            </w:tcBorders>
            <w:shd w:val="clear" w:color="auto" w:fill="auto"/>
            <w:noWrap/>
            <w:vAlign w:val="bottom"/>
          </w:tcPr>
          <w:p w14:paraId="457210D0" w14:textId="13DCD546" w:rsidR="00722D48" w:rsidRPr="00345AA4" w:rsidRDefault="00722D48" w:rsidP="00E94A8C">
            <w:pPr>
              <w:spacing w:after="0" w:line="240" w:lineRule="auto"/>
              <w:rPr>
                <w:rFonts w:ascii="Arial" w:eastAsia="Times New Roman" w:hAnsi="Arial" w:cs="Arial"/>
                <w:color w:val="000000" w:themeColor="text1"/>
              </w:rPr>
            </w:pPr>
            <w:r w:rsidRPr="00345AA4">
              <w:rPr>
                <w:rFonts w:ascii="Arial" w:eastAsia="Times New Roman" w:hAnsi="Arial" w:cs="Arial"/>
                <w:b/>
                <w:color w:val="000000" w:themeColor="text1"/>
              </w:rPr>
              <w:t>Sub</w:t>
            </w:r>
            <w:r w:rsidR="004177EE" w:rsidRPr="00345AA4">
              <w:rPr>
                <w:rFonts w:ascii="Arial" w:eastAsia="Times New Roman" w:hAnsi="Arial" w:cs="Arial"/>
                <w:b/>
                <w:color w:val="000000" w:themeColor="text1"/>
              </w:rPr>
              <w:t>-</w:t>
            </w:r>
            <w:r w:rsidRPr="00345AA4">
              <w:rPr>
                <w:rFonts w:ascii="Arial" w:eastAsia="Times New Roman" w:hAnsi="Arial" w:cs="Arial"/>
                <w:b/>
                <w:color w:val="000000" w:themeColor="text1"/>
              </w:rPr>
              <w:t>total</w:t>
            </w:r>
          </w:p>
        </w:tc>
        <w:tc>
          <w:tcPr>
            <w:tcW w:w="1890" w:type="dxa"/>
            <w:tcBorders>
              <w:top w:val="single" w:sz="4" w:space="0" w:color="auto"/>
              <w:left w:val="nil"/>
              <w:bottom w:val="single" w:sz="4" w:space="0" w:color="auto"/>
              <w:right w:val="nil"/>
            </w:tcBorders>
            <w:vAlign w:val="bottom"/>
          </w:tcPr>
          <w:p w14:paraId="43FBE2E4" w14:textId="77777777" w:rsidR="00722D48" w:rsidRPr="00345AA4" w:rsidRDefault="00722D48" w:rsidP="00E94A8C">
            <w:pPr>
              <w:spacing w:after="0" w:line="240" w:lineRule="auto"/>
              <w:jc w:val="right"/>
              <w:rPr>
                <w:rFonts w:ascii="Arial" w:eastAsia="Times New Roman" w:hAnsi="Arial" w:cs="Arial"/>
                <w:color w:val="000000" w:themeColor="text1"/>
              </w:rPr>
            </w:pPr>
            <w:r w:rsidRPr="00345AA4">
              <w:rPr>
                <w:rFonts w:ascii="Arial" w:eastAsia="Times New Roman" w:hAnsi="Arial" w:cs="Arial"/>
                <w:b/>
                <w:bCs/>
                <w:color w:val="000000" w:themeColor="text1"/>
              </w:rPr>
              <w:t>P   59,634,876</w:t>
            </w:r>
          </w:p>
        </w:tc>
      </w:tr>
      <w:tr w:rsidR="00345AA4" w:rsidRPr="00345AA4" w14:paraId="25416735" w14:textId="77777777" w:rsidTr="00E41173">
        <w:trPr>
          <w:trHeight w:val="225"/>
        </w:trPr>
        <w:tc>
          <w:tcPr>
            <w:tcW w:w="6048" w:type="dxa"/>
            <w:tcBorders>
              <w:top w:val="nil"/>
              <w:left w:val="nil"/>
              <w:bottom w:val="nil"/>
              <w:right w:val="nil"/>
            </w:tcBorders>
            <w:shd w:val="clear" w:color="auto" w:fill="auto"/>
            <w:noWrap/>
            <w:vAlign w:val="bottom"/>
          </w:tcPr>
          <w:p w14:paraId="67779A10" w14:textId="77777777" w:rsidR="00722D48" w:rsidRPr="00345AA4" w:rsidRDefault="00722D48" w:rsidP="00E94A8C">
            <w:pPr>
              <w:spacing w:after="0" w:line="240" w:lineRule="auto"/>
              <w:rPr>
                <w:rFonts w:ascii="Arial" w:eastAsia="Times New Roman" w:hAnsi="Arial" w:cs="Arial"/>
                <w:color w:val="000000" w:themeColor="text1"/>
              </w:rPr>
            </w:pPr>
            <w:r w:rsidRPr="00345AA4">
              <w:rPr>
                <w:rFonts w:ascii="Arial" w:eastAsia="Times New Roman" w:hAnsi="Arial" w:cs="Arial"/>
                <w:b/>
                <w:bCs/>
                <w:color w:val="000000" w:themeColor="text1"/>
              </w:rPr>
              <w:t>Accounts receivables, others</w:t>
            </w:r>
          </w:p>
        </w:tc>
        <w:tc>
          <w:tcPr>
            <w:tcW w:w="1890" w:type="dxa"/>
            <w:tcBorders>
              <w:top w:val="nil"/>
              <w:left w:val="nil"/>
              <w:bottom w:val="nil"/>
              <w:right w:val="nil"/>
            </w:tcBorders>
            <w:vAlign w:val="bottom"/>
          </w:tcPr>
          <w:p w14:paraId="725E431B" w14:textId="77777777" w:rsidR="00722D48" w:rsidRPr="00345AA4" w:rsidRDefault="00722D48" w:rsidP="00E94A8C">
            <w:pPr>
              <w:spacing w:after="0" w:line="240" w:lineRule="auto"/>
              <w:jc w:val="right"/>
              <w:rPr>
                <w:rFonts w:ascii="Arial" w:eastAsia="Times New Roman" w:hAnsi="Arial" w:cs="Arial"/>
                <w:color w:val="000000" w:themeColor="text1"/>
              </w:rPr>
            </w:pPr>
          </w:p>
        </w:tc>
      </w:tr>
      <w:tr w:rsidR="00345AA4" w:rsidRPr="00345AA4" w14:paraId="0C3F77E8" w14:textId="77777777" w:rsidTr="00E41173">
        <w:trPr>
          <w:trHeight w:val="225"/>
        </w:trPr>
        <w:tc>
          <w:tcPr>
            <w:tcW w:w="6048" w:type="dxa"/>
            <w:tcBorders>
              <w:top w:val="nil"/>
              <w:left w:val="nil"/>
              <w:bottom w:val="nil"/>
              <w:right w:val="nil"/>
            </w:tcBorders>
            <w:shd w:val="clear" w:color="auto" w:fill="auto"/>
            <w:noWrap/>
            <w:vAlign w:val="bottom"/>
          </w:tcPr>
          <w:p w14:paraId="59213498" w14:textId="77777777" w:rsidR="00076E79" w:rsidRPr="00345AA4" w:rsidRDefault="00076E79" w:rsidP="00076E79">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AR others</w:t>
            </w:r>
          </w:p>
        </w:tc>
        <w:tc>
          <w:tcPr>
            <w:tcW w:w="1890" w:type="dxa"/>
            <w:tcBorders>
              <w:top w:val="nil"/>
              <w:left w:val="nil"/>
              <w:bottom w:val="nil"/>
              <w:right w:val="nil"/>
            </w:tcBorders>
            <w:vAlign w:val="bottom"/>
          </w:tcPr>
          <w:p w14:paraId="69EB8AFA" w14:textId="77777777" w:rsidR="00076E79" w:rsidRPr="00345AA4" w:rsidRDefault="00076E79" w:rsidP="00964281">
            <w:pPr>
              <w:spacing w:after="0" w:line="240" w:lineRule="auto"/>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364,944,197 </w:t>
            </w:r>
          </w:p>
        </w:tc>
      </w:tr>
      <w:tr w:rsidR="00345AA4" w:rsidRPr="00345AA4" w14:paraId="79276F2B" w14:textId="77777777" w:rsidTr="00E41173">
        <w:trPr>
          <w:trHeight w:val="225"/>
        </w:trPr>
        <w:tc>
          <w:tcPr>
            <w:tcW w:w="6048" w:type="dxa"/>
            <w:tcBorders>
              <w:top w:val="nil"/>
              <w:left w:val="nil"/>
              <w:bottom w:val="nil"/>
              <w:right w:val="nil"/>
            </w:tcBorders>
            <w:shd w:val="clear" w:color="auto" w:fill="auto"/>
            <w:noWrap/>
            <w:vAlign w:val="bottom"/>
          </w:tcPr>
          <w:p w14:paraId="79E7C603" w14:textId="77777777" w:rsidR="00076E79" w:rsidRPr="00345AA4" w:rsidRDefault="00076E79" w:rsidP="00076E79">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AR non trade</w:t>
            </w:r>
          </w:p>
        </w:tc>
        <w:tc>
          <w:tcPr>
            <w:tcW w:w="1890" w:type="dxa"/>
            <w:tcBorders>
              <w:top w:val="nil"/>
              <w:left w:val="nil"/>
              <w:bottom w:val="nil"/>
              <w:right w:val="nil"/>
            </w:tcBorders>
            <w:vAlign w:val="bottom"/>
          </w:tcPr>
          <w:p w14:paraId="4BA44CE9" w14:textId="77777777" w:rsidR="00076E79" w:rsidRPr="00345AA4" w:rsidRDefault="00076E79" w:rsidP="00964281">
            <w:pPr>
              <w:spacing w:after="0" w:line="240" w:lineRule="auto"/>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  32,726,559 </w:t>
            </w:r>
          </w:p>
        </w:tc>
      </w:tr>
      <w:tr w:rsidR="00345AA4" w:rsidRPr="00345AA4" w14:paraId="53FA2594" w14:textId="77777777" w:rsidTr="00E41173">
        <w:trPr>
          <w:trHeight w:val="225"/>
        </w:trPr>
        <w:tc>
          <w:tcPr>
            <w:tcW w:w="6048" w:type="dxa"/>
            <w:tcBorders>
              <w:top w:val="nil"/>
              <w:left w:val="nil"/>
              <w:bottom w:val="nil"/>
              <w:right w:val="nil"/>
            </w:tcBorders>
            <w:shd w:val="clear" w:color="auto" w:fill="auto"/>
            <w:noWrap/>
            <w:vAlign w:val="bottom"/>
          </w:tcPr>
          <w:p w14:paraId="78E0AD5E" w14:textId="77777777" w:rsidR="00076E79" w:rsidRPr="00345AA4" w:rsidRDefault="00076E79" w:rsidP="00076E79">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Due from JV office/partner</w:t>
            </w:r>
          </w:p>
        </w:tc>
        <w:tc>
          <w:tcPr>
            <w:tcW w:w="1890" w:type="dxa"/>
            <w:tcBorders>
              <w:top w:val="nil"/>
              <w:left w:val="nil"/>
              <w:bottom w:val="nil"/>
              <w:right w:val="nil"/>
            </w:tcBorders>
            <w:vAlign w:val="bottom"/>
          </w:tcPr>
          <w:p w14:paraId="5E67ECF4" w14:textId="77777777" w:rsidR="00076E79" w:rsidRPr="00345AA4" w:rsidRDefault="00076E79" w:rsidP="00964281">
            <w:pPr>
              <w:spacing w:after="0" w:line="240" w:lineRule="auto"/>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  18,925,586 </w:t>
            </w:r>
          </w:p>
        </w:tc>
      </w:tr>
      <w:tr w:rsidR="00345AA4" w:rsidRPr="00345AA4" w14:paraId="3BED5192" w14:textId="77777777" w:rsidTr="00E41173">
        <w:trPr>
          <w:trHeight w:val="225"/>
        </w:trPr>
        <w:tc>
          <w:tcPr>
            <w:tcW w:w="6048" w:type="dxa"/>
            <w:tcBorders>
              <w:top w:val="nil"/>
              <w:left w:val="nil"/>
              <w:bottom w:val="nil"/>
              <w:right w:val="nil"/>
            </w:tcBorders>
            <w:shd w:val="clear" w:color="auto" w:fill="auto"/>
            <w:noWrap/>
            <w:vAlign w:val="bottom"/>
          </w:tcPr>
          <w:p w14:paraId="3E808FE8" w14:textId="77777777" w:rsidR="00076E79" w:rsidRPr="00345AA4" w:rsidRDefault="00076E79" w:rsidP="00076E79">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AR JV memorial</w:t>
            </w:r>
          </w:p>
        </w:tc>
        <w:tc>
          <w:tcPr>
            <w:tcW w:w="1890" w:type="dxa"/>
            <w:tcBorders>
              <w:top w:val="nil"/>
              <w:left w:val="nil"/>
              <w:bottom w:val="nil"/>
              <w:right w:val="nil"/>
            </w:tcBorders>
            <w:vAlign w:val="bottom"/>
          </w:tcPr>
          <w:p w14:paraId="651D9BC2" w14:textId="77777777" w:rsidR="00076E79" w:rsidRPr="00345AA4" w:rsidRDefault="00076E79" w:rsidP="00964281">
            <w:pPr>
              <w:spacing w:after="0" w:line="240" w:lineRule="auto"/>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    3,610,380 </w:t>
            </w:r>
          </w:p>
        </w:tc>
      </w:tr>
      <w:tr w:rsidR="00345AA4" w:rsidRPr="00345AA4" w14:paraId="5B72B867" w14:textId="77777777" w:rsidTr="00E41173">
        <w:trPr>
          <w:trHeight w:val="225"/>
        </w:trPr>
        <w:tc>
          <w:tcPr>
            <w:tcW w:w="6048" w:type="dxa"/>
            <w:tcBorders>
              <w:top w:val="nil"/>
              <w:left w:val="nil"/>
              <w:bottom w:val="nil"/>
              <w:right w:val="nil"/>
            </w:tcBorders>
            <w:shd w:val="clear" w:color="auto" w:fill="auto"/>
            <w:noWrap/>
            <w:vAlign w:val="bottom"/>
          </w:tcPr>
          <w:p w14:paraId="1A5F1DB1" w14:textId="77777777" w:rsidR="00076E79" w:rsidRPr="00345AA4" w:rsidRDefault="00076E79" w:rsidP="00076E79">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Advances to contractors</w:t>
            </w:r>
          </w:p>
        </w:tc>
        <w:tc>
          <w:tcPr>
            <w:tcW w:w="1890" w:type="dxa"/>
            <w:tcBorders>
              <w:top w:val="nil"/>
              <w:left w:val="nil"/>
              <w:bottom w:val="nil"/>
              <w:right w:val="nil"/>
            </w:tcBorders>
            <w:vAlign w:val="bottom"/>
          </w:tcPr>
          <w:p w14:paraId="4E02C5FF" w14:textId="77777777" w:rsidR="00076E79" w:rsidRPr="00345AA4" w:rsidRDefault="00076E79" w:rsidP="00964281">
            <w:pPr>
              <w:spacing w:after="0" w:line="240" w:lineRule="auto"/>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    1,750,452 </w:t>
            </w:r>
          </w:p>
        </w:tc>
      </w:tr>
      <w:tr w:rsidR="00345AA4" w:rsidRPr="00345AA4" w14:paraId="6E579107" w14:textId="77777777" w:rsidTr="00E41173">
        <w:trPr>
          <w:trHeight w:val="225"/>
        </w:trPr>
        <w:tc>
          <w:tcPr>
            <w:tcW w:w="6048" w:type="dxa"/>
            <w:tcBorders>
              <w:top w:val="nil"/>
              <w:left w:val="nil"/>
              <w:bottom w:val="nil"/>
              <w:right w:val="nil"/>
            </w:tcBorders>
            <w:shd w:val="clear" w:color="auto" w:fill="auto"/>
            <w:noWrap/>
            <w:vAlign w:val="bottom"/>
          </w:tcPr>
          <w:p w14:paraId="5B192F6B" w14:textId="77777777" w:rsidR="00076E79" w:rsidRPr="00345AA4" w:rsidRDefault="00076E79" w:rsidP="00076E79">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AR JV residential</w:t>
            </w:r>
          </w:p>
        </w:tc>
        <w:tc>
          <w:tcPr>
            <w:tcW w:w="1890" w:type="dxa"/>
            <w:tcBorders>
              <w:top w:val="nil"/>
              <w:left w:val="nil"/>
              <w:bottom w:val="nil"/>
              <w:right w:val="nil"/>
            </w:tcBorders>
            <w:vAlign w:val="bottom"/>
          </w:tcPr>
          <w:p w14:paraId="703CFA34" w14:textId="77777777" w:rsidR="00076E79" w:rsidRPr="00345AA4" w:rsidRDefault="00076E79" w:rsidP="00964281">
            <w:pPr>
              <w:spacing w:after="0" w:line="240" w:lineRule="auto"/>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    1,603,480 </w:t>
            </w:r>
          </w:p>
        </w:tc>
      </w:tr>
      <w:tr w:rsidR="00345AA4" w:rsidRPr="00345AA4" w14:paraId="54F75013" w14:textId="77777777" w:rsidTr="00E41173">
        <w:trPr>
          <w:trHeight w:val="225"/>
        </w:trPr>
        <w:tc>
          <w:tcPr>
            <w:tcW w:w="6048" w:type="dxa"/>
            <w:tcBorders>
              <w:top w:val="nil"/>
              <w:left w:val="nil"/>
              <w:right w:val="nil"/>
            </w:tcBorders>
            <w:shd w:val="clear" w:color="auto" w:fill="auto"/>
            <w:noWrap/>
            <w:vAlign w:val="bottom"/>
          </w:tcPr>
          <w:p w14:paraId="3063A85D" w14:textId="77777777" w:rsidR="00076E79" w:rsidRPr="00345AA4" w:rsidRDefault="00076E79" w:rsidP="00076E79">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Advances to suppliers</w:t>
            </w:r>
          </w:p>
        </w:tc>
        <w:tc>
          <w:tcPr>
            <w:tcW w:w="1890" w:type="dxa"/>
            <w:tcBorders>
              <w:top w:val="nil"/>
              <w:left w:val="nil"/>
              <w:right w:val="nil"/>
            </w:tcBorders>
            <w:vAlign w:val="bottom"/>
          </w:tcPr>
          <w:p w14:paraId="7A3EC422" w14:textId="77777777" w:rsidR="00076E79" w:rsidRPr="00345AA4" w:rsidRDefault="00076E79" w:rsidP="00964281">
            <w:pPr>
              <w:spacing w:after="0" w:line="240" w:lineRule="auto"/>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       282,108 </w:t>
            </w:r>
          </w:p>
        </w:tc>
      </w:tr>
      <w:tr w:rsidR="00345AA4" w:rsidRPr="00345AA4" w14:paraId="6B6A37AF" w14:textId="77777777" w:rsidTr="00E41173">
        <w:trPr>
          <w:trHeight w:val="225"/>
        </w:trPr>
        <w:tc>
          <w:tcPr>
            <w:tcW w:w="6048" w:type="dxa"/>
            <w:tcBorders>
              <w:top w:val="nil"/>
              <w:left w:val="nil"/>
              <w:right w:val="nil"/>
            </w:tcBorders>
            <w:shd w:val="clear" w:color="auto" w:fill="auto"/>
            <w:noWrap/>
            <w:vAlign w:val="bottom"/>
          </w:tcPr>
          <w:p w14:paraId="2EC7CF55" w14:textId="77777777" w:rsidR="00076E79" w:rsidRPr="00345AA4" w:rsidRDefault="00076E79" w:rsidP="00076E79">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Allowance for doubtful accounts</w:t>
            </w:r>
          </w:p>
        </w:tc>
        <w:tc>
          <w:tcPr>
            <w:tcW w:w="1890" w:type="dxa"/>
            <w:tcBorders>
              <w:top w:val="nil"/>
              <w:left w:val="nil"/>
              <w:right w:val="nil"/>
            </w:tcBorders>
            <w:vAlign w:val="bottom"/>
          </w:tcPr>
          <w:p w14:paraId="4269AEF8" w14:textId="77777777" w:rsidR="00076E79" w:rsidRPr="00345AA4" w:rsidRDefault="00964281" w:rsidP="00964281">
            <w:pPr>
              <w:spacing w:after="0" w:line="240" w:lineRule="auto"/>
              <w:ind w:right="-72"/>
              <w:jc w:val="right"/>
              <w:rPr>
                <w:rFonts w:ascii="Arial" w:eastAsia="Times New Roman" w:hAnsi="Arial" w:cs="Arial"/>
                <w:color w:val="000000" w:themeColor="text1"/>
                <w:sz w:val="4"/>
                <w:szCs w:val="4"/>
              </w:rPr>
            </w:pPr>
            <w:r w:rsidRPr="00345AA4">
              <w:rPr>
                <w:rFonts w:ascii="Arial" w:eastAsia="Times New Roman" w:hAnsi="Arial" w:cs="Arial"/>
                <w:color w:val="000000" w:themeColor="text1"/>
              </w:rPr>
              <w:t xml:space="preserve">  </w:t>
            </w:r>
            <w:r w:rsidR="00076E79" w:rsidRPr="00345AA4">
              <w:rPr>
                <w:rFonts w:ascii="Arial" w:eastAsia="Times New Roman" w:hAnsi="Arial" w:cs="Arial"/>
                <w:color w:val="000000" w:themeColor="text1"/>
              </w:rPr>
              <w:t>(68,749,620)</w:t>
            </w:r>
          </w:p>
        </w:tc>
      </w:tr>
      <w:tr w:rsidR="00345AA4" w:rsidRPr="00345AA4" w14:paraId="7D8EAF2F" w14:textId="77777777" w:rsidTr="00E41173">
        <w:trPr>
          <w:trHeight w:val="225"/>
        </w:trPr>
        <w:tc>
          <w:tcPr>
            <w:tcW w:w="6048" w:type="dxa"/>
            <w:tcBorders>
              <w:left w:val="nil"/>
              <w:bottom w:val="single" w:sz="4" w:space="0" w:color="auto"/>
              <w:right w:val="nil"/>
            </w:tcBorders>
            <w:shd w:val="clear" w:color="auto" w:fill="auto"/>
            <w:noWrap/>
            <w:vAlign w:val="center"/>
          </w:tcPr>
          <w:p w14:paraId="64E71B60" w14:textId="77777777" w:rsidR="00076E79" w:rsidRPr="00345AA4" w:rsidRDefault="00076E79" w:rsidP="00076E79">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Allowance for doubtful accounts (TRADE - AOM 2010-007)</w:t>
            </w:r>
          </w:p>
        </w:tc>
        <w:tc>
          <w:tcPr>
            <w:tcW w:w="1890" w:type="dxa"/>
            <w:tcBorders>
              <w:left w:val="nil"/>
              <w:bottom w:val="single" w:sz="4" w:space="0" w:color="auto"/>
              <w:right w:val="nil"/>
            </w:tcBorders>
            <w:vAlign w:val="center"/>
          </w:tcPr>
          <w:p w14:paraId="111213CF" w14:textId="77777777" w:rsidR="00076E79" w:rsidRPr="00345AA4" w:rsidRDefault="00305C2A" w:rsidP="00964281">
            <w:pPr>
              <w:spacing w:after="0" w:line="240" w:lineRule="auto"/>
              <w:ind w:right="-72"/>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       </w:t>
            </w:r>
            <w:r w:rsidR="00076E79" w:rsidRPr="00345AA4">
              <w:rPr>
                <w:rFonts w:ascii="Arial" w:eastAsia="Times New Roman" w:hAnsi="Arial" w:cs="Arial"/>
                <w:color w:val="000000" w:themeColor="text1"/>
              </w:rPr>
              <w:t>(5,130,003)</w:t>
            </w:r>
          </w:p>
        </w:tc>
      </w:tr>
      <w:tr w:rsidR="00345AA4" w:rsidRPr="00345AA4" w14:paraId="19043BD3" w14:textId="77777777" w:rsidTr="00E41173">
        <w:trPr>
          <w:trHeight w:val="225"/>
        </w:trPr>
        <w:tc>
          <w:tcPr>
            <w:tcW w:w="6048" w:type="dxa"/>
            <w:tcBorders>
              <w:top w:val="single" w:sz="4" w:space="0" w:color="auto"/>
              <w:left w:val="nil"/>
              <w:bottom w:val="single" w:sz="4" w:space="0" w:color="auto"/>
              <w:right w:val="nil"/>
            </w:tcBorders>
            <w:shd w:val="clear" w:color="auto" w:fill="auto"/>
            <w:noWrap/>
            <w:vAlign w:val="bottom"/>
          </w:tcPr>
          <w:p w14:paraId="65E386BF" w14:textId="2B2DD62E" w:rsidR="00076E79" w:rsidRPr="00345AA4" w:rsidRDefault="00076E79" w:rsidP="00076E79">
            <w:pPr>
              <w:spacing w:after="0" w:line="240" w:lineRule="auto"/>
              <w:rPr>
                <w:rFonts w:ascii="Arial" w:eastAsia="Times New Roman" w:hAnsi="Arial" w:cs="Arial"/>
                <w:color w:val="000000" w:themeColor="text1"/>
              </w:rPr>
            </w:pPr>
            <w:r w:rsidRPr="00345AA4">
              <w:rPr>
                <w:rFonts w:ascii="Arial" w:eastAsia="Times New Roman" w:hAnsi="Arial" w:cs="Arial"/>
                <w:b/>
                <w:color w:val="000000" w:themeColor="text1"/>
              </w:rPr>
              <w:t>Sub</w:t>
            </w:r>
            <w:r w:rsidR="004177EE" w:rsidRPr="00345AA4">
              <w:rPr>
                <w:rFonts w:ascii="Arial" w:eastAsia="Times New Roman" w:hAnsi="Arial" w:cs="Arial"/>
                <w:b/>
                <w:color w:val="000000" w:themeColor="text1"/>
              </w:rPr>
              <w:t>-</w:t>
            </w:r>
            <w:r w:rsidRPr="00345AA4">
              <w:rPr>
                <w:rFonts w:ascii="Arial" w:eastAsia="Times New Roman" w:hAnsi="Arial" w:cs="Arial"/>
                <w:b/>
                <w:color w:val="000000" w:themeColor="text1"/>
              </w:rPr>
              <w:t>total</w:t>
            </w:r>
          </w:p>
        </w:tc>
        <w:tc>
          <w:tcPr>
            <w:tcW w:w="1890" w:type="dxa"/>
            <w:tcBorders>
              <w:top w:val="single" w:sz="4" w:space="0" w:color="auto"/>
              <w:left w:val="nil"/>
              <w:bottom w:val="single" w:sz="4" w:space="0" w:color="auto"/>
              <w:right w:val="nil"/>
            </w:tcBorders>
            <w:vAlign w:val="bottom"/>
          </w:tcPr>
          <w:p w14:paraId="64B54425" w14:textId="77777777" w:rsidR="00076E79" w:rsidRPr="00345AA4" w:rsidRDefault="00076E79" w:rsidP="00DC39B8">
            <w:pPr>
              <w:spacing w:after="0" w:line="240" w:lineRule="auto"/>
              <w:jc w:val="right"/>
              <w:rPr>
                <w:rFonts w:ascii="Arial" w:eastAsia="Times New Roman" w:hAnsi="Arial" w:cs="Arial"/>
                <w:color w:val="000000" w:themeColor="text1"/>
              </w:rPr>
            </w:pPr>
            <w:r w:rsidRPr="00345AA4">
              <w:rPr>
                <w:rFonts w:ascii="Arial" w:eastAsia="Times New Roman" w:hAnsi="Arial" w:cs="Arial"/>
                <w:b/>
                <w:bCs/>
                <w:color w:val="000000" w:themeColor="text1"/>
              </w:rPr>
              <w:t>P  349,963,139</w:t>
            </w:r>
          </w:p>
        </w:tc>
      </w:tr>
      <w:tr w:rsidR="00A85B97" w:rsidRPr="00345AA4" w14:paraId="2DC6677C" w14:textId="77777777" w:rsidTr="00E41173">
        <w:trPr>
          <w:trHeight w:val="225"/>
        </w:trPr>
        <w:tc>
          <w:tcPr>
            <w:tcW w:w="6048" w:type="dxa"/>
            <w:tcBorders>
              <w:top w:val="single" w:sz="4" w:space="0" w:color="auto"/>
              <w:left w:val="nil"/>
              <w:bottom w:val="double" w:sz="4" w:space="0" w:color="auto"/>
              <w:right w:val="nil"/>
            </w:tcBorders>
            <w:shd w:val="clear" w:color="auto" w:fill="auto"/>
            <w:noWrap/>
            <w:vAlign w:val="bottom"/>
          </w:tcPr>
          <w:p w14:paraId="5277D535" w14:textId="77777777" w:rsidR="00076E79" w:rsidRPr="00345AA4" w:rsidRDefault="00076E79" w:rsidP="00076E79">
            <w:pPr>
              <w:spacing w:after="0" w:line="240" w:lineRule="auto"/>
              <w:rPr>
                <w:rFonts w:ascii="Arial" w:eastAsia="Times New Roman" w:hAnsi="Arial" w:cs="Arial"/>
                <w:color w:val="000000" w:themeColor="text1"/>
              </w:rPr>
            </w:pPr>
            <w:r w:rsidRPr="00345AA4">
              <w:rPr>
                <w:rFonts w:ascii="Arial" w:eastAsia="Times New Roman" w:hAnsi="Arial" w:cs="Arial"/>
                <w:b/>
                <w:bCs/>
                <w:color w:val="000000" w:themeColor="text1"/>
              </w:rPr>
              <w:t xml:space="preserve">Receivables </w:t>
            </w:r>
            <w:r w:rsidR="00E8361D" w:rsidRPr="00345AA4">
              <w:rPr>
                <w:rFonts w:ascii="Arial" w:eastAsia="Times New Roman" w:hAnsi="Arial" w:cs="Arial"/>
                <w:b/>
                <w:bCs/>
                <w:color w:val="000000" w:themeColor="text1"/>
              </w:rPr>
              <w:t>–</w:t>
            </w:r>
            <w:r w:rsidRPr="00345AA4">
              <w:rPr>
                <w:rFonts w:ascii="Arial" w:eastAsia="Times New Roman" w:hAnsi="Arial" w:cs="Arial"/>
                <w:b/>
                <w:bCs/>
                <w:color w:val="000000" w:themeColor="text1"/>
              </w:rPr>
              <w:t xml:space="preserve"> net</w:t>
            </w:r>
          </w:p>
        </w:tc>
        <w:tc>
          <w:tcPr>
            <w:tcW w:w="1890" w:type="dxa"/>
            <w:tcBorders>
              <w:top w:val="single" w:sz="4" w:space="0" w:color="auto"/>
              <w:left w:val="nil"/>
              <w:bottom w:val="double" w:sz="4" w:space="0" w:color="auto"/>
              <w:right w:val="nil"/>
            </w:tcBorders>
            <w:vAlign w:val="bottom"/>
          </w:tcPr>
          <w:p w14:paraId="5A3B3E00" w14:textId="22B69B2F" w:rsidR="00076E79" w:rsidRPr="00345AA4" w:rsidRDefault="00BA0F80" w:rsidP="00076E79">
            <w:pPr>
              <w:spacing w:after="0" w:line="240" w:lineRule="auto"/>
              <w:jc w:val="right"/>
              <w:rPr>
                <w:rFonts w:ascii="Arial" w:eastAsia="Times New Roman" w:hAnsi="Arial" w:cs="Arial"/>
                <w:b/>
                <w:bCs/>
                <w:color w:val="000000" w:themeColor="text1"/>
              </w:rPr>
            </w:pPr>
            <w:r w:rsidRPr="00345AA4">
              <w:rPr>
                <w:rFonts w:ascii="Arial" w:eastAsia="Times New Roman" w:hAnsi="Arial" w:cs="Arial"/>
                <w:b/>
                <w:bCs/>
                <w:color w:val="000000" w:themeColor="text1"/>
              </w:rPr>
              <w:t>P  57</w:t>
            </w:r>
            <w:r w:rsidR="00447B23" w:rsidRPr="00345AA4">
              <w:rPr>
                <w:rFonts w:ascii="Arial" w:eastAsia="Times New Roman" w:hAnsi="Arial" w:cs="Arial"/>
                <w:b/>
                <w:bCs/>
                <w:color w:val="000000" w:themeColor="text1"/>
              </w:rPr>
              <w:t>4,716,749</w:t>
            </w:r>
          </w:p>
        </w:tc>
      </w:tr>
    </w:tbl>
    <w:p w14:paraId="2F7CBF96" w14:textId="77777777" w:rsidR="00510123" w:rsidRPr="00345AA4" w:rsidRDefault="00510123" w:rsidP="00FD4026">
      <w:pPr>
        <w:spacing w:after="0" w:line="240" w:lineRule="auto"/>
        <w:jc w:val="both"/>
        <w:rPr>
          <w:color w:val="000000" w:themeColor="text1"/>
        </w:rPr>
      </w:pPr>
    </w:p>
    <w:tbl>
      <w:tblPr>
        <w:tblW w:w="7938" w:type="dxa"/>
        <w:tblInd w:w="900" w:type="dxa"/>
        <w:tblLayout w:type="fixed"/>
        <w:tblLook w:val="04A0" w:firstRow="1" w:lastRow="0" w:firstColumn="1" w:lastColumn="0" w:noHBand="0" w:noVBand="1"/>
      </w:tblPr>
      <w:tblGrid>
        <w:gridCol w:w="6048"/>
        <w:gridCol w:w="1890"/>
      </w:tblGrid>
      <w:tr w:rsidR="00345AA4" w:rsidRPr="00345AA4" w14:paraId="024DDDDE" w14:textId="77777777" w:rsidTr="00E41173">
        <w:trPr>
          <w:trHeight w:val="225"/>
          <w:tblHeader/>
        </w:trPr>
        <w:tc>
          <w:tcPr>
            <w:tcW w:w="6048" w:type="dxa"/>
            <w:tcBorders>
              <w:top w:val="single" w:sz="4" w:space="0" w:color="auto"/>
              <w:left w:val="nil"/>
              <w:bottom w:val="single" w:sz="4" w:space="0" w:color="auto"/>
              <w:right w:val="nil"/>
            </w:tcBorders>
            <w:shd w:val="clear" w:color="auto" w:fill="auto"/>
            <w:noWrap/>
            <w:vAlign w:val="bottom"/>
            <w:hideMark/>
          </w:tcPr>
          <w:p w14:paraId="5FCEB887" w14:textId="77777777" w:rsidR="00722D48" w:rsidRPr="00345AA4" w:rsidRDefault="00722D48" w:rsidP="00BF28A0">
            <w:pPr>
              <w:spacing w:after="0" w:line="240" w:lineRule="auto"/>
              <w:jc w:val="center"/>
              <w:rPr>
                <w:rFonts w:ascii="Arial" w:eastAsia="Times New Roman" w:hAnsi="Arial" w:cs="Arial"/>
                <w:b/>
                <w:bCs/>
                <w:color w:val="000000" w:themeColor="text1"/>
              </w:rPr>
            </w:pPr>
            <w:r w:rsidRPr="00345AA4">
              <w:rPr>
                <w:rFonts w:ascii="Arial" w:eastAsia="Times New Roman" w:hAnsi="Arial" w:cs="Arial"/>
                <w:b/>
                <w:bCs/>
                <w:color w:val="000000" w:themeColor="text1"/>
              </w:rPr>
              <w:t>Account title</w:t>
            </w:r>
          </w:p>
        </w:tc>
        <w:tc>
          <w:tcPr>
            <w:tcW w:w="1890" w:type="dxa"/>
            <w:tcBorders>
              <w:top w:val="single" w:sz="4" w:space="0" w:color="auto"/>
              <w:left w:val="nil"/>
              <w:bottom w:val="single" w:sz="4" w:space="0" w:color="auto"/>
              <w:right w:val="nil"/>
            </w:tcBorders>
          </w:tcPr>
          <w:p w14:paraId="188A077C" w14:textId="77777777" w:rsidR="00722D48" w:rsidRPr="00345AA4" w:rsidRDefault="00722D48" w:rsidP="00BF28A0">
            <w:pPr>
              <w:spacing w:after="0" w:line="240" w:lineRule="auto"/>
              <w:ind w:left="-60" w:firstLine="60"/>
              <w:jc w:val="center"/>
              <w:rPr>
                <w:rFonts w:ascii="Arial" w:eastAsia="Times New Roman" w:hAnsi="Arial" w:cs="Arial"/>
                <w:b/>
                <w:bCs/>
                <w:color w:val="000000" w:themeColor="text1"/>
              </w:rPr>
            </w:pPr>
            <w:r w:rsidRPr="00345AA4">
              <w:rPr>
                <w:rFonts w:ascii="Arial" w:eastAsia="Times New Roman" w:hAnsi="Arial" w:cs="Arial"/>
                <w:b/>
                <w:bCs/>
                <w:color w:val="000000" w:themeColor="text1"/>
              </w:rPr>
              <w:t>Amount</w:t>
            </w:r>
          </w:p>
        </w:tc>
      </w:tr>
      <w:tr w:rsidR="00345AA4" w:rsidRPr="00345AA4" w14:paraId="15886033" w14:textId="77777777" w:rsidTr="00E41173">
        <w:trPr>
          <w:trHeight w:val="225"/>
        </w:trPr>
        <w:tc>
          <w:tcPr>
            <w:tcW w:w="6048" w:type="dxa"/>
            <w:tcBorders>
              <w:top w:val="nil"/>
              <w:left w:val="nil"/>
              <w:bottom w:val="nil"/>
              <w:right w:val="nil"/>
            </w:tcBorders>
            <w:shd w:val="clear" w:color="auto" w:fill="auto"/>
            <w:noWrap/>
            <w:vAlign w:val="bottom"/>
          </w:tcPr>
          <w:p w14:paraId="00453B82" w14:textId="77777777" w:rsidR="00722D48" w:rsidRPr="00345AA4" w:rsidRDefault="00722D48" w:rsidP="00BF28A0">
            <w:pPr>
              <w:spacing w:after="0" w:line="240" w:lineRule="auto"/>
              <w:rPr>
                <w:rFonts w:ascii="Arial" w:eastAsia="Times New Roman" w:hAnsi="Arial" w:cs="Arial"/>
                <w:color w:val="000000" w:themeColor="text1"/>
              </w:rPr>
            </w:pPr>
            <w:r w:rsidRPr="00345AA4">
              <w:rPr>
                <w:rFonts w:ascii="Arial" w:eastAsia="Times New Roman" w:hAnsi="Arial" w:cs="Arial"/>
                <w:b/>
                <w:bCs/>
                <w:color w:val="000000" w:themeColor="text1"/>
              </w:rPr>
              <w:t>Non-current portion of loans</w:t>
            </w:r>
          </w:p>
        </w:tc>
        <w:tc>
          <w:tcPr>
            <w:tcW w:w="1890" w:type="dxa"/>
            <w:tcBorders>
              <w:top w:val="nil"/>
              <w:left w:val="nil"/>
              <w:bottom w:val="nil"/>
              <w:right w:val="nil"/>
            </w:tcBorders>
            <w:vAlign w:val="bottom"/>
          </w:tcPr>
          <w:p w14:paraId="7B08A3FF" w14:textId="77777777" w:rsidR="00722D48" w:rsidRPr="00345AA4" w:rsidRDefault="00722D48" w:rsidP="00BF28A0">
            <w:pPr>
              <w:spacing w:after="0" w:line="240" w:lineRule="auto"/>
              <w:jc w:val="right"/>
              <w:rPr>
                <w:rFonts w:ascii="Arial" w:eastAsia="Times New Roman" w:hAnsi="Arial" w:cs="Arial"/>
                <w:color w:val="000000" w:themeColor="text1"/>
              </w:rPr>
            </w:pPr>
          </w:p>
        </w:tc>
      </w:tr>
      <w:tr w:rsidR="00345AA4" w:rsidRPr="00345AA4" w14:paraId="71A49D62" w14:textId="77777777" w:rsidTr="00E41173">
        <w:trPr>
          <w:trHeight w:val="225"/>
        </w:trPr>
        <w:tc>
          <w:tcPr>
            <w:tcW w:w="6048" w:type="dxa"/>
            <w:tcBorders>
              <w:top w:val="nil"/>
              <w:left w:val="nil"/>
              <w:bottom w:val="nil"/>
              <w:right w:val="nil"/>
            </w:tcBorders>
            <w:shd w:val="clear" w:color="auto" w:fill="auto"/>
            <w:noWrap/>
            <w:vAlign w:val="bottom"/>
          </w:tcPr>
          <w:p w14:paraId="2BDF43D8" w14:textId="77777777" w:rsidR="00722D48" w:rsidRPr="00345AA4" w:rsidRDefault="00722D48" w:rsidP="00722D48">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Unearned interest</w:t>
            </w:r>
          </w:p>
        </w:tc>
        <w:tc>
          <w:tcPr>
            <w:tcW w:w="1890" w:type="dxa"/>
            <w:tcBorders>
              <w:top w:val="nil"/>
              <w:left w:val="nil"/>
              <w:bottom w:val="nil"/>
              <w:right w:val="nil"/>
            </w:tcBorders>
            <w:vAlign w:val="bottom"/>
          </w:tcPr>
          <w:p w14:paraId="2F3A7B9A" w14:textId="77777777" w:rsidR="00722D48" w:rsidRPr="00345AA4" w:rsidRDefault="00722D48" w:rsidP="00964281">
            <w:pPr>
              <w:spacing w:after="0" w:line="240" w:lineRule="auto"/>
              <w:ind w:right="-72"/>
              <w:jc w:val="right"/>
              <w:rPr>
                <w:rFonts w:ascii="Arial" w:eastAsia="Times New Roman" w:hAnsi="Arial" w:cs="Arial"/>
                <w:color w:val="000000" w:themeColor="text1"/>
              </w:rPr>
            </w:pPr>
            <w:r w:rsidRPr="00345AA4">
              <w:rPr>
                <w:rFonts w:ascii="Arial" w:eastAsia="Times New Roman" w:hAnsi="Arial" w:cs="Arial"/>
                <w:color w:val="000000" w:themeColor="text1"/>
              </w:rPr>
              <w:t>P</w:t>
            </w:r>
            <w:r w:rsidR="00305C2A" w:rsidRPr="00345AA4">
              <w:rPr>
                <w:rFonts w:ascii="Arial" w:eastAsia="Times New Roman" w:hAnsi="Arial" w:cs="Arial"/>
                <w:color w:val="000000" w:themeColor="text1"/>
              </w:rPr>
              <w:t xml:space="preserve"> </w:t>
            </w:r>
            <w:r w:rsidRPr="00345AA4">
              <w:rPr>
                <w:rFonts w:ascii="Arial" w:eastAsia="Times New Roman" w:hAnsi="Arial" w:cs="Arial"/>
                <w:color w:val="000000" w:themeColor="text1"/>
              </w:rPr>
              <w:t>(117,267,326)</w:t>
            </w:r>
          </w:p>
        </w:tc>
      </w:tr>
      <w:tr w:rsidR="00345AA4" w:rsidRPr="00345AA4" w14:paraId="68F494E3" w14:textId="77777777" w:rsidTr="00E41173">
        <w:trPr>
          <w:trHeight w:val="225"/>
        </w:trPr>
        <w:tc>
          <w:tcPr>
            <w:tcW w:w="6048" w:type="dxa"/>
            <w:tcBorders>
              <w:top w:val="nil"/>
              <w:left w:val="nil"/>
              <w:bottom w:val="single" w:sz="4" w:space="0" w:color="auto"/>
              <w:right w:val="nil"/>
            </w:tcBorders>
            <w:shd w:val="clear" w:color="auto" w:fill="auto"/>
            <w:noWrap/>
            <w:vAlign w:val="bottom"/>
            <w:hideMark/>
          </w:tcPr>
          <w:p w14:paraId="53369BA8" w14:textId="77777777" w:rsidR="00722D48" w:rsidRPr="00345AA4" w:rsidRDefault="00722D48" w:rsidP="00722D48">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Allowance for doubtful accounts (PAPC)</w:t>
            </w:r>
          </w:p>
        </w:tc>
        <w:tc>
          <w:tcPr>
            <w:tcW w:w="1890" w:type="dxa"/>
            <w:tcBorders>
              <w:top w:val="nil"/>
              <w:left w:val="nil"/>
              <w:bottom w:val="single" w:sz="4" w:space="0" w:color="auto"/>
              <w:right w:val="nil"/>
            </w:tcBorders>
            <w:vAlign w:val="bottom"/>
          </w:tcPr>
          <w:p w14:paraId="70FE5AF6" w14:textId="77777777" w:rsidR="00722D48" w:rsidRPr="00345AA4" w:rsidRDefault="00305C2A" w:rsidP="00964281">
            <w:pPr>
              <w:spacing w:after="0" w:line="240" w:lineRule="auto"/>
              <w:ind w:right="-72"/>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   </w:t>
            </w:r>
            <w:r w:rsidR="00722D48" w:rsidRPr="00345AA4">
              <w:rPr>
                <w:rFonts w:ascii="Arial" w:eastAsia="Times New Roman" w:hAnsi="Arial" w:cs="Arial"/>
                <w:color w:val="000000" w:themeColor="text1"/>
              </w:rPr>
              <w:t>(106,446,667)</w:t>
            </w:r>
          </w:p>
        </w:tc>
      </w:tr>
      <w:tr w:rsidR="00345AA4" w:rsidRPr="00345AA4" w14:paraId="672B2BA1" w14:textId="77777777" w:rsidTr="00E41173">
        <w:trPr>
          <w:trHeight w:val="225"/>
        </w:trPr>
        <w:tc>
          <w:tcPr>
            <w:tcW w:w="6048" w:type="dxa"/>
            <w:tcBorders>
              <w:top w:val="single" w:sz="4" w:space="0" w:color="auto"/>
              <w:left w:val="nil"/>
              <w:bottom w:val="single" w:sz="4" w:space="0" w:color="auto"/>
              <w:right w:val="nil"/>
            </w:tcBorders>
            <w:shd w:val="clear" w:color="auto" w:fill="auto"/>
            <w:noWrap/>
            <w:vAlign w:val="bottom"/>
          </w:tcPr>
          <w:p w14:paraId="0A00BCAF" w14:textId="77777777" w:rsidR="00722D48" w:rsidRPr="00345AA4" w:rsidRDefault="00722D48" w:rsidP="00722D48">
            <w:pPr>
              <w:spacing w:after="0" w:line="240" w:lineRule="auto"/>
              <w:rPr>
                <w:rFonts w:ascii="Arial" w:eastAsia="Times New Roman" w:hAnsi="Arial" w:cs="Arial"/>
                <w:color w:val="000000" w:themeColor="text1"/>
              </w:rPr>
            </w:pPr>
          </w:p>
        </w:tc>
        <w:tc>
          <w:tcPr>
            <w:tcW w:w="1890" w:type="dxa"/>
            <w:tcBorders>
              <w:top w:val="single" w:sz="4" w:space="0" w:color="auto"/>
              <w:left w:val="nil"/>
              <w:bottom w:val="single" w:sz="4" w:space="0" w:color="auto"/>
              <w:right w:val="nil"/>
            </w:tcBorders>
            <w:vAlign w:val="bottom"/>
          </w:tcPr>
          <w:p w14:paraId="59532E7C" w14:textId="77777777" w:rsidR="00722D48" w:rsidRPr="00345AA4" w:rsidRDefault="00722D48" w:rsidP="00964281">
            <w:pPr>
              <w:spacing w:after="0" w:line="240" w:lineRule="auto"/>
              <w:ind w:right="-72"/>
              <w:jc w:val="right"/>
              <w:rPr>
                <w:rFonts w:ascii="Arial" w:eastAsia="Times New Roman" w:hAnsi="Arial" w:cs="Arial"/>
                <w:color w:val="000000" w:themeColor="text1"/>
              </w:rPr>
            </w:pPr>
            <w:r w:rsidRPr="00345AA4">
              <w:rPr>
                <w:rFonts w:ascii="Arial" w:eastAsia="Times New Roman" w:hAnsi="Arial" w:cs="Arial"/>
                <w:color w:val="000000" w:themeColor="text1"/>
              </w:rPr>
              <w:t>P</w:t>
            </w:r>
            <w:r w:rsidR="00305C2A" w:rsidRPr="00345AA4">
              <w:rPr>
                <w:rFonts w:ascii="Arial" w:eastAsia="Times New Roman" w:hAnsi="Arial" w:cs="Arial"/>
                <w:color w:val="000000" w:themeColor="text1"/>
              </w:rPr>
              <w:t xml:space="preserve"> </w:t>
            </w:r>
            <w:r w:rsidR="00BA0F80" w:rsidRPr="00345AA4">
              <w:rPr>
                <w:rFonts w:ascii="Arial" w:eastAsia="Times New Roman" w:hAnsi="Arial" w:cs="Arial"/>
                <w:color w:val="000000" w:themeColor="text1"/>
              </w:rPr>
              <w:t>(223,713,993</w:t>
            </w:r>
            <w:r w:rsidRPr="00345AA4">
              <w:rPr>
                <w:rFonts w:ascii="Arial" w:eastAsia="Times New Roman" w:hAnsi="Arial" w:cs="Arial"/>
                <w:color w:val="000000" w:themeColor="text1"/>
              </w:rPr>
              <w:t>)</w:t>
            </w:r>
          </w:p>
        </w:tc>
      </w:tr>
      <w:tr w:rsidR="00345AA4" w:rsidRPr="00345AA4" w14:paraId="42C37E5C" w14:textId="77777777" w:rsidTr="00E41173">
        <w:trPr>
          <w:trHeight w:val="225"/>
        </w:trPr>
        <w:tc>
          <w:tcPr>
            <w:tcW w:w="6048" w:type="dxa"/>
            <w:tcBorders>
              <w:top w:val="nil"/>
              <w:left w:val="nil"/>
              <w:bottom w:val="nil"/>
              <w:right w:val="nil"/>
            </w:tcBorders>
            <w:shd w:val="clear" w:color="auto" w:fill="auto"/>
            <w:noWrap/>
            <w:vAlign w:val="center"/>
          </w:tcPr>
          <w:p w14:paraId="7E359E7E" w14:textId="77777777" w:rsidR="00722D48" w:rsidRPr="00345AA4" w:rsidRDefault="00722D48" w:rsidP="00722D48">
            <w:pPr>
              <w:spacing w:after="0" w:line="240" w:lineRule="auto"/>
              <w:rPr>
                <w:rFonts w:ascii="Arial" w:eastAsia="Times New Roman" w:hAnsi="Arial" w:cs="Arial"/>
                <w:color w:val="000000" w:themeColor="text1"/>
              </w:rPr>
            </w:pPr>
            <w:r w:rsidRPr="00345AA4">
              <w:rPr>
                <w:rFonts w:ascii="Arial" w:eastAsia="Times New Roman" w:hAnsi="Arial" w:cs="Arial"/>
                <w:b/>
                <w:bCs/>
                <w:color w:val="000000" w:themeColor="text1"/>
              </w:rPr>
              <w:t>Past due loans</w:t>
            </w:r>
          </w:p>
        </w:tc>
        <w:tc>
          <w:tcPr>
            <w:tcW w:w="1890" w:type="dxa"/>
            <w:tcBorders>
              <w:top w:val="nil"/>
              <w:left w:val="nil"/>
              <w:bottom w:val="nil"/>
              <w:right w:val="nil"/>
            </w:tcBorders>
            <w:vAlign w:val="center"/>
          </w:tcPr>
          <w:p w14:paraId="6A0E5443" w14:textId="77777777" w:rsidR="00722D48" w:rsidRPr="00345AA4" w:rsidRDefault="00722D48" w:rsidP="00722D48">
            <w:pPr>
              <w:spacing w:after="0" w:line="240" w:lineRule="auto"/>
              <w:jc w:val="right"/>
              <w:rPr>
                <w:rFonts w:ascii="Arial" w:eastAsia="Times New Roman" w:hAnsi="Arial" w:cs="Arial"/>
                <w:color w:val="000000" w:themeColor="text1"/>
              </w:rPr>
            </w:pPr>
          </w:p>
        </w:tc>
      </w:tr>
      <w:tr w:rsidR="00345AA4" w:rsidRPr="00345AA4" w14:paraId="2388F085" w14:textId="77777777" w:rsidTr="00E41173">
        <w:trPr>
          <w:trHeight w:val="225"/>
        </w:trPr>
        <w:tc>
          <w:tcPr>
            <w:tcW w:w="6048" w:type="dxa"/>
            <w:tcBorders>
              <w:top w:val="nil"/>
              <w:left w:val="nil"/>
              <w:bottom w:val="nil"/>
              <w:right w:val="nil"/>
            </w:tcBorders>
            <w:shd w:val="clear" w:color="auto" w:fill="auto"/>
            <w:noWrap/>
            <w:vAlign w:val="center"/>
          </w:tcPr>
          <w:p w14:paraId="60D3581A" w14:textId="77777777" w:rsidR="00722D48" w:rsidRPr="00345AA4" w:rsidRDefault="00722D48" w:rsidP="00722D48">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Accounts under litigation</w:t>
            </w:r>
          </w:p>
        </w:tc>
        <w:tc>
          <w:tcPr>
            <w:tcW w:w="1890" w:type="dxa"/>
            <w:tcBorders>
              <w:top w:val="nil"/>
              <w:left w:val="nil"/>
              <w:bottom w:val="nil"/>
              <w:right w:val="nil"/>
            </w:tcBorders>
            <w:vAlign w:val="center"/>
          </w:tcPr>
          <w:p w14:paraId="26E7BEA1" w14:textId="77777777" w:rsidR="00722D48" w:rsidRPr="00345AA4" w:rsidRDefault="00722D48" w:rsidP="00964281">
            <w:pPr>
              <w:spacing w:after="0" w:line="240" w:lineRule="auto"/>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P  </w:t>
            </w:r>
            <w:r w:rsidR="00305C2A" w:rsidRPr="00345AA4">
              <w:rPr>
                <w:rFonts w:ascii="Arial" w:eastAsia="Times New Roman" w:hAnsi="Arial" w:cs="Arial"/>
                <w:color w:val="000000" w:themeColor="text1"/>
              </w:rPr>
              <w:t xml:space="preserve"> </w:t>
            </w:r>
            <w:r w:rsidRPr="00345AA4">
              <w:rPr>
                <w:rFonts w:ascii="Arial" w:eastAsia="Times New Roman" w:hAnsi="Arial" w:cs="Arial"/>
                <w:color w:val="000000" w:themeColor="text1"/>
              </w:rPr>
              <w:t xml:space="preserve">776,535,403 </w:t>
            </w:r>
          </w:p>
        </w:tc>
      </w:tr>
      <w:tr w:rsidR="00345AA4" w:rsidRPr="00345AA4" w14:paraId="0D71C276" w14:textId="77777777" w:rsidTr="00E41173">
        <w:trPr>
          <w:trHeight w:val="225"/>
        </w:trPr>
        <w:tc>
          <w:tcPr>
            <w:tcW w:w="6048" w:type="dxa"/>
            <w:tcBorders>
              <w:top w:val="nil"/>
              <w:left w:val="nil"/>
              <w:bottom w:val="nil"/>
              <w:right w:val="nil"/>
            </w:tcBorders>
            <w:shd w:val="clear" w:color="auto" w:fill="auto"/>
            <w:noWrap/>
            <w:vAlign w:val="bottom"/>
          </w:tcPr>
          <w:p w14:paraId="577FE379" w14:textId="77777777" w:rsidR="00076E79" w:rsidRPr="00345AA4" w:rsidRDefault="00076E79" w:rsidP="00076E79">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Past due commercial loans</w:t>
            </w:r>
          </w:p>
        </w:tc>
        <w:tc>
          <w:tcPr>
            <w:tcW w:w="1890" w:type="dxa"/>
            <w:tcBorders>
              <w:top w:val="nil"/>
              <w:left w:val="nil"/>
              <w:bottom w:val="nil"/>
              <w:right w:val="nil"/>
            </w:tcBorders>
            <w:vAlign w:val="bottom"/>
          </w:tcPr>
          <w:p w14:paraId="60468BE5" w14:textId="77777777" w:rsidR="00076E79" w:rsidRPr="00345AA4" w:rsidRDefault="00076E79" w:rsidP="00964281">
            <w:pPr>
              <w:spacing w:after="0" w:line="240" w:lineRule="auto"/>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   115,983,415 </w:t>
            </w:r>
          </w:p>
        </w:tc>
      </w:tr>
      <w:tr w:rsidR="00345AA4" w:rsidRPr="00345AA4" w14:paraId="1E01EFDC" w14:textId="77777777" w:rsidTr="00E41173">
        <w:trPr>
          <w:trHeight w:val="225"/>
        </w:trPr>
        <w:tc>
          <w:tcPr>
            <w:tcW w:w="6048" w:type="dxa"/>
            <w:tcBorders>
              <w:top w:val="nil"/>
              <w:left w:val="nil"/>
              <w:bottom w:val="nil"/>
              <w:right w:val="nil"/>
            </w:tcBorders>
            <w:shd w:val="clear" w:color="auto" w:fill="auto"/>
            <w:noWrap/>
            <w:vAlign w:val="center"/>
          </w:tcPr>
          <w:p w14:paraId="603DDC6B" w14:textId="77777777" w:rsidR="00076E79" w:rsidRPr="00345AA4" w:rsidRDefault="00076E79" w:rsidP="00076E79">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Past due small business loans</w:t>
            </w:r>
          </w:p>
        </w:tc>
        <w:tc>
          <w:tcPr>
            <w:tcW w:w="1890" w:type="dxa"/>
            <w:tcBorders>
              <w:top w:val="nil"/>
              <w:left w:val="nil"/>
              <w:bottom w:val="nil"/>
              <w:right w:val="nil"/>
            </w:tcBorders>
            <w:vAlign w:val="center"/>
          </w:tcPr>
          <w:p w14:paraId="403DCD83" w14:textId="77777777" w:rsidR="00076E79" w:rsidRPr="00345AA4" w:rsidRDefault="00076E79" w:rsidP="00964281">
            <w:pPr>
              <w:spacing w:after="0" w:line="240" w:lineRule="auto"/>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      4,316,602 </w:t>
            </w:r>
          </w:p>
        </w:tc>
      </w:tr>
      <w:tr w:rsidR="00345AA4" w:rsidRPr="00345AA4" w14:paraId="48A7D561" w14:textId="77777777" w:rsidTr="00E41173">
        <w:trPr>
          <w:trHeight w:val="225"/>
        </w:trPr>
        <w:tc>
          <w:tcPr>
            <w:tcW w:w="6048" w:type="dxa"/>
            <w:tcBorders>
              <w:top w:val="nil"/>
              <w:left w:val="nil"/>
              <w:bottom w:val="nil"/>
              <w:right w:val="nil"/>
            </w:tcBorders>
            <w:shd w:val="clear" w:color="auto" w:fill="auto"/>
            <w:noWrap/>
            <w:vAlign w:val="center"/>
          </w:tcPr>
          <w:p w14:paraId="4B5B9985" w14:textId="77777777" w:rsidR="00076E79" w:rsidRPr="00345AA4" w:rsidRDefault="00076E79" w:rsidP="00076E79">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Past due car loans</w:t>
            </w:r>
          </w:p>
        </w:tc>
        <w:tc>
          <w:tcPr>
            <w:tcW w:w="1890" w:type="dxa"/>
            <w:tcBorders>
              <w:top w:val="nil"/>
              <w:left w:val="nil"/>
              <w:bottom w:val="nil"/>
              <w:right w:val="nil"/>
            </w:tcBorders>
            <w:vAlign w:val="center"/>
          </w:tcPr>
          <w:p w14:paraId="141D71EA" w14:textId="77777777" w:rsidR="00076E79" w:rsidRPr="00345AA4" w:rsidRDefault="00076E79" w:rsidP="00964281">
            <w:pPr>
              <w:spacing w:after="0" w:line="240" w:lineRule="auto"/>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       3,116,997 </w:t>
            </w:r>
          </w:p>
        </w:tc>
      </w:tr>
      <w:tr w:rsidR="00345AA4" w:rsidRPr="00345AA4" w14:paraId="01D17D92" w14:textId="77777777" w:rsidTr="00E41173">
        <w:trPr>
          <w:trHeight w:val="225"/>
        </w:trPr>
        <w:tc>
          <w:tcPr>
            <w:tcW w:w="6048" w:type="dxa"/>
            <w:tcBorders>
              <w:top w:val="nil"/>
              <w:left w:val="nil"/>
              <w:bottom w:val="nil"/>
              <w:right w:val="nil"/>
            </w:tcBorders>
            <w:shd w:val="clear" w:color="auto" w:fill="auto"/>
            <w:noWrap/>
            <w:vAlign w:val="center"/>
          </w:tcPr>
          <w:p w14:paraId="69B1CCFE" w14:textId="77777777" w:rsidR="00076E79" w:rsidRPr="00345AA4" w:rsidRDefault="00076E79" w:rsidP="00076E79">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Past due other loans</w:t>
            </w:r>
          </w:p>
        </w:tc>
        <w:tc>
          <w:tcPr>
            <w:tcW w:w="1890" w:type="dxa"/>
            <w:tcBorders>
              <w:top w:val="nil"/>
              <w:left w:val="nil"/>
              <w:bottom w:val="nil"/>
              <w:right w:val="nil"/>
            </w:tcBorders>
            <w:vAlign w:val="center"/>
          </w:tcPr>
          <w:p w14:paraId="6512158C" w14:textId="77777777" w:rsidR="00076E79" w:rsidRPr="00345AA4" w:rsidRDefault="00076E79" w:rsidP="00964281">
            <w:pPr>
              <w:spacing w:after="0" w:line="240" w:lineRule="auto"/>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      1,092,346 </w:t>
            </w:r>
          </w:p>
        </w:tc>
      </w:tr>
      <w:tr w:rsidR="00345AA4" w:rsidRPr="00345AA4" w14:paraId="440E5C64" w14:textId="77777777" w:rsidTr="00E41173">
        <w:trPr>
          <w:trHeight w:val="225"/>
        </w:trPr>
        <w:tc>
          <w:tcPr>
            <w:tcW w:w="6048" w:type="dxa"/>
            <w:tcBorders>
              <w:top w:val="nil"/>
              <w:left w:val="nil"/>
              <w:bottom w:val="nil"/>
              <w:right w:val="nil"/>
            </w:tcBorders>
            <w:shd w:val="clear" w:color="auto" w:fill="auto"/>
            <w:noWrap/>
            <w:vAlign w:val="center"/>
          </w:tcPr>
          <w:p w14:paraId="5CCAF81E" w14:textId="77777777" w:rsidR="00076E79" w:rsidRPr="00345AA4" w:rsidRDefault="00076E79" w:rsidP="00076E79">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Past due salary loans</w:t>
            </w:r>
          </w:p>
        </w:tc>
        <w:tc>
          <w:tcPr>
            <w:tcW w:w="1890" w:type="dxa"/>
            <w:tcBorders>
              <w:top w:val="nil"/>
              <w:left w:val="nil"/>
              <w:bottom w:val="nil"/>
              <w:right w:val="nil"/>
            </w:tcBorders>
            <w:vAlign w:val="center"/>
          </w:tcPr>
          <w:p w14:paraId="719D8BF0" w14:textId="77777777" w:rsidR="00076E79" w:rsidRPr="00345AA4" w:rsidRDefault="00076E79" w:rsidP="00964281">
            <w:pPr>
              <w:spacing w:after="0" w:line="240" w:lineRule="auto"/>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            94,520 </w:t>
            </w:r>
          </w:p>
        </w:tc>
      </w:tr>
      <w:tr w:rsidR="00345AA4" w:rsidRPr="00345AA4" w14:paraId="42EEF558" w14:textId="77777777" w:rsidTr="00E41173">
        <w:trPr>
          <w:trHeight w:val="225"/>
        </w:trPr>
        <w:tc>
          <w:tcPr>
            <w:tcW w:w="6048" w:type="dxa"/>
            <w:tcBorders>
              <w:top w:val="nil"/>
              <w:left w:val="nil"/>
              <w:bottom w:val="nil"/>
              <w:right w:val="nil"/>
            </w:tcBorders>
            <w:shd w:val="clear" w:color="auto" w:fill="auto"/>
            <w:noWrap/>
            <w:vAlign w:val="center"/>
          </w:tcPr>
          <w:p w14:paraId="75FB38E0" w14:textId="77777777" w:rsidR="00076E79" w:rsidRPr="00345AA4" w:rsidRDefault="00076E79" w:rsidP="00076E79">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Allowance for doubtful account, other loans</w:t>
            </w:r>
          </w:p>
        </w:tc>
        <w:tc>
          <w:tcPr>
            <w:tcW w:w="1890" w:type="dxa"/>
            <w:tcBorders>
              <w:top w:val="nil"/>
              <w:left w:val="nil"/>
              <w:bottom w:val="nil"/>
              <w:right w:val="nil"/>
            </w:tcBorders>
            <w:vAlign w:val="center"/>
          </w:tcPr>
          <w:p w14:paraId="41C1CD54" w14:textId="77777777" w:rsidR="00076E79" w:rsidRPr="00345AA4" w:rsidRDefault="00B8436C" w:rsidP="00964281">
            <w:pPr>
              <w:spacing w:after="0" w:line="240" w:lineRule="auto"/>
              <w:ind w:right="-72"/>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    </w:t>
            </w:r>
            <w:r w:rsidR="00076E79" w:rsidRPr="00345AA4">
              <w:rPr>
                <w:rFonts w:ascii="Arial" w:eastAsia="Times New Roman" w:hAnsi="Arial" w:cs="Arial"/>
                <w:color w:val="000000" w:themeColor="text1"/>
              </w:rPr>
              <w:t>(118,560,963)</w:t>
            </w:r>
          </w:p>
        </w:tc>
      </w:tr>
      <w:tr w:rsidR="00345AA4" w:rsidRPr="00345AA4" w14:paraId="74DA02D1" w14:textId="77777777" w:rsidTr="00E41173">
        <w:trPr>
          <w:trHeight w:val="225"/>
        </w:trPr>
        <w:tc>
          <w:tcPr>
            <w:tcW w:w="6048" w:type="dxa"/>
            <w:tcBorders>
              <w:top w:val="nil"/>
              <w:left w:val="nil"/>
              <w:bottom w:val="nil"/>
              <w:right w:val="nil"/>
            </w:tcBorders>
            <w:shd w:val="clear" w:color="auto" w:fill="auto"/>
            <w:noWrap/>
            <w:vAlign w:val="center"/>
            <w:hideMark/>
          </w:tcPr>
          <w:p w14:paraId="64470509" w14:textId="77777777" w:rsidR="00076E79" w:rsidRPr="00345AA4" w:rsidRDefault="00076E79" w:rsidP="00076E79">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Allowance for doubtful account, other loans</w:t>
            </w:r>
          </w:p>
        </w:tc>
        <w:tc>
          <w:tcPr>
            <w:tcW w:w="1890" w:type="dxa"/>
            <w:tcBorders>
              <w:top w:val="nil"/>
              <w:left w:val="nil"/>
              <w:bottom w:val="nil"/>
              <w:right w:val="nil"/>
            </w:tcBorders>
            <w:vAlign w:val="center"/>
          </w:tcPr>
          <w:p w14:paraId="139922D5" w14:textId="77777777" w:rsidR="00076E79" w:rsidRPr="00345AA4" w:rsidRDefault="00B8436C" w:rsidP="00964281">
            <w:pPr>
              <w:spacing w:after="0" w:line="240" w:lineRule="auto"/>
              <w:ind w:right="-72"/>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    </w:t>
            </w:r>
            <w:r w:rsidR="00076E79" w:rsidRPr="00345AA4">
              <w:rPr>
                <w:rFonts w:ascii="Arial" w:eastAsia="Times New Roman" w:hAnsi="Arial" w:cs="Arial"/>
                <w:color w:val="000000" w:themeColor="text1"/>
              </w:rPr>
              <w:t>(109,394,201)</w:t>
            </w:r>
          </w:p>
        </w:tc>
      </w:tr>
      <w:tr w:rsidR="00345AA4" w:rsidRPr="00345AA4" w14:paraId="0003BAB8" w14:textId="77777777" w:rsidTr="00E41173">
        <w:trPr>
          <w:trHeight w:val="225"/>
        </w:trPr>
        <w:tc>
          <w:tcPr>
            <w:tcW w:w="6048" w:type="dxa"/>
            <w:tcBorders>
              <w:top w:val="nil"/>
              <w:left w:val="nil"/>
              <w:bottom w:val="nil"/>
              <w:right w:val="nil"/>
            </w:tcBorders>
            <w:shd w:val="clear" w:color="auto" w:fill="auto"/>
            <w:noWrap/>
            <w:vAlign w:val="center"/>
          </w:tcPr>
          <w:p w14:paraId="6AAB0A07" w14:textId="77777777" w:rsidR="00076E79" w:rsidRPr="00345AA4" w:rsidRDefault="00076E79" w:rsidP="00076E79">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Allowance for doubtful account, commercial loans</w:t>
            </w:r>
          </w:p>
        </w:tc>
        <w:tc>
          <w:tcPr>
            <w:tcW w:w="1890" w:type="dxa"/>
            <w:tcBorders>
              <w:top w:val="nil"/>
              <w:left w:val="nil"/>
              <w:bottom w:val="nil"/>
              <w:right w:val="nil"/>
            </w:tcBorders>
            <w:vAlign w:val="center"/>
          </w:tcPr>
          <w:p w14:paraId="3EACA35B" w14:textId="77777777" w:rsidR="00076E79" w:rsidRPr="00345AA4" w:rsidRDefault="00B8436C" w:rsidP="00964281">
            <w:pPr>
              <w:spacing w:after="0" w:line="240" w:lineRule="auto"/>
              <w:ind w:right="-72"/>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        </w:t>
            </w:r>
            <w:r w:rsidR="00076E79" w:rsidRPr="00345AA4">
              <w:rPr>
                <w:rFonts w:ascii="Arial" w:eastAsia="Times New Roman" w:hAnsi="Arial" w:cs="Arial"/>
                <w:color w:val="000000" w:themeColor="text1"/>
              </w:rPr>
              <w:t>(6,118,064)</w:t>
            </w:r>
          </w:p>
        </w:tc>
      </w:tr>
      <w:tr w:rsidR="00345AA4" w:rsidRPr="00345AA4" w14:paraId="757DFF5E" w14:textId="77777777" w:rsidTr="00E41173">
        <w:trPr>
          <w:trHeight w:val="225"/>
        </w:trPr>
        <w:tc>
          <w:tcPr>
            <w:tcW w:w="6048" w:type="dxa"/>
            <w:tcBorders>
              <w:top w:val="nil"/>
              <w:left w:val="nil"/>
              <w:bottom w:val="nil"/>
              <w:right w:val="nil"/>
            </w:tcBorders>
            <w:shd w:val="clear" w:color="auto" w:fill="auto"/>
            <w:noWrap/>
            <w:vAlign w:val="center"/>
          </w:tcPr>
          <w:p w14:paraId="2A1EE476" w14:textId="77777777" w:rsidR="00076E79" w:rsidRPr="00345AA4" w:rsidRDefault="00076E79" w:rsidP="00076E79">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Allowance for doubtful account, other loans</w:t>
            </w:r>
          </w:p>
        </w:tc>
        <w:tc>
          <w:tcPr>
            <w:tcW w:w="1890" w:type="dxa"/>
            <w:tcBorders>
              <w:top w:val="nil"/>
              <w:left w:val="nil"/>
              <w:bottom w:val="nil"/>
              <w:right w:val="nil"/>
            </w:tcBorders>
            <w:vAlign w:val="center"/>
          </w:tcPr>
          <w:p w14:paraId="7E2F3E82" w14:textId="77777777" w:rsidR="00076E79" w:rsidRPr="00345AA4" w:rsidRDefault="00B8436C" w:rsidP="00964281">
            <w:pPr>
              <w:spacing w:after="0" w:line="240" w:lineRule="auto"/>
              <w:ind w:right="-72"/>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        </w:t>
            </w:r>
            <w:r w:rsidR="00076E79" w:rsidRPr="00345AA4">
              <w:rPr>
                <w:rFonts w:ascii="Arial" w:eastAsia="Times New Roman" w:hAnsi="Arial" w:cs="Arial"/>
                <w:color w:val="000000" w:themeColor="text1"/>
              </w:rPr>
              <w:t>(2,681,275)</w:t>
            </w:r>
          </w:p>
        </w:tc>
      </w:tr>
      <w:tr w:rsidR="00345AA4" w:rsidRPr="00345AA4" w14:paraId="04DEAA11" w14:textId="77777777" w:rsidTr="00E41173">
        <w:trPr>
          <w:trHeight w:val="225"/>
        </w:trPr>
        <w:tc>
          <w:tcPr>
            <w:tcW w:w="6048" w:type="dxa"/>
            <w:tcBorders>
              <w:top w:val="nil"/>
              <w:left w:val="nil"/>
              <w:bottom w:val="nil"/>
              <w:right w:val="nil"/>
            </w:tcBorders>
            <w:shd w:val="clear" w:color="auto" w:fill="auto"/>
            <w:noWrap/>
            <w:vAlign w:val="center"/>
          </w:tcPr>
          <w:p w14:paraId="7DBA9E39" w14:textId="77777777" w:rsidR="00076E79" w:rsidRPr="00345AA4" w:rsidRDefault="00076E79" w:rsidP="00076E79">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Allowance for doubtful account, commercial loans</w:t>
            </w:r>
          </w:p>
        </w:tc>
        <w:tc>
          <w:tcPr>
            <w:tcW w:w="1890" w:type="dxa"/>
            <w:tcBorders>
              <w:top w:val="nil"/>
              <w:left w:val="nil"/>
              <w:bottom w:val="nil"/>
              <w:right w:val="nil"/>
            </w:tcBorders>
            <w:vAlign w:val="center"/>
          </w:tcPr>
          <w:p w14:paraId="7B54F241" w14:textId="77777777" w:rsidR="00076E79" w:rsidRPr="00345AA4" w:rsidRDefault="00B8436C" w:rsidP="00964281">
            <w:pPr>
              <w:spacing w:after="0" w:line="240" w:lineRule="auto"/>
              <w:ind w:right="-72"/>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        </w:t>
            </w:r>
            <w:r w:rsidR="00076E79" w:rsidRPr="00345AA4">
              <w:rPr>
                <w:rFonts w:ascii="Arial" w:eastAsia="Times New Roman" w:hAnsi="Arial" w:cs="Arial"/>
                <w:color w:val="000000" w:themeColor="text1"/>
              </w:rPr>
              <w:t>(2,370,500)</w:t>
            </w:r>
          </w:p>
        </w:tc>
      </w:tr>
      <w:tr w:rsidR="00345AA4" w:rsidRPr="00345AA4" w14:paraId="501C9AA8" w14:textId="77777777" w:rsidTr="00E41173">
        <w:trPr>
          <w:trHeight w:val="225"/>
        </w:trPr>
        <w:tc>
          <w:tcPr>
            <w:tcW w:w="6048" w:type="dxa"/>
            <w:tcBorders>
              <w:top w:val="nil"/>
              <w:left w:val="nil"/>
              <w:bottom w:val="nil"/>
              <w:right w:val="nil"/>
            </w:tcBorders>
            <w:shd w:val="clear" w:color="auto" w:fill="auto"/>
            <w:noWrap/>
            <w:vAlign w:val="center"/>
            <w:hideMark/>
          </w:tcPr>
          <w:p w14:paraId="6D2F0ACA" w14:textId="77777777" w:rsidR="00076E79" w:rsidRPr="00345AA4" w:rsidRDefault="00076E79" w:rsidP="00076E79">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Allowance for doubtful account, other loans</w:t>
            </w:r>
          </w:p>
        </w:tc>
        <w:tc>
          <w:tcPr>
            <w:tcW w:w="1890" w:type="dxa"/>
            <w:tcBorders>
              <w:top w:val="nil"/>
              <w:left w:val="nil"/>
              <w:bottom w:val="nil"/>
              <w:right w:val="nil"/>
            </w:tcBorders>
            <w:vAlign w:val="center"/>
          </w:tcPr>
          <w:p w14:paraId="40BDE590" w14:textId="77777777" w:rsidR="00076E79" w:rsidRPr="00345AA4" w:rsidRDefault="00B8436C" w:rsidP="00964281">
            <w:pPr>
              <w:spacing w:after="0" w:line="240" w:lineRule="auto"/>
              <w:ind w:right="-72"/>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        </w:t>
            </w:r>
            <w:r w:rsidR="00076E79" w:rsidRPr="00345AA4">
              <w:rPr>
                <w:rFonts w:ascii="Arial" w:eastAsia="Times New Roman" w:hAnsi="Arial" w:cs="Arial"/>
                <w:color w:val="000000" w:themeColor="text1"/>
              </w:rPr>
              <w:t>(2,290,764)</w:t>
            </w:r>
          </w:p>
        </w:tc>
      </w:tr>
      <w:tr w:rsidR="00345AA4" w:rsidRPr="00345AA4" w14:paraId="7E550344" w14:textId="77777777" w:rsidTr="00E41173">
        <w:trPr>
          <w:trHeight w:val="225"/>
        </w:trPr>
        <w:tc>
          <w:tcPr>
            <w:tcW w:w="6048" w:type="dxa"/>
            <w:tcBorders>
              <w:top w:val="nil"/>
              <w:left w:val="nil"/>
              <w:bottom w:val="single" w:sz="4" w:space="0" w:color="auto"/>
              <w:right w:val="nil"/>
            </w:tcBorders>
            <w:shd w:val="clear" w:color="auto" w:fill="auto"/>
            <w:noWrap/>
            <w:vAlign w:val="center"/>
          </w:tcPr>
          <w:p w14:paraId="7465F499" w14:textId="77777777" w:rsidR="00076E79" w:rsidRPr="00345AA4" w:rsidRDefault="00076E79" w:rsidP="00076E79">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Allowance for doubtful account, other loans</w:t>
            </w:r>
          </w:p>
        </w:tc>
        <w:tc>
          <w:tcPr>
            <w:tcW w:w="1890" w:type="dxa"/>
            <w:tcBorders>
              <w:top w:val="nil"/>
              <w:left w:val="nil"/>
              <w:bottom w:val="single" w:sz="4" w:space="0" w:color="auto"/>
              <w:right w:val="nil"/>
            </w:tcBorders>
            <w:vAlign w:val="center"/>
          </w:tcPr>
          <w:p w14:paraId="06657C0F" w14:textId="77777777" w:rsidR="00076E79" w:rsidRPr="00345AA4" w:rsidRDefault="00B8436C" w:rsidP="00964281">
            <w:pPr>
              <w:spacing w:after="0" w:line="240" w:lineRule="auto"/>
              <w:ind w:right="-72"/>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        </w:t>
            </w:r>
            <w:r w:rsidR="00076E79" w:rsidRPr="00345AA4">
              <w:rPr>
                <w:rFonts w:ascii="Arial" w:eastAsia="Times New Roman" w:hAnsi="Arial" w:cs="Arial"/>
                <w:color w:val="000000" w:themeColor="text1"/>
              </w:rPr>
              <w:t>(1,461,518)</w:t>
            </w:r>
          </w:p>
        </w:tc>
      </w:tr>
      <w:tr w:rsidR="00345AA4" w:rsidRPr="00345AA4" w14:paraId="2DA089FE" w14:textId="77777777" w:rsidTr="00E41173">
        <w:trPr>
          <w:trHeight w:val="225"/>
        </w:trPr>
        <w:tc>
          <w:tcPr>
            <w:tcW w:w="6048" w:type="dxa"/>
            <w:tcBorders>
              <w:top w:val="single" w:sz="4" w:space="0" w:color="auto"/>
              <w:left w:val="nil"/>
              <w:bottom w:val="single" w:sz="4" w:space="0" w:color="auto"/>
              <w:right w:val="nil"/>
            </w:tcBorders>
            <w:shd w:val="clear" w:color="auto" w:fill="auto"/>
            <w:noWrap/>
            <w:vAlign w:val="center"/>
          </w:tcPr>
          <w:p w14:paraId="1E6B5445" w14:textId="77777777" w:rsidR="00076E79" w:rsidRPr="00345AA4" w:rsidRDefault="00076E79" w:rsidP="00076E79">
            <w:pPr>
              <w:spacing w:after="0" w:line="240" w:lineRule="auto"/>
              <w:rPr>
                <w:rFonts w:ascii="Arial" w:eastAsia="Times New Roman" w:hAnsi="Arial" w:cs="Arial"/>
                <w:color w:val="000000" w:themeColor="text1"/>
              </w:rPr>
            </w:pPr>
          </w:p>
        </w:tc>
        <w:tc>
          <w:tcPr>
            <w:tcW w:w="1890" w:type="dxa"/>
            <w:tcBorders>
              <w:top w:val="single" w:sz="4" w:space="0" w:color="auto"/>
              <w:left w:val="nil"/>
              <w:bottom w:val="single" w:sz="4" w:space="0" w:color="auto"/>
              <w:right w:val="nil"/>
            </w:tcBorders>
            <w:vAlign w:val="center"/>
          </w:tcPr>
          <w:p w14:paraId="168CAB9E" w14:textId="526C308A" w:rsidR="00076E79" w:rsidRPr="00345AA4" w:rsidRDefault="00B8436C" w:rsidP="00964281">
            <w:pPr>
              <w:spacing w:after="0" w:line="240" w:lineRule="auto"/>
              <w:jc w:val="right"/>
              <w:rPr>
                <w:rFonts w:ascii="Arial" w:eastAsia="Times New Roman" w:hAnsi="Arial" w:cs="Arial"/>
                <w:b/>
                <w:color w:val="000000" w:themeColor="text1"/>
              </w:rPr>
            </w:pPr>
            <w:r w:rsidRPr="00345AA4">
              <w:rPr>
                <w:rFonts w:ascii="Arial" w:eastAsia="Times New Roman" w:hAnsi="Arial" w:cs="Arial"/>
                <w:b/>
                <w:color w:val="000000" w:themeColor="text1"/>
              </w:rPr>
              <w:t xml:space="preserve">P  </w:t>
            </w:r>
            <w:r w:rsidR="00BA0F80" w:rsidRPr="00345AA4">
              <w:rPr>
                <w:rFonts w:ascii="Arial" w:eastAsia="Times New Roman" w:hAnsi="Arial" w:cs="Arial"/>
                <w:b/>
                <w:color w:val="000000" w:themeColor="text1"/>
              </w:rPr>
              <w:t>658,261,99</w:t>
            </w:r>
            <w:r w:rsidR="00E672B4" w:rsidRPr="00345AA4">
              <w:rPr>
                <w:rFonts w:ascii="Arial" w:eastAsia="Times New Roman" w:hAnsi="Arial" w:cs="Arial"/>
                <w:b/>
                <w:color w:val="000000" w:themeColor="text1"/>
              </w:rPr>
              <w:t>9</w:t>
            </w:r>
          </w:p>
        </w:tc>
      </w:tr>
      <w:tr w:rsidR="00345AA4" w:rsidRPr="00345AA4" w14:paraId="4115065A" w14:textId="77777777" w:rsidTr="00E41173">
        <w:trPr>
          <w:trHeight w:val="225"/>
        </w:trPr>
        <w:tc>
          <w:tcPr>
            <w:tcW w:w="6048" w:type="dxa"/>
            <w:tcBorders>
              <w:top w:val="single" w:sz="4" w:space="0" w:color="auto"/>
              <w:left w:val="nil"/>
              <w:bottom w:val="double" w:sz="4" w:space="0" w:color="auto"/>
              <w:right w:val="nil"/>
            </w:tcBorders>
            <w:shd w:val="clear" w:color="auto" w:fill="auto"/>
            <w:noWrap/>
            <w:vAlign w:val="center"/>
          </w:tcPr>
          <w:p w14:paraId="02DA9498" w14:textId="77777777" w:rsidR="00076E79" w:rsidRPr="00345AA4" w:rsidRDefault="00076E79" w:rsidP="00076E79">
            <w:pPr>
              <w:spacing w:after="0" w:line="240" w:lineRule="auto"/>
              <w:rPr>
                <w:rFonts w:ascii="Arial" w:eastAsia="Times New Roman" w:hAnsi="Arial" w:cs="Arial"/>
                <w:color w:val="000000" w:themeColor="text1"/>
              </w:rPr>
            </w:pPr>
            <w:r w:rsidRPr="00345AA4">
              <w:rPr>
                <w:rFonts w:ascii="Arial" w:eastAsia="Times New Roman" w:hAnsi="Arial" w:cs="Arial"/>
                <w:b/>
                <w:bCs/>
                <w:color w:val="000000" w:themeColor="text1"/>
              </w:rPr>
              <w:t>Loans receivable - net</w:t>
            </w:r>
          </w:p>
        </w:tc>
        <w:tc>
          <w:tcPr>
            <w:tcW w:w="1890" w:type="dxa"/>
            <w:tcBorders>
              <w:top w:val="single" w:sz="4" w:space="0" w:color="auto"/>
              <w:left w:val="nil"/>
              <w:bottom w:val="double" w:sz="4" w:space="0" w:color="auto"/>
              <w:right w:val="nil"/>
            </w:tcBorders>
            <w:vAlign w:val="center"/>
          </w:tcPr>
          <w:p w14:paraId="16832AFE" w14:textId="1B8F0F80" w:rsidR="00076E79" w:rsidRPr="00345AA4" w:rsidRDefault="00BA0F80" w:rsidP="00964281">
            <w:pPr>
              <w:spacing w:after="0" w:line="240" w:lineRule="auto"/>
              <w:jc w:val="right"/>
              <w:rPr>
                <w:rFonts w:ascii="Arial" w:eastAsia="Times New Roman" w:hAnsi="Arial" w:cs="Arial"/>
                <w:b/>
                <w:color w:val="000000" w:themeColor="text1"/>
              </w:rPr>
            </w:pPr>
            <w:r w:rsidRPr="00345AA4">
              <w:rPr>
                <w:rFonts w:ascii="Arial" w:eastAsia="Times New Roman" w:hAnsi="Arial" w:cs="Arial"/>
                <w:b/>
                <w:color w:val="000000" w:themeColor="text1"/>
              </w:rPr>
              <w:t>P  434,548,00</w:t>
            </w:r>
            <w:r w:rsidR="00E672B4" w:rsidRPr="00345AA4">
              <w:rPr>
                <w:rFonts w:ascii="Arial" w:eastAsia="Times New Roman" w:hAnsi="Arial" w:cs="Arial"/>
                <w:b/>
                <w:color w:val="000000" w:themeColor="text1"/>
              </w:rPr>
              <w:t>7</w:t>
            </w:r>
          </w:p>
        </w:tc>
      </w:tr>
    </w:tbl>
    <w:p w14:paraId="1E27D669" w14:textId="77777777" w:rsidR="0075361C" w:rsidRPr="00345AA4" w:rsidRDefault="00FD4026" w:rsidP="0075361C">
      <w:pPr>
        <w:pStyle w:val="NoSpacing"/>
        <w:rPr>
          <w:rFonts w:ascii="Arial" w:hAnsi="Arial" w:cs="Arial"/>
          <w:color w:val="000000" w:themeColor="text1"/>
        </w:rPr>
      </w:pPr>
      <w:r w:rsidRPr="00345AA4">
        <w:rPr>
          <w:rFonts w:ascii="Arial" w:hAnsi="Arial" w:cs="Arial"/>
          <w:color w:val="000000" w:themeColor="text1"/>
        </w:rPr>
        <w:fldChar w:fldCharType="begin"/>
      </w:r>
      <w:r w:rsidRPr="00345AA4">
        <w:rPr>
          <w:rFonts w:ascii="Arial" w:hAnsi="Arial" w:cs="Arial"/>
          <w:color w:val="000000" w:themeColor="text1"/>
        </w:rPr>
        <w:instrText xml:space="preserve"> LINK </w:instrText>
      </w:r>
      <w:r w:rsidR="004D57B3" w:rsidRPr="00345AA4">
        <w:rPr>
          <w:rFonts w:ascii="Arial" w:hAnsi="Arial" w:cs="Arial"/>
          <w:color w:val="000000" w:themeColor="text1"/>
        </w:rPr>
        <w:instrText xml:space="preserve">Excel.Sheet.12 "D:\\AFPRSBS MG\\Draft AOM\\COA 2019 2nd sem Schedule  of Dormant Accounts.xlsx" Sheet2!R54C1:R57C3 </w:instrText>
      </w:r>
      <w:r w:rsidRPr="00345AA4">
        <w:rPr>
          <w:rFonts w:ascii="Arial" w:hAnsi="Arial" w:cs="Arial"/>
          <w:color w:val="000000" w:themeColor="text1"/>
        </w:rPr>
        <w:instrText xml:space="preserve">\a \f 4 \h  \* MERGEFORMAT </w:instrText>
      </w:r>
      <w:r w:rsidRPr="00345AA4">
        <w:rPr>
          <w:rFonts w:ascii="Arial" w:hAnsi="Arial" w:cs="Arial"/>
          <w:color w:val="000000" w:themeColor="text1"/>
        </w:rPr>
        <w:fldChar w:fldCharType="separate"/>
      </w:r>
    </w:p>
    <w:tbl>
      <w:tblPr>
        <w:tblW w:w="7920" w:type="dxa"/>
        <w:tblInd w:w="918" w:type="dxa"/>
        <w:tblLook w:val="04A0" w:firstRow="1" w:lastRow="0" w:firstColumn="1" w:lastColumn="0" w:noHBand="0" w:noVBand="1"/>
      </w:tblPr>
      <w:tblGrid>
        <w:gridCol w:w="6030"/>
        <w:gridCol w:w="1890"/>
      </w:tblGrid>
      <w:tr w:rsidR="00345AA4" w:rsidRPr="00345AA4" w14:paraId="31DB3F8D" w14:textId="77777777" w:rsidTr="00975DCC">
        <w:trPr>
          <w:divId w:val="330983521"/>
          <w:trHeight w:val="225"/>
        </w:trPr>
        <w:tc>
          <w:tcPr>
            <w:tcW w:w="6030" w:type="dxa"/>
            <w:tcBorders>
              <w:top w:val="single" w:sz="4" w:space="0" w:color="auto"/>
              <w:left w:val="nil"/>
              <w:bottom w:val="single" w:sz="4" w:space="0" w:color="auto"/>
              <w:right w:val="nil"/>
            </w:tcBorders>
            <w:shd w:val="clear" w:color="auto" w:fill="auto"/>
            <w:noWrap/>
            <w:vAlign w:val="bottom"/>
            <w:hideMark/>
          </w:tcPr>
          <w:p w14:paraId="795929B9" w14:textId="77777777" w:rsidR="00B53FD9" w:rsidRPr="00345AA4" w:rsidRDefault="00B53FD9" w:rsidP="0075361C">
            <w:pPr>
              <w:spacing w:after="0" w:line="240" w:lineRule="auto"/>
              <w:jc w:val="center"/>
              <w:rPr>
                <w:rFonts w:ascii="Arial" w:eastAsia="Times New Roman" w:hAnsi="Arial" w:cs="Arial"/>
                <w:b/>
                <w:bCs/>
                <w:color w:val="000000" w:themeColor="text1"/>
              </w:rPr>
            </w:pPr>
            <w:r w:rsidRPr="00345AA4">
              <w:rPr>
                <w:rFonts w:ascii="Arial" w:eastAsia="Times New Roman" w:hAnsi="Arial" w:cs="Arial"/>
                <w:b/>
                <w:bCs/>
                <w:color w:val="000000" w:themeColor="text1"/>
              </w:rPr>
              <w:t>Account title</w:t>
            </w:r>
          </w:p>
        </w:tc>
        <w:tc>
          <w:tcPr>
            <w:tcW w:w="1890" w:type="dxa"/>
            <w:tcBorders>
              <w:top w:val="single" w:sz="4" w:space="0" w:color="auto"/>
              <w:left w:val="nil"/>
              <w:bottom w:val="single" w:sz="4" w:space="0" w:color="auto"/>
              <w:right w:val="nil"/>
            </w:tcBorders>
            <w:shd w:val="clear" w:color="auto" w:fill="auto"/>
            <w:noWrap/>
            <w:vAlign w:val="bottom"/>
            <w:hideMark/>
          </w:tcPr>
          <w:p w14:paraId="6CA28528" w14:textId="77777777" w:rsidR="00B53FD9" w:rsidRPr="00345AA4" w:rsidRDefault="00B53FD9" w:rsidP="0075361C">
            <w:pPr>
              <w:spacing w:after="0" w:line="240" w:lineRule="auto"/>
              <w:jc w:val="center"/>
              <w:rPr>
                <w:rFonts w:ascii="Arial" w:eastAsia="Times New Roman" w:hAnsi="Arial" w:cs="Arial"/>
                <w:b/>
                <w:bCs/>
                <w:color w:val="000000" w:themeColor="text1"/>
              </w:rPr>
            </w:pPr>
            <w:r w:rsidRPr="00345AA4">
              <w:rPr>
                <w:rFonts w:ascii="Arial" w:eastAsia="Times New Roman" w:hAnsi="Arial" w:cs="Arial"/>
                <w:b/>
                <w:bCs/>
                <w:color w:val="000000" w:themeColor="text1"/>
              </w:rPr>
              <w:t>Amount</w:t>
            </w:r>
          </w:p>
        </w:tc>
      </w:tr>
      <w:tr w:rsidR="00345AA4" w:rsidRPr="00345AA4" w14:paraId="5397685D" w14:textId="77777777" w:rsidTr="00975DCC">
        <w:trPr>
          <w:divId w:val="330983521"/>
          <w:trHeight w:val="225"/>
        </w:trPr>
        <w:tc>
          <w:tcPr>
            <w:tcW w:w="6030" w:type="dxa"/>
            <w:tcBorders>
              <w:top w:val="nil"/>
              <w:left w:val="nil"/>
              <w:bottom w:val="nil"/>
              <w:right w:val="nil"/>
            </w:tcBorders>
            <w:shd w:val="clear" w:color="auto" w:fill="auto"/>
            <w:noWrap/>
            <w:vAlign w:val="bottom"/>
            <w:hideMark/>
          </w:tcPr>
          <w:p w14:paraId="4321CCFA" w14:textId="77777777" w:rsidR="00B53FD9" w:rsidRPr="00345AA4" w:rsidRDefault="00802CB8" w:rsidP="0075361C">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Due from a</w:t>
            </w:r>
            <w:r w:rsidR="00B53FD9" w:rsidRPr="00345AA4">
              <w:rPr>
                <w:rFonts w:ascii="Arial" w:eastAsia="Times New Roman" w:hAnsi="Arial" w:cs="Arial"/>
                <w:color w:val="000000" w:themeColor="text1"/>
              </w:rPr>
              <w:t>ffiliates/</w:t>
            </w:r>
            <w:r w:rsidRPr="00345AA4">
              <w:rPr>
                <w:rFonts w:ascii="Arial" w:eastAsia="Times New Roman" w:hAnsi="Arial" w:cs="Arial"/>
                <w:color w:val="000000" w:themeColor="text1"/>
              </w:rPr>
              <w:t>s</w:t>
            </w:r>
            <w:r w:rsidR="00B53FD9" w:rsidRPr="00345AA4">
              <w:rPr>
                <w:rFonts w:ascii="Arial" w:eastAsia="Times New Roman" w:hAnsi="Arial" w:cs="Arial"/>
                <w:color w:val="000000" w:themeColor="text1"/>
              </w:rPr>
              <w:t>ubsidiaries</w:t>
            </w:r>
          </w:p>
        </w:tc>
        <w:tc>
          <w:tcPr>
            <w:tcW w:w="1890" w:type="dxa"/>
            <w:tcBorders>
              <w:top w:val="nil"/>
              <w:left w:val="nil"/>
              <w:bottom w:val="nil"/>
              <w:right w:val="nil"/>
            </w:tcBorders>
            <w:shd w:val="clear" w:color="auto" w:fill="auto"/>
            <w:noWrap/>
            <w:vAlign w:val="bottom"/>
            <w:hideMark/>
          </w:tcPr>
          <w:p w14:paraId="02C17AFA" w14:textId="5A527485" w:rsidR="00B53FD9" w:rsidRPr="00345AA4" w:rsidRDefault="00D975F7" w:rsidP="00964281">
            <w:pPr>
              <w:spacing w:after="0" w:line="240" w:lineRule="auto"/>
              <w:jc w:val="right"/>
              <w:rPr>
                <w:rFonts w:ascii="Arial" w:eastAsia="Times New Roman" w:hAnsi="Arial" w:cs="Arial"/>
                <w:color w:val="000000" w:themeColor="text1"/>
              </w:rPr>
            </w:pPr>
            <w:r w:rsidRPr="00345AA4">
              <w:rPr>
                <w:rFonts w:ascii="Arial" w:eastAsia="Times New Roman" w:hAnsi="Arial" w:cs="Arial"/>
                <w:color w:val="000000" w:themeColor="text1"/>
              </w:rPr>
              <w:t xml:space="preserve"> P </w:t>
            </w:r>
            <w:r w:rsidR="00B53FD9" w:rsidRPr="00345AA4">
              <w:rPr>
                <w:rFonts w:ascii="Arial" w:eastAsia="Times New Roman" w:hAnsi="Arial" w:cs="Arial"/>
                <w:color w:val="000000" w:themeColor="text1"/>
              </w:rPr>
              <w:t>34,454,</w:t>
            </w:r>
            <w:r w:rsidR="00E672B4" w:rsidRPr="00345AA4">
              <w:rPr>
                <w:rFonts w:ascii="Arial" w:eastAsia="Times New Roman" w:hAnsi="Arial" w:cs="Arial"/>
                <w:color w:val="000000" w:themeColor="text1"/>
              </w:rPr>
              <w:t>120</w:t>
            </w:r>
            <w:r w:rsidR="00B53FD9" w:rsidRPr="00345AA4">
              <w:rPr>
                <w:rFonts w:ascii="Arial" w:eastAsia="Times New Roman" w:hAnsi="Arial" w:cs="Arial"/>
                <w:color w:val="000000" w:themeColor="text1"/>
              </w:rPr>
              <w:t xml:space="preserve"> </w:t>
            </w:r>
          </w:p>
        </w:tc>
      </w:tr>
      <w:tr w:rsidR="00345AA4" w:rsidRPr="00345AA4" w14:paraId="6A092B98" w14:textId="77777777" w:rsidTr="00975DCC">
        <w:trPr>
          <w:divId w:val="330983521"/>
          <w:trHeight w:val="225"/>
        </w:trPr>
        <w:tc>
          <w:tcPr>
            <w:tcW w:w="6030" w:type="dxa"/>
            <w:tcBorders>
              <w:top w:val="nil"/>
              <w:left w:val="nil"/>
              <w:bottom w:val="single" w:sz="4" w:space="0" w:color="auto"/>
              <w:right w:val="nil"/>
            </w:tcBorders>
            <w:shd w:val="clear" w:color="auto" w:fill="auto"/>
            <w:noWrap/>
            <w:vAlign w:val="bottom"/>
            <w:hideMark/>
          </w:tcPr>
          <w:p w14:paraId="728BA3AE" w14:textId="77777777" w:rsidR="00B53FD9" w:rsidRPr="00345AA4" w:rsidRDefault="00802CB8" w:rsidP="0075361C">
            <w:pPr>
              <w:spacing w:after="0" w:line="240" w:lineRule="auto"/>
              <w:rPr>
                <w:rFonts w:ascii="Arial" w:eastAsia="Times New Roman" w:hAnsi="Arial" w:cs="Arial"/>
                <w:color w:val="000000" w:themeColor="text1"/>
              </w:rPr>
            </w:pPr>
            <w:r w:rsidRPr="00345AA4">
              <w:rPr>
                <w:rFonts w:ascii="Arial" w:eastAsia="Times New Roman" w:hAnsi="Arial" w:cs="Arial"/>
                <w:color w:val="000000" w:themeColor="text1"/>
              </w:rPr>
              <w:t>Allowance for probable loss, other current a</w:t>
            </w:r>
            <w:r w:rsidR="00B53FD9" w:rsidRPr="00345AA4">
              <w:rPr>
                <w:rFonts w:ascii="Arial" w:eastAsia="Times New Roman" w:hAnsi="Arial" w:cs="Arial"/>
                <w:color w:val="000000" w:themeColor="text1"/>
              </w:rPr>
              <w:t>ssets</w:t>
            </w:r>
          </w:p>
        </w:tc>
        <w:tc>
          <w:tcPr>
            <w:tcW w:w="1890" w:type="dxa"/>
            <w:tcBorders>
              <w:top w:val="nil"/>
              <w:left w:val="nil"/>
              <w:bottom w:val="single" w:sz="4" w:space="0" w:color="auto"/>
              <w:right w:val="nil"/>
            </w:tcBorders>
            <w:shd w:val="clear" w:color="auto" w:fill="auto"/>
            <w:noWrap/>
            <w:vAlign w:val="bottom"/>
            <w:hideMark/>
          </w:tcPr>
          <w:p w14:paraId="721350A1" w14:textId="0FCE07CF" w:rsidR="00B53FD9" w:rsidRPr="00345AA4" w:rsidRDefault="00345AA4" w:rsidP="00345AA4">
            <w:pPr>
              <w:spacing w:after="0" w:line="240" w:lineRule="auto"/>
              <w:ind w:right="-101"/>
              <w:jc w:val="center"/>
              <w:rPr>
                <w:rFonts w:ascii="Arial" w:eastAsia="Times New Roman" w:hAnsi="Arial" w:cs="Arial"/>
                <w:color w:val="000000" w:themeColor="text1"/>
              </w:rPr>
            </w:pPr>
            <w:r>
              <w:rPr>
                <w:rFonts w:ascii="Arial" w:eastAsia="Times New Roman" w:hAnsi="Arial" w:cs="Arial"/>
                <w:color w:val="000000" w:themeColor="text1"/>
              </w:rPr>
              <w:t xml:space="preserve">        </w:t>
            </w:r>
            <w:r w:rsidR="00B53FD9" w:rsidRPr="00345AA4">
              <w:rPr>
                <w:rFonts w:ascii="Arial" w:eastAsia="Times New Roman" w:hAnsi="Arial" w:cs="Arial"/>
                <w:color w:val="000000" w:themeColor="text1"/>
              </w:rPr>
              <w:t>(16,416,120)</w:t>
            </w:r>
          </w:p>
        </w:tc>
      </w:tr>
      <w:tr w:rsidR="00345AA4" w:rsidRPr="00345AA4" w14:paraId="12499350" w14:textId="77777777" w:rsidTr="00975DCC">
        <w:trPr>
          <w:divId w:val="330983521"/>
          <w:trHeight w:val="225"/>
        </w:trPr>
        <w:tc>
          <w:tcPr>
            <w:tcW w:w="6030" w:type="dxa"/>
            <w:tcBorders>
              <w:top w:val="single" w:sz="4" w:space="0" w:color="auto"/>
              <w:left w:val="nil"/>
              <w:bottom w:val="double" w:sz="4" w:space="0" w:color="auto"/>
              <w:right w:val="nil"/>
            </w:tcBorders>
            <w:shd w:val="clear" w:color="auto" w:fill="auto"/>
            <w:noWrap/>
            <w:vAlign w:val="bottom"/>
          </w:tcPr>
          <w:p w14:paraId="7CDA50D7" w14:textId="2B87FB22" w:rsidR="00B53FD9" w:rsidRPr="00345AA4" w:rsidRDefault="00B53FD9" w:rsidP="0075361C">
            <w:pPr>
              <w:spacing w:after="0" w:line="240" w:lineRule="auto"/>
              <w:rPr>
                <w:rFonts w:ascii="Arial" w:eastAsia="Times New Roman" w:hAnsi="Arial" w:cs="Arial"/>
                <w:color w:val="000000" w:themeColor="text1"/>
              </w:rPr>
            </w:pPr>
            <w:r w:rsidRPr="00345AA4">
              <w:rPr>
                <w:rFonts w:ascii="Arial" w:eastAsia="Times New Roman" w:hAnsi="Arial" w:cs="Arial"/>
                <w:b/>
                <w:bCs/>
                <w:color w:val="000000" w:themeColor="text1"/>
              </w:rPr>
              <w:t xml:space="preserve">Advances to </w:t>
            </w:r>
            <w:r w:rsidR="00155D8D" w:rsidRPr="00345AA4">
              <w:rPr>
                <w:rFonts w:ascii="Arial" w:eastAsia="Times New Roman" w:hAnsi="Arial" w:cs="Arial"/>
                <w:b/>
                <w:bCs/>
                <w:color w:val="000000" w:themeColor="text1"/>
              </w:rPr>
              <w:t>s</w:t>
            </w:r>
            <w:r w:rsidRPr="00345AA4">
              <w:rPr>
                <w:rFonts w:ascii="Arial" w:eastAsia="Times New Roman" w:hAnsi="Arial" w:cs="Arial"/>
                <w:b/>
                <w:bCs/>
                <w:color w:val="000000" w:themeColor="text1"/>
              </w:rPr>
              <w:t xml:space="preserve">ubsidiaries and </w:t>
            </w:r>
            <w:r w:rsidR="00155D8D" w:rsidRPr="00345AA4">
              <w:rPr>
                <w:rFonts w:ascii="Arial" w:eastAsia="Times New Roman" w:hAnsi="Arial" w:cs="Arial"/>
                <w:b/>
                <w:bCs/>
                <w:color w:val="000000" w:themeColor="text1"/>
              </w:rPr>
              <w:t>a</w:t>
            </w:r>
            <w:r w:rsidRPr="00345AA4">
              <w:rPr>
                <w:rFonts w:ascii="Arial" w:eastAsia="Times New Roman" w:hAnsi="Arial" w:cs="Arial"/>
                <w:b/>
                <w:bCs/>
                <w:color w:val="000000" w:themeColor="text1"/>
              </w:rPr>
              <w:t>ssociates - net</w:t>
            </w:r>
          </w:p>
        </w:tc>
        <w:tc>
          <w:tcPr>
            <w:tcW w:w="1890" w:type="dxa"/>
            <w:tcBorders>
              <w:top w:val="single" w:sz="4" w:space="0" w:color="auto"/>
              <w:left w:val="nil"/>
              <w:bottom w:val="double" w:sz="4" w:space="0" w:color="auto"/>
              <w:right w:val="nil"/>
            </w:tcBorders>
            <w:shd w:val="clear" w:color="auto" w:fill="auto"/>
            <w:noWrap/>
            <w:vAlign w:val="bottom"/>
          </w:tcPr>
          <w:p w14:paraId="5E5C3427" w14:textId="3E144010" w:rsidR="00B53FD9" w:rsidRPr="00345AA4" w:rsidRDefault="00D975F7" w:rsidP="00BA0F80">
            <w:pPr>
              <w:spacing w:after="0" w:line="240" w:lineRule="auto"/>
              <w:jc w:val="right"/>
              <w:rPr>
                <w:rFonts w:ascii="Arial" w:eastAsia="Times New Roman" w:hAnsi="Arial" w:cs="Arial"/>
                <w:color w:val="000000" w:themeColor="text1"/>
              </w:rPr>
            </w:pPr>
            <w:r w:rsidRPr="00345AA4">
              <w:rPr>
                <w:rFonts w:ascii="Arial" w:eastAsia="Times New Roman" w:hAnsi="Arial" w:cs="Arial"/>
                <w:b/>
                <w:bCs/>
                <w:color w:val="000000" w:themeColor="text1"/>
              </w:rPr>
              <w:t xml:space="preserve"> P </w:t>
            </w:r>
            <w:r w:rsidR="00BA0F80" w:rsidRPr="00345AA4">
              <w:rPr>
                <w:rFonts w:ascii="Arial" w:eastAsia="Times New Roman" w:hAnsi="Arial" w:cs="Arial"/>
                <w:b/>
                <w:bCs/>
                <w:color w:val="000000" w:themeColor="text1"/>
              </w:rPr>
              <w:t>18,03</w:t>
            </w:r>
            <w:r w:rsidR="00E672B4" w:rsidRPr="00345AA4">
              <w:rPr>
                <w:rFonts w:ascii="Arial" w:eastAsia="Times New Roman" w:hAnsi="Arial" w:cs="Arial"/>
                <w:b/>
                <w:bCs/>
                <w:color w:val="000000" w:themeColor="text1"/>
              </w:rPr>
              <w:t>8,000</w:t>
            </w:r>
          </w:p>
        </w:tc>
      </w:tr>
    </w:tbl>
    <w:p w14:paraId="2BA5210E" w14:textId="77777777" w:rsidR="00FD4026" w:rsidRPr="00345AA4" w:rsidRDefault="00FD4026" w:rsidP="00FD4026">
      <w:pPr>
        <w:spacing w:after="0" w:line="240" w:lineRule="auto"/>
        <w:jc w:val="both"/>
        <w:rPr>
          <w:rFonts w:ascii="Arial" w:eastAsia="Times New Roman" w:hAnsi="Arial" w:cs="Arial"/>
          <w:color w:val="000000" w:themeColor="text1"/>
        </w:rPr>
      </w:pPr>
      <w:r w:rsidRPr="00345AA4">
        <w:rPr>
          <w:rFonts w:ascii="Arial" w:eastAsia="Times New Roman" w:hAnsi="Arial" w:cs="Arial"/>
          <w:color w:val="000000" w:themeColor="text1"/>
        </w:rPr>
        <w:fldChar w:fldCharType="end"/>
      </w:r>
    </w:p>
    <w:p w14:paraId="78F1EA61" w14:textId="444A2C03" w:rsidR="00100368" w:rsidRPr="00345AA4" w:rsidRDefault="00FD4026" w:rsidP="002C39EB">
      <w:pPr>
        <w:pStyle w:val="ListParagraph"/>
        <w:numPr>
          <w:ilvl w:val="1"/>
          <w:numId w:val="1"/>
        </w:numPr>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Relative to the aforesaid accounts, AFPRSBS has dormant receivables totaling to P955.148 million</w:t>
      </w:r>
      <w:r w:rsidR="002C4E7B" w:rsidRPr="00345AA4">
        <w:rPr>
          <w:rFonts w:ascii="Arial" w:hAnsi="Arial" w:cs="Arial"/>
          <w:color w:val="000000" w:themeColor="text1"/>
          <w:sz w:val="22"/>
          <w:szCs w:val="22"/>
        </w:rPr>
        <w:t xml:space="preserve"> which</w:t>
      </w:r>
      <w:r w:rsidRPr="00345AA4">
        <w:rPr>
          <w:rFonts w:ascii="Arial" w:hAnsi="Arial" w:cs="Arial"/>
          <w:color w:val="000000" w:themeColor="text1"/>
          <w:sz w:val="22"/>
          <w:szCs w:val="22"/>
        </w:rPr>
        <w:t xml:space="preserve"> </w:t>
      </w:r>
      <w:r w:rsidR="00801762" w:rsidRPr="00345AA4">
        <w:rPr>
          <w:rFonts w:ascii="Arial" w:hAnsi="Arial" w:cs="Arial"/>
          <w:color w:val="000000" w:themeColor="text1"/>
          <w:sz w:val="22"/>
          <w:szCs w:val="22"/>
        </w:rPr>
        <w:t>represents</w:t>
      </w:r>
      <w:r w:rsidRPr="00345AA4">
        <w:rPr>
          <w:rFonts w:ascii="Arial" w:hAnsi="Arial" w:cs="Arial"/>
          <w:color w:val="000000" w:themeColor="text1"/>
          <w:sz w:val="22"/>
          <w:szCs w:val="22"/>
        </w:rPr>
        <w:t xml:space="preserve"> 93 per cent of the total receivables and five per cent of the total assets as of year-end.  </w:t>
      </w:r>
      <w:r w:rsidR="00801762" w:rsidRPr="00345AA4">
        <w:rPr>
          <w:rFonts w:ascii="Arial" w:hAnsi="Arial" w:cs="Arial"/>
          <w:color w:val="000000" w:themeColor="text1"/>
          <w:sz w:val="22"/>
          <w:szCs w:val="22"/>
        </w:rPr>
        <w:t>Details are as follows:</w:t>
      </w:r>
    </w:p>
    <w:p w14:paraId="73B97256" w14:textId="77777777" w:rsidR="00FD5382" w:rsidRPr="00345AA4" w:rsidRDefault="00FD5382" w:rsidP="00E359F9">
      <w:pPr>
        <w:pStyle w:val="ListParagraph"/>
        <w:ind w:left="900"/>
        <w:contextualSpacing/>
        <w:jc w:val="both"/>
        <w:rPr>
          <w:rFonts w:ascii="Arial" w:hAnsi="Arial" w:cs="Arial"/>
          <w:color w:val="000000" w:themeColor="text1"/>
          <w:sz w:val="22"/>
          <w:szCs w:val="22"/>
        </w:rPr>
      </w:pPr>
    </w:p>
    <w:p w14:paraId="4DDB91C8" w14:textId="77777777" w:rsidR="00F043CF" w:rsidRPr="00C47B53" w:rsidRDefault="00F043CF" w:rsidP="00C47B53">
      <w:pPr>
        <w:contextualSpacing/>
        <w:jc w:val="both"/>
        <w:rPr>
          <w:rFonts w:ascii="Arial" w:hAnsi="Arial" w:cs="Arial"/>
          <w:color w:val="000000" w:themeColor="text1"/>
        </w:rPr>
      </w:pPr>
    </w:p>
    <w:tbl>
      <w:tblPr>
        <w:tblW w:w="7780" w:type="dxa"/>
        <w:tblInd w:w="993" w:type="dxa"/>
        <w:tblLayout w:type="fixed"/>
        <w:tblCellMar>
          <w:left w:w="43" w:type="dxa"/>
          <w:right w:w="43" w:type="dxa"/>
        </w:tblCellMar>
        <w:tblLook w:val="04A0" w:firstRow="1" w:lastRow="0" w:firstColumn="1" w:lastColumn="0" w:noHBand="0" w:noVBand="1"/>
      </w:tblPr>
      <w:tblGrid>
        <w:gridCol w:w="2805"/>
        <w:gridCol w:w="1080"/>
        <w:gridCol w:w="1350"/>
        <w:gridCol w:w="1285"/>
        <w:gridCol w:w="1260"/>
      </w:tblGrid>
      <w:tr w:rsidR="00345AA4" w:rsidRPr="00345AA4" w14:paraId="4256323B" w14:textId="77777777" w:rsidTr="00C47B53">
        <w:trPr>
          <w:trHeight w:val="205"/>
          <w:tblHeader/>
        </w:trPr>
        <w:tc>
          <w:tcPr>
            <w:tcW w:w="2805" w:type="dxa"/>
            <w:vMerge w:val="restart"/>
            <w:tcBorders>
              <w:top w:val="single" w:sz="8" w:space="0" w:color="auto"/>
              <w:left w:val="nil"/>
              <w:right w:val="nil"/>
            </w:tcBorders>
            <w:shd w:val="clear" w:color="auto" w:fill="auto"/>
            <w:vAlign w:val="center"/>
          </w:tcPr>
          <w:p w14:paraId="1F9C0AB6" w14:textId="77777777" w:rsidR="00F043CF" w:rsidRPr="00345AA4" w:rsidRDefault="00F043CF" w:rsidP="00902BD6">
            <w:pPr>
              <w:spacing w:after="0" w:line="240" w:lineRule="auto"/>
              <w:jc w:val="center"/>
              <w:rPr>
                <w:rFonts w:ascii="Arial" w:eastAsia="Times New Roman" w:hAnsi="Arial" w:cs="Arial"/>
                <w:b/>
                <w:bCs/>
                <w:color w:val="000000" w:themeColor="text1"/>
                <w:sz w:val="18"/>
                <w:szCs w:val="18"/>
              </w:rPr>
            </w:pPr>
          </w:p>
          <w:p w14:paraId="4053A6C2" w14:textId="77777777" w:rsidR="00F043CF" w:rsidRPr="00345AA4" w:rsidRDefault="00F043CF" w:rsidP="00902BD6">
            <w:pPr>
              <w:spacing w:after="0" w:line="240" w:lineRule="auto"/>
              <w:jc w:val="center"/>
              <w:rPr>
                <w:rFonts w:ascii="Arial" w:eastAsia="Times New Roman" w:hAnsi="Arial" w:cs="Arial"/>
                <w:b/>
                <w:bCs/>
                <w:color w:val="000000" w:themeColor="text1"/>
                <w:sz w:val="18"/>
                <w:szCs w:val="18"/>
              </w:rPr>
            </w:pPr>
          </w:p>
          <w:p w14:paraId="2C644B0C" w14:textId="77777777" w:rsidR="00012F95" w:rsidRPr="00345AA4" w:rsidRDefault="00012F95" w:rsidP="00902BD6">
            <w:pPr>
              <w:spacing w:after="0" w:line="240" w:lineRule="auto"/>
              <w:jc w:val="center"/>
              <w:rPr>
                <w:rFonts w:ascii="Arial" w:eastAsia="Times New Roman" w:hAnsi="Arial" w:cs="Arial"/>
                <w:color w:val="000000" w:themeColor="text1"/>
                <w:sz w:val="18"/>
                <w:szCs w:val="18"/>
              </w:rPr>
            </w:pPr>
            <w:r w:rsidRPr="00345AA4">
              <w:rPr>
                <w:rFonts w:ascii="Arial" w:eastAsia="Times New Roman" w:hAnsi="Arial" w:cs="Arial"/>
                <w:b/>
                <w:bCs/>
                <w:color w:val="000000" w:themeColor="text1"/>
                <w:sz w:val="18"/>
                <w:szCs w:val="18"/>
              </w:rPr>
              <w:t>Account</w:t>
            </w:r>
          </w:p>
        </w:tc>
        <w:tc>
          <w:tcPr>
            <w:tcW w:w="1080" w:type="dxa"/>
            <w:vMerge w:val="restart"/>
            <w:tcBorders>
              <w:top w:val="single" w:sz="8" w:space="0" w:color="auto"/>
              <w:left w:val="nil"/>
              <w:right w:val="nil"/>
            </w:tcBorders>
            <w:vAlign w:val="center"/>
          </w:tcPr>
          <w:p w14:paraId="1E9FE44D" w14:textId="77777777" w:rsidR="00012F95" w:rsidRPr="00345AA4" w:rsidRDefault="00012F95" w:rsidP="00012F95">
            <w:pPr>
              <w:spacing w:after="0" w:line="240" w:lineRule="auto"/>
              <w:jc w:val="center"/>
              <w:rPr>
                <w:rFonts w:ascii="Arial" w:eastAsia="Times New Roman" w:hAnsi="Arial" w:cs="Arial"/>
                <w:b/>
                <w:bCs/>
                <w:color w:val="000000" w:themeColor="text1"/>
                <w:sz w:val="18"/>
                <w:szCs w:val="18"/>
              </w:rPr>
            </w:pPr>
            <w:r w:rsidRPr="00345AA4">
              <w:rPr>
                <w:rFonts w:ascii="Arial" w:eastAsia="Times New Roman" w:hAnsi="Arial" w:cs="Arial"/>
                <w:b/>
                <w:bCs/>
                <w:color w:val="000000" w:themeColor="text1"/>
                <w:sz w:val="18"/>
                <w:szCs w:val="18"/>
              </w:rPr>
              <w:t>No. of accounts</w:t>
            </w:r>
          </w:p>
        </w:tc>
        <w:tc>
          <w:tcPr>
            <w:tcW w:w="3895" w:type="dxa"/>
            <w:gridSpan w:val="3"/>
            <w:tcBorders>
              <w:top w:val="single" w:sz="8" w:space="0" w:color="auto"/>
              <w:left w:val="nil"/>
              <w:bottom w:val="single" w:sz="8" w:space="0" w:color="auto"/>
              <w:right w:val="nil"/>
            </w:tcBorders>
            <w:shd w:val="clear" w:color="auto" w:fill="auto"/>
            <w:noWrap/>
            <w:vAlign w:val="center"/>
          </w:tcPr>
          <w:p w14:paraId="770628C0" w14:textId="77777777" w:rsidR="00012F95" w:rsidRPr="00345AA4" w:rsidRDefault="00012F95" w:rsidP="00902BD6">
            <w:pPr>
              <w:spacing w:after="0" w:line="240" w:lineRule="auto"/>
              <w:jc w:val="center"/>
              <w:rPr>
                <w:rFonts w:ascii="Arial" w:eastAsia="Times New Roman" w:hAnsi="Arial" w:cs="Arial"/>
                <w:color w:val="000000" w:themeColor="text1"/>
                <w:sz w:val="18"/>
                <w:szCs w:val="18"/>
                <w:lang w:val="en-PH"/>
              </w:rPr>
            </w:pPr>
            <w:r w:rsidRPr="00345AA4">
              <w:rPr>
                <w:rFonts w:ascii="Arial" w:eastAsia="Times New Roman" w:hAnsi="Arial" w:cs="Arial"/>
                <w:b/>
                <w:bCs/>
                <w:color w:val="000000" w:themeColor="text1"/>
                <w:sz w:val="18"/>
                <w:szCs w:val="18"/>
              </w:rPr>
              <w:t>Aging of dormant receivable accounts</w:t>
            </w:r>
          </w:p>
        </w:tc>
      </w:tr>
      <w:tr w:rsidR="00345AA4" w:rsidRPr="00345AA4" w14:paraId="19C36ED5" w14:textId="77777777" w:rsidTr="00C47B53">
        <w:trPr>
          <w:trHeight w:val="205"/>
          <w:tblHeader/>
        </w:trPr>
        <w:tc>
          <w:tcPr>
            <w:tcW w:w="2805" w:type="dxa"/>
            <w:vMerge/>
            <w:tcBorders>
              <w:left w:val="nil"/>
              <w:bottom w:val="single" w:sz="8" w:space="0" w:color="auto"/>
              <w:right w:val="nil"/>
            </w:tcBorders>
            <w:shd w:val="clear" w:color="auto" w:fill="auto"/>
            <w:vAlign w:val="center"/>
          </w:tcPr>
          <w:p w14:paraId="7FD1CB3C" w14:textId="77777777" w:rsidR="00012F95" w:rsidRPr="00345AA4" w:rsidRDefault="00012F95" w:rsidP="00E359F9">
            <w:pPr>
              <w:spacing w:after="0" w:line="240" w:lineRule="auto"/>
              <w:rPr>
                <w:rFonts w:ascii="Arial" w:eastAsia="Times New Roman" w:hAnsi="Arial" w:cs="Arial"/>
                <w:color w:val="000000" w:themeColor="text1"/>
                <w:sz w:val="18"/>
                <w:szCs w:val="18"/>
              </w:rPr>
            </w:pPr>
          </w:p>
        </w:tc>
        <w:tc>
          <w:tcPr>
            <w:tcW w:w="1080" w:type="dxa"/>
            <w:vMerge/>
            <w:tcBorders>
              <w:left w:val="nil"/>
              <w:bottom w:val="single" w:sz="8" w:space="0" w:color="auto"/>
              <w:right w:val="nil"/>
            </w:tcBorders>
          </w:tcPr>
          <w:p w14:paraId="2E6EB9C7" w14:textId="77777777" w:rsidR="00012F95" w:rsidRPr="00345AA4" w:rsidRDefault="00012F95" w:rsidP="009D13A8">
            <w:pPr>
              <w:spacing w:after="0" w:line="240" w:lineRule="auto"/>
              <w:jc w:val="center"/>
              <w:rPr>
                <w:rFonts w:ascii="Arial" w:eastAsia="Times New Roman" w:hAnsi="Arial" w:cs="Arial"/>
                <w:b/>
                <w:bCs/>
                <w:color w:val="000000" w:themeColor="text1"/>
                <w:sz w:val="18"/>
                <w:szCs w:val="18"/>
              </w:rPr>
            </w:pPr>
          </w:p>
        </w:tc>
        <w:tc>
          <w:tcPr>
            <w:tcW w:w="1350" w:type="dxa"/>
            <w:tcBorders>
              <w:top w:val="single" w:sz="8" w:space="0" w:color="auto"/>
              <w:left w:val="nil"/>
              <w:bottom w:val="single" w:sz="8" w:space="0" w:color="auto"/>
              <w:right w:val="nil"/>
            </w:tcBorders>
            <w:shd w:val="clear" w:color="auto" w:fill="auto"/>
            <w:noWrap/>
            <w:vAlign w:val="center"/>
          </w:tcPr>
          <w:p w14:paraId="68D9E03B" w14:textId="77777777" w:rsidR="00012F95" w:rsidRPr="00345AA4" w:rsidRDefault="00012F95" w:rsidP="009D13A8">
            <w:pPr>
              <w:spacing w:after="0" w:line="240" w:lineRule="auto"/>
              <w:jc w:val="center"/>
              <w:rPr>
                <w:rFonts w:ascii="Arial" w:eastAsia="Times New Roman" w:hAnsi="Arial" w:cs="Arial"/>
                <w:b/>
                <w:bCs/>
                <w:color w:val="000000" w:themeColor="text1"/>
                <w:sz w:val="18"/>
                <w:szCs w:val="18"/>
                <w:lang w:val="en-PH"/>
              </w:rPr>
            </w:pPr>
            <w:r w:rsidRPr="00345AA4">
              <w:rPr>
                <w:rFonts w:ascii="Arial" w:eastAsia="Times New Roman" w:hAnsi="Arial" w:cs="Arial"/>
                <w:b/>
                <w:bCs/>
                <w:color w:val="000000" w:themeColor="text1"/>
                <w:sz w:val="18"/>
                <w:szCs w:val="18"/>
              </w:rPr>
              <w:t>11 to 15 years</w:t>
            </w:r>
          </w:p>
        </w:tc>
        <w:tc>
          <w:tcPr>
            <w:tcW w:w="1285" w:type="dxa"/>
            <w:tcBorders>
              <w:top w:val="single" w:sz="8" w:space="0" w:color="auto"/>
              <w:left w:val="nil"/>
              <w:bottom w:val="single" w:sz="8" w:space="0" w:color="auto"/>
              <w:right w:val="nil"/>
            </w:tcBorders>
            <w:shd w:val="clear" w:color="auto" w:fill="auto"/>
            <w:noWrap/>
            <w:vAlign w:val="center"/>
          </w:tcPr>
          <w:p w14:paraId="097C2894" w14:textId="77777777" w:rsidR="00012F95" w:rsidRPr="00345AA4" w:rsidRDefault="00012F95" w:rsidP="009D13A8">
            <w:pPr>
              <w:spacing w:after="0" w:line="240" w:lineRule="auto"/>
              <w:jc w:val="center"/>
              <w:rPr>
                <w:rFonts w:ascii="Arial" w:eastAsia="Times New Roman" w:hAnsi="Arial" w:cs="Arial"/>
                <w:b/>
                <w:bCs/>
                <w:color w:val="000000" w:themeColor="text1"/>
                <w:sz w:val="18"/>
                <w:szCs w:val="18"/>
                <w:lang w:val="en-PH"/>
              </w:rPr>
            </w:pPr>
            <w:r w:rsidRPr="00345AA4">
              <w:rPr>
                <w:rFonts w:ascii="Arial" w:eastAsia="Times New Roman" w:hAnsi="Arial" w:cs="Arial"/>
                <w:b/>
                <w:bCs/>
                <w:color w:val="000000" w:themeColor="text1"/>
                <w:sz w:val="18"/>
                <w:szCs w:val="18"/>
              </w:rPr>
              <w:t>16 to 20 years</w:t>
            </w:r>
          </w:p>
        </w:tc>
        <w:tc>
          <w:tcPr>
            <w:tcW w:w="1260" w:type="dxa"/>
            <w:tcBorders>
              <w:top w:val="single" w:sz="8" w:space="0" w:color="auto"/>
              <w:left w:val="nil"/>
              <w:bottom w:val="single" w:sz="8" w:space="0" w:color="auto"/>
              <w:right w:val="nil"/>
            </w:tcBorders>
            <w:shd w:val="clear" w:color="auto" w:fill="auto"/>
            <w:noWrap/>
            <w:vAlign w:val="center"/>
          </w:tcPr>
          <w:p w14:paraId="7B2D73E1" w14:textId="77777777" w:rsidR="00012F95" w:rsidRPr="00345AA4" w:rsidRDefault="00012F95" w:rsidP="009D13A8">
            <w:pPr>
              <w:spacing w:after="0" w:line="240" w:lineRule="auto"/>
              <w:jc w:val="center"/>
              <w:rPr>
                <w:rFonts w:ascii="Arial" w:eastAsia="Times New Roman" w:hAnsi="Arial" w:cs="Arial"/>
                <w:b/>
                <w:bCs/>
                <w:color w:val="000000" w:themeColor="text1"/>
                <w:sz w:val="18"/>
                <w:szCs w:val="18"/>
                <w:lang w:val="en-PH"/>
              </w:rPr>
            </w:pPr>
            <w:r w:rsidRPr="00345AA4">
              <w:rPr>
                <w:rFonts w:ascii="Arial" w:eastAsia="Times New Roman" w:hAnsi="Arial" w:cs="Arial"/>
                <w:b/>
                <w:bCs/>
                <w:color w:val="000000" w:themeColor="text1"/>
                <w:sz w:val="18"/>
                <w:szCs w:val="18"/>
              </w:rPr>
              <w:t>more than 20 years</w:t>
            </w:r>
          </w:p>
        </w:tc>
      </w:tr>
      <w:tr w:rsidR="00345AA4" w:rsidRPr="00345AA4" w14:paraId="2E6E7CFB" w14:textId="77777777" w:rsidTr="00C47B53">
        <w:trPr>
          <w:trHeight w:val="205"/>
        </w:trPr>
        <w:tc>
          <w:tcPr>
            <w:tcW w:w="2805" w:type="dxa"/>
            <w:tcBorders>
              <w:top w:val="single" w:sz="8" w:space="0" w:color="auto"/>
              <w:left w:val="nil"/>
              <w:bottom w:val="nil"/>
              <w:right w:val="nil"/>
            </w:tcBorders>
            <w:shd w:val="clear" w:color="auto" w:fill="auto"/>
            <w:vAlign w:val="center"/>
            <w:hideMark/>
          </w:tcPr>
          <w:p w14:paraId="797FB106" w14:textId="77777777" w:rsidR="00012F95" w:rsidRPr="00345AA4" w:rsidRDefault="00012F95" w:rsidP="00E359F9">
            <w:pPr>
              <w:spacing w:after="0" w:line="240" w:lineRule="auto"/>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Accounts receivable-discounted</w:t>
            </w:r>
          </w:p>
        </w:tc>
        <w:tc>
          <w:tcPr>
            <w:tcW w:w="1080" w:type="dxa"/>
            <w:tcBorders>
              <w:top w:val="single" w:sz="8" w:space="0" w:color="auto"/>
              <w:left w:val="nil"/>
              <w:bottom w:val="nil"/>
              <w:right w:val="nil"/>
            </w:tcBorders>
            <w:vAlign w:val="bottom"/>
          </w:tcPr>
          <w:p w14:paraId="32B7369B" w14:textId="77777777" w:rsidR="00012F95" w:rsidRPr="00345AA4" w:rsidRDefault="007E18D0" w:rsidP="00964281">
            <w:pPr>
              <w:spacing w:after="0" w:line="240" w:lineRule="auto"/>
              <w:jc w:val="center"/>
              <w:rPr>
                <w:rFonts w:ascii="Arial" w:eastAsia="Times New Roman" w:hAnsi="Arial" w:cs="Arial"/>
                <w:bCs/>
                <w:color w:val="000000" w:themeColor="text1"/>
                <w:sz w:val="18"/>
                <w:szCs w:val="18"/>
                <w:lang w:val="en-PH"/>
              </w:rPr>
            </w:pPr>
            <w:r w:rsidRPr="00345AA4">
              <w:rPr>
                <w:rFonts w:ascii="Arial" w:eastAsia="Times New Roman" w:hAnsi="Arial" w:cs="Arial"/>
                <w:bCs/>
                <w:color w:val="000000" w:themeColor="text1"/>
                <w:sz w:val="18"/>
                <w:szCs w:val="18"/>
                <w:lang w:val="en-PH"/>
              </w:rPr>
              <w:t>1</w:t>
            </w:r>
          </w:p>
        </w:tc>
        <w:tc>
          <w:tcPr>
            <w:tcW w:w="1350" w:type="dxa"/>
            <w:tcBorders>
              <w:top w:val="single" w:sz="8" w:space="0" w:color="auto"/>
              <w:left w:val="nil"/>
              <w:bottom w:val="nil"/>
              <w:right w:val="nil"/>
            </w:tcBorders>
            <w:shd w:val="clear" w:color="auto" w:fill="auto"/>
            <w:noWrap/>
            <w:vAlign w:val="bottom"/>
            <w:hideMark/>
          </w:tcPr>
          <w:p w14:paraId="39B6A2DD" w14:textId="42DE9BDE" w:rsidR="00012F95" w:rsidRPr="00345AA4" w:rsidRDefault="00012F95">
            <w:pPr>
              <w:spacing w:after="0" w:line="240" w:lineRule="auto"/>
              <w:jc w:val="right"/>
              <w:rPr>
                <w:rFonts w:ascii="Arial" w:eastAsia="Times New Roman" w:hAnsi="Arial" w:cs="Arial"/>
                <w:bCs/>
                <w:color w:val="000000" w:themeColor="text1"/>
                <w:sz w:val="18"/>
                <w:szCs w:val="18"/>
                <w:lang w:val="en-PH"/>
              </w:rPr>
            </w:pPr>
            <w:r w:rsidRPr="00345AA4">
              <w:rPr>
                <w:rFonts w:ascii="Arial" w:eastAsia="Times New Roman" w:hAnsi="Arial" w:cs="Arial"/>
                <w:bCs/>
                <w:color w:val="000000" w:themeColor="text1"/>
                <w:sz w:val="18"/>
                <w:szCs w:val="18"/>
                <w:lang w:val="en-PH"/>
              </w:rPr>
              <w:t xml:space="preserve">P                   </w:t>
            </w:r>
            <w:r w:rsidR="004177EE" w:rsidRPr="00345AA4">
              <w:rPr>
                <w:rFonts w:ascii="Arial" w:eastAsia="Times New Roman" w:hAnsi="Arial" w:cs="Arial"/>
                <w:bCs/>
                <w:color w:val="000000" w:themeColor="text1"/>
                <w:sz w:val="18"/>
                <w:szCs w:val="18"/>
                <w:lang w:val="en-PH"/>
              </w:rPr>
              <w:t>0</w:t>
            </w:r>
          </w:p>
        </w:tc>
        <w:tc>
          <w:tcPr>
            <w:tcW w:w="1285" w:type="dxa"/>
            <w:tcBorders>
              <w:top w:val="single" w:sz="8" w:space="0" w:color="auto"/>
              <w:left w:val="nil"/>
              <w:bottom w:val="nil"/>
              <w:right w:val="nil"/>
            </w:tcBorders>
            <w:shd w:val="clear" w:color="auto" w:fill="auto"/>
            <w:noWrap/>
            <w:vAlign w:val="bottom"/>
            <w:hideMark/>
          </w:tcPr>
          <w:p w14:paraId="2E92C7DC" w14:textId="77777777" w:rsidR="00012F95" w:rsidRPr="00345AA4" w:rsidRDefault="00012F95" w:rsidP="00964281">
            <w:pPr>
              <w:spacing w:after="0" w:line="240" w:lineRule="auto"/>
              <w:jc w:val="right"/>
              <w:rPr>
                <w:rFonts w:ascii="Arial" w:eastAsia="Times New Roman" w:hAnsi="Arial" w:cs="Arial"/>
                <w:bCs/>
                <w:color w:val="000000" w:themeColor="text1"/>
                <w:sz w:val="18"/>
                <w:szCs w:val="18"/>
                <w:lang w:val="en-PH"/>
              </w:rPr>
            </w:pPr>
            <w:r w:rsidRPr="00345AA4">
              <w:rPr>
                <w:rFonts w:ascii="Arial" w:eastAsia="Times New Roman" w:hAnsi="Arial" w:cs="Arial"/>
                <w:bCs/>
                <w:color w:val="000000" w:themeColor="text1"/>
                <w:sz w:val="18"/>
                <w:szCs w:val="18"/>
                <w:lang w:val="en-PH"/>
              </w:rPr>
              <w:t>P    1,010,081</w:t>
            </w:r>
          </w:p>
        </w:tc>
        <w:tc>
          <w:tcPr>
            <w:tcW w:w="1260" w:type="dxa"/>
            <w:tcBorders>
              <w:top w:val="single" w:sz="8" w:space="0" w:color="auto"/>
              <w:left w:val="nil"/>
              <w:bottom w:val="nil"/>
              <w:right w:val="nil"/>
            </w:tcBorders>
            <w:shd w:val="clear" w:color="auto" w:fill="auto"/>
            <w:noWrap/>
            <w:vAlign w:val="bottom"/>
            <w:hideMark/>
          </w:tcPr>
          <w:p w14:paraId="500A1904" w14:textId="469E52E3" w:rsidR="00012F95" w:rsidRPr="00345AA4" w:rsidRDefault="00012F95">
            <w:pPr>
              <w:spacing w:after="0" w:line="240" w:lineRule="auto"/>
              <w:jc w:val="right"/>
              <w:rPr>
                <w:rFonts w:ascii="Arial" w:eastAsia="Times New Roman" w:hAnsi="Arial" w:cs="Arial"/>
                <w:bCs/>
                <w:color w:val="000000" w:themeColor="text1"/>
                <w:sz w:val="18"/>
                <w:szCs w:val="18"/>
                <w:lang w:val="en-PH"/>
              </w:rPr>
            </w:pPr>
            <w:r w:rsidRPr="00345AA4">
              <w:rPr>
                <w:rFonts w:ascii="Arial" w:eastAsia="Times New Roman" w:hAnsi="Arial" w:cs="Arial"/>
                <w:bCs/>
                <w:color w:val="000000" w:themeColor="text1"/>
                <w:sz w:val="18"/>
                <w:szCs w:val="18"/>
                <w:lang w:val="en-PH"/>
              </w:rPr>
              <w:t xml:space="preserve">P                  </w:t>
            </w:r>
            <w:r w:rsidR="004177EE" w:rsidRPr="00345AA4">
              <w:rPr>
                <w:rFonts w:ascii="Arial" w:eastAsia="Times New Roman" w:hAnsi="Arial" w:cs="Arial"/>
                <w:bCs/>
                <w:color w:val="000000" w:themeColor="text1"/>
                <w:sz w:val="18"/>
                <w:szCs w:val="18"/>
                <w:lang w:val="en-PH"/>
              </w:rPr>
              <w:t>0</w:t>
            </w:r>
          </w:p>
        </w:tc>
      </w:tr>
      <w:tr w:rsidR="00345AA4" w:rsidRPr="00345AA4" w14:paraId="7ECE156D" w14:textId="77777777" w:rsidTr="00010DB6">
        <w:trPr>
          <w:trHeight w:val="180"/>
        </w:trPr>
        <w:tc>
          <w:tcPr>
            <w:tcW w:w="2805" w:type="dxa"/>
            <w:tcBorders>
              <w:top w:val="nil"/>
              <w:left w:val="nil"/>
              <w:bottom w:val="nil"/>
              <w:right w:val="nil"/>
            </w:tcBorders>
            <w:shd w:val="clear" w:color="auto" w:fill="auto"/>
            <w:noWrap/>
            <w:vAlign w:val="center"/>
            <w:hideMark/>
          </w:tcPr>
          <w:p w14:paraId="5FBD6A72" w14:textId="77777777" w:rsidR="00012F95" w:rsidRPr="00345AA4" w:rsidRDefault="00012F95" w:rsidP="00E359F9">
            <w:pPr>
              <w:spacing w:after="0" w:line="240" w:lineRule="auto"/>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Past due-commercial loans</w:t>
            </w:r>
          </w:p>
        </w:tc>
        <w:tc>
          <w:tcPr>
            <w:tcW w:w="1080" w:type="dxa"/>
            <w:tcBorders>
              <w:top w:val="nil"/>
              <w:left w:val="nil"/>
              <w:bottom w:val="nil"/>
              <w:right w:val="nil"/>
            </w:tcBorders>
            <w:vAlign w:val="bottom"/>
          </w:tcPr>
          <w:p w14:paraId="00A97946" w14:textId="77777777" w:rsidR="00012F95" w:rsidRPr="00345AA4" w:rsidRDefault="007E18D0" w:rsidP="00964281">
            <w:pPr>
              <w:spacing w:after="0" w:line="240" w:lineRule="auto"/>
              <w:jc w:val="center"/>
              <w:rPr>
                <w:rFonts w:ascii="Arial" w:eastAsia="Times New Roman" w:hAnsi="Arial" w:cs="Arial"/>
                <w:bCs/>
                <w:color w:val="000000" w:themeColor="text1"/>
                <w:sz w:val="18"/>
                <w:szCs w:val="18"/>
                <w:lang w:val="en-PH"/>
              </w:rPr>
            </w:pPr>
            <w:r w:rsidRPr="00345AA4">
              <w:rPr>
                <w:rFonts w:ascii="Arial" w:eastAsia="Times New Roman" w:hAnsi="Arial" w:cs="Arial"/>
                <w:bCs/>
                <w:color w:val="000000" w:themeColor="text1"/>
                <w:sz w:val="18"/>
                <w:szCs w:val="18"/>
                <w:lang w:val="en-PH"/>
              </w:rPr>
              <w:t>5</w:t>
            </w:r>
          </w:p>
        </w:tc>
        <w:tc>
          <w:tcPr>
            <w:tcW w:w="1350" w:type="dxa"/>
            <w:tcBorders>
              <w:top w:val="nil"/>
              <w:left w:val="nil"/>
              <w:bottom w:val="nil"/>
              <w:right w:val="nil"/>
            </w:tcBorders>
            <w:shd w:val="clear" w:color="auto" w:fill="auto"/>
            <w:noWrap/>
            <w:vAlign w:val="bottom"/>
            <w:hideMark/>
          </w:tcPr>
          <w:p w14:paraId="009E2E74" w14:textId="77777777" w:rsidR="00012F95" w:rsidRPr="00345AA4" w:rsidRDefault="00012F95" w:rsidP="00964281">
            <w:pPr>
              <w:spacing w:after="0" w:line="240" w:lineRule="auto"/>
              <w:jc w:val="right"/>
              <w:rPr>
                <w:rFonts w:ascii="Arial" w:eastAsia="Times New Roman" w:hAnsi="Arial" w:cs="Arial"/>
                <w:bCs/>
                <w:color w:val="000000" w:themeColor="text1"/>
                <w:sz w:val="18"/>
                <w:szCs w:val="18"/>
                <w:lang w:val="en-PH"/>
              </w:rPr>
            </w:pPr>
            <w:r w:rsidRPr="00345AA4">
              <w:rPr>
                <w:rFonts w:ascii="Arial" w:eastAsia="Times New Roman" w:hAnsi="Arial" w:cs="Arial"/>
                <w:bCs/>
                <w:color w:val="000000" w:themeColor="text1"/>
                <w:sz w:val="18"/>
                <w:szCs w:val="18"/>
                <w:lang w:val="en-PH"/>
              </w:rPr>
              <w:t>6,118,064</w:t>
            </w:r>
          </w:p>
        </w:tc>
        <w:tc>
          <w:tcPr>
            <w:tcW w:w="1285" w:type="dxa"/>
            <w:tcBorders>
              <w:top w:val="nil"/>
              <w:left w:val="nil"/>
              <w:bottom w:val="nil"/>
              <w:right w:val="nil"/>
            </w:tcBorders>
            <w:shd w:val="clear" w:color="auto" w:fill="auto"/>
            <w:noWrap/>
            <w:vAlign w:val="bottom"/>
            <w:hideMark/>
          </w:tcPr>
          <w:p w14:paraId="4F68B836" w14:textId="3AED8F46" w:rsidR="00012F95" w:rsidRPr="00345AA4" w:rsidRDefault="004177EE" w:rsidP="00964281">
            <w:pPr>
              <w:spacing w:after="0" w:line="240" w:lineRule="auto"/>
              <w:jc w:val="right"/>
              <w:rPr>
                <w:rFonts w:ascii="Arial" w:eastAsia="Times New Roman" w:hAnsi="Arial" w:cs="Arial"/>
                <w:bCs/>
                <w:color w:val="000000" w:themeColor="text1"/>
                <w:sz w:val="18"/>
                <w:szCs w:val="18"/>
                <w:lang w:val="en-PH"/>
              </w:rPr>
            </w:pPr>
            <w:r w:rsidRPr="00345AA4">
              <w:rPr>
                <w:rFonts w:ascii="Arial" w:eastAsia="Times New Roman" w:hAnsi="Arial" w:cs="Arial"/>
                <w:bCs/>
                <w:color w:val="000000" w:themeColor="text1"/>
                <w:sz w:val="18"/>
                <w:szCs w:val="18"/>
                <w:lang w:val="en-PH"/>
              </w:rPr>
              <w:t>0</w:t>
            </w:r>
          </w:p>
        </w:tc>
        <w:tc>
          <w:tcPr>
            <w:tcW w:w="1260" w:type="dxa"/>
            <w:tcBorders>
              <w:top w:val="nil"/>
              <w:left w:val="nil"/>
              <w:bottom w:val="nil"/>
              <w:right w:val="nil"/>
            </w:tcBorders>
            <w:shd w:val="clear" w:color="auto" w:fill="auto"/>
            <w:noWrap/>
            <w:vAlign w:val="bottom"/>
            <w:hideMark/>
          </w:tcPr>
          <w:p w14:paraId="7F6FCB10" w14:textId="77777777" w:rsidR="00012F95" w:rsidRPr="00345AA4" w:rsidRDefault="00012F95" w:rsidP="00964281">
            <w:pPr>
              <w:spacing w:after="0" w:line="240" w:lineRule="auto"/>
              <w:jc w:val="right"/>
              <w:rPr>
                <w:rFonts w:ascii="Arial" w:eastAsia="Times New Roman" w:hAnsi="Arial" w:cs="Arial"/>
                <w:bCs/>
                <w:color w:val="000000" w:themeColor="text1"/>
                <w:sz w:val="18"/>
                <w:szCs w:val="18"/>
                <w:lang w:val="en-PH"/>
              </w:rPr>
            </w:pPr>
            <w:r w:rsidRPr="00345AA4">
              <w:rPr>
                <w:rFonts w:ascii="Arial" w:eastAsia="Times New Roman" w:hAnsi="Arial" w:cs="Arial"/>
                <w:bCs/>
                <w:color w:val="000000" w:themeColor="text1"/>
                <w:sz w:val="18"/>
                <w:szCs w:val="18"/>
                <w:lang w:val="en-PH"/>
              </w:rPr>
              <w:t>109,824,865</w:t>
            </w:r>
          </w:p>
        </w:tc>
      </w:tr>
      <w:tr w:rsidR="00345AA4" w:rsidRPr="00345AA4" w14:paraId="4546DFC9" w14:textId="77777777" w:rsidTr="00010DB6">
        <w:trPr>
          <w:trHeight w:val="243"/>
        </w:trPr>
        <w:tc>
          <w:tcPr>
            <w:tcW w:w="2805" w:type="dxa"/>
            <w:tcBorders>
              <w:top w:val="nil"/>
              <w:left w:val="nil"/>
              <w:bottom w:val="nil"/>
              <w:right w:val="nil"/>
            </w:tcBorders>
            <w:shd w:val="clear" w:color="auto" w:fill="auto"/>
            <w:noWrap/>
            <w:vAlign w:val="center"/>
            <w:hideMark/>
          </w:tcPr>
          <w:p w14:paraId="4318F71A" w14:textId="77777777" w:rsidR="00012F95" w:rsidRPr="00345AA4" w:rsidRDefault="00012F95" w:rsidP="00E359F9">
            <w:pPr>
              <w:spacing w:after="0" w:line="240" w:lineRule="auto"/>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Past due-small business loans</w:t>
            </w:r>
          </w:p>
        </w:tc>
        <w:tc>
          <w:tcPr>
            <w:tcW w:w="1080" w:type="dxa"/>
            <w:tcBorders>
              <w:top w:val="nil"/>
              <w:left w:val="nil"/>
              <w:bottom w:val="nil"/>
              <w:right w:val="nil"/>
            </w:tcBorders>
            <w:vAlign w:val="bottom"/>
          </w:tcPr>
          <w:p w14:paraId="2FCC67B4" w14:textId="77777777" w:rsidR="00012F95" w:rsidRPr="00345AA4" w:rsidRDefault="007E18D0" w:rsidP="00964281">
            <w:pPr>
              <w:spacing w:after="0" w:line="240" w:lineRule="auto"/>
              <w:jc w:val="center"/>
              <w:rPr>
                <w:rFonts w:ascii="Arial" w:eastAsia="Times New Roman" w:hAnsi="Arial" w:cs="Arial"/>
                <w:color w:val="000000" w:themeColor="text1"/>
                <w:sz w:val="18"/>
                <w:szCs w:val="18"/>
              </w:rPr>
            </w:pPr>
            <w:r w:rsidRPr="00345AA4">
              <w:rPr>
                <w:rFonts w:ascii="Arial" w:eastAsia="Times New Roman" w:hAnsi="Arial" w:cs="Arial"/>
                <w:color w:val="000000" w:themeColor="text1"/>
                <w:sz w:val="18"/>
                <w:szCs w:val="18"/>
              </w:rPr>
              <w:t>6</w:t>
            </w:r>
          </w:p>
        </w:tc>
        <w:tc>
          <w:tcPr>
            <w:tcW w:w="1350" w:type="dxa"/>
            <w:tcBorders>
              <w:top w:val="nil"/>
              <w:left w:val="nil"/>
              <w:bottom w:val="nil"/>
              <w:right w:val="nil"/>
            </w:tcBorders>
            <w:shd w:val="clear" w:color="auto" w:fill="auto"/>
            <w:noWrap/>
            <w:vAlign w:val="bottom"/>
            <w:hideMark/>
          </w:tcPr>
          <w:p w14:paraId="4FB33443" w14:textId="77777777" w:rsidR="00012F95" w:rsidRPr="00345AA4" w:rsidRDefault="00012F95" w:rsidP="00964281">
            <w:pPr>
              <w:spacing w:after="0" w:line="240" w:lineRule="auto"/>
              <w:jc w:val="right"/>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714,233</w:t>
            </w:r>
          </w:p>
        </w:tc>
        <w:tc>
          <w:tcPr>
            <w:tcW w:w="1285" w:type="dxa"/>
            <w:tcBorders>
              <w:top w:val="nil"/>
              <w:left w:val="nil"/>
              <w:bottom w:val="nil"/>
              <w:right w:val="nil"/>
            </w:tcBorders>
            <w:shd w:val="clear" w:color="auto" w:fill="auto"/>
            <w:noWrap/>
            <w:vAlign w:val="bottom"/>
            <w:hideMark/>
          </w:tcPr>
          <w:p w14:paraId="28E8E04F" w14:textId="77777777" w:rsidR="00012F95" w:rsidRPr="00345AA4" w:rsidRDefault="00012F95" w:rsidP="00964281">
            <w:pPr>
              <w:spacing w:after="0" w:line="240" w:lineRule="auto"/>
              <w:jc w:val="right"/>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195,532</w:t>
            </w:r>
          </w:p>
        </w:tc>
        <w:tc>
          <w:tcPr>
            <w:tcW w:w="1260" w:type="dxa"/>
            <w:tcBorders>
              <w:top w:val="nil"/>
              <w:left w:val="nil"/>
              <w:bottom w:val="nil"/>
              <w:right w:val="nil"/>
            </w:tcBorders>
            <w:shd w:val="clear" w:color="auto" w:fill="auto"/>
            <w:noWrap/>
            <w:vAlign w:val="bottom"/>
            <w:hideMark/>
          </w:tcPr>
          <w:p w14:paraId="08F1F4BE" w14:textId="77777777" w:rsidR="00012F95" w:rsidRPr="00345AA4" w:rsidRDefault="00012F95" w:rsidP="00964281">
            <w:pPr>
              <w:spacing w:after="0" w:line="240" w:lineRule="auto"/>
              <w:jc w:val="right"/>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2,698,162</w:t>
            </w:r>
          </w:p>
        </w:tc>
      </w:tr>
      <w:tr w:rsidR="00345AA4" w:rsidRPr="00345AA4" w14:paraId="60316420" w14:textId="77777777" w:rsidTr="00010DB6">
        <w:trPr>
          <w:trHeight w:val="270"/>
        </w:trPr>
        <w:tc>
          <w:tcPr>
            <w:tcW w:w="2805" w:type="dxa"/>
            <w:tcBorders>
              <w:top w:val="nil"/>
              <w:left w:val="nil"/>
              <w:bottom w:val="nil"/>
              <w:right w:val="nil"/>
            </w:tcBorders>
            <w:shd w:val="clear" w:color="auto" w:fill="auto"/>
            <w:noWrap/>
            <w:vAlign w:val="center"/>
            <w:hideMark/>
          </w:tcPr>
          <w:p w14:paraId="4B03F5CA" w14:textId="77777777" w:rsidR="00012F95" w:rsidRPr="00345AA4" w:rsidRDefault="00012F95" w:rsidP="00E359F9">
            <w:pPr>
              <w:spacing w:after="0" w:line="240" w:lineRule="auto"/>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Accounts under litigation</w:t>
            </w:r>
          </w:p>
        </w:tc>
        <w:tc>
          <w:tcPr>
            <w:tcW w:w="1080" w:type="dxa"/>
            <w:tcBorders>
              <w:top w:val="nil"/>
              <w:left w:val="nil"/>
              <w:bottom w:val="nil"/>
              <w:right w:val="nil"/>
            </w:tcBorders>
            <w:vAlign w:val="bottom"/>
          </w:tcPr>
          <w:p w14:paraId="71F92311" w14:textId="77777777" w:rsidR="00012F95" w:rsidRPr="00345AA4" w:rsidRDefault="007E18D0" w:rsidP="00964281">
            <w:pPr>
              <w:spacing w:after="0" w:line="240" w:lineRule="auto"/>
              <w:jc w:val="center"/>
              <w:rPr>
                <w:rFonts w:ascii="Arial" w:eastAsia="Times New Roman" w:hAnsi="Arial" w:cs="Arial"/>
                <w:color w:val="000000" w:themeColor="text1"/>
                <w:sz w:val="18"/>
                <w:szCs w:val="18"/>
              </w:rPr>
            </w:pPr>
            <w:r w:rsidRPr="00345AA4">
              <w:rPr>
                <w:rFonts w:ascii="Arial" w:eastAsia="Times New Roman" w:hAnsi="Arial" w:cs="Arial"/>
                <w:color w:val="000000" w:themeColor="text1"/>
                <w:sz w:val="18"/>
                <w:szCs w:val="18"/>
              </w:rPr>
              <w:t>8</w:t>
            </w:r>
          </w:p>
        </w:tc>
        <w:tc>
          <w:tcPr>
            <w:tcW w:w="1350" w:type="dxa"/>
            <w:tcBorders>
              <w:top w:val="nil"/>
              <w:left w:val="nil"/>
              <w:bottom w:val="nil"/>
              <w:right w:val="nil"/>
            </w:tcBorders>
            <w:shd w:val="clear" w:color="auto" w:fill="auto"/>
            <w:noWrap/>
            <w:vAlign w:val="bottom"/>
            <w:hideMark/>
          </w:tcPr>
          <w:p w14:paraId="7DC33776" w14:textId="77777777" w:rsidR="00012F95" w:rsidRPr="00345AA4" w:rsidRDefault="00012F95" w:rsidP="00964281">
            <w:pPr>
              <w:spacing w:after="0" w:line="240" w:lineRule="auto"/>
              <w:jc w:val="right"/>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732,293,828</w:t>
            </w:r>
          </w:p>
        </w:tc>
        <w:tc>
          <w:tcPr>
            <w:tcW w:w="1285" w:type="dxa"/>
            <w:tcBorders>
              <w:top w:val="nil"/>
              <w:left w:val="nil"/>
              <w:bottom w:val="nil"/>
              <w:right w:val="nil"/>
            </w:tcBorders>
            <w:shd w:val="clear" w:color="auto" w:fill="auto"/>
            <w:noWrap/>
            <w:vAlign w:val="bottom"/>
            <w:hideMark/>
          </w:tcPr>
          <w:p w14:paraId="4533A679" w14:textId="36F04756" w:rsidR="00012F95" w:rsidRPr="00345AA4" w:rsidRDefault="004177EE" w:rsidP="00964281">
            <w:pPr>
              <w:spacing w:after="0" w:line="240" w:lineRule="auto"/>
              <w:jc w:val="right"/>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0</w:t>
            </w:r>
          </w:p>
        </w:tc>
        <w:tc>
          <w:tcPr>
            <w:tcW w:w="1260" w:type="dxa"/>
            <w:tcBorders>
              <w:top w:val="nil"/>
              <w:left w:val="nil"/>
              <w:bottom w:val="nil"/>
              <w:right w:val="nil"/>
            </w:tcBorders>
            <w:shd w:val="clear" w:color="auto" w:fill="auto"/>
            <w:noWrap/>
            <w:vAlign w:val="bottom"/>
            <w:hideMark/>
          </w:tcPr>
          <w:p w14:paraId="69864C7E" w14:textId="77777777" w:rsidR="00012F95" w:rsidRPr="00345AA4" w:rsidRDefault="00012F95" w:rsidP="00964281">
            <w:pPr>
              <w:spacing w:after="0" w:line="240" w:lineRule="auto"/>
              <w:jc w:val="right"/>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43,998,603</w:t>
            </w:r>
          </w:p>
        </w:tc>
      </w:tr>
      <w:tr w:rsidR="00345AA4" w:rsidRPr="00345AA4" w14:paraId="12F4401E" w14:textId="77777777" w:rsidTr="00010DB6">
        <w:trPr>
          <w:trHeight w:val="270"/>
        </w:trPr>
        <w:tc>
          <w:tcPr>
            <w:tcW w:w="2805" w:type="dxa"/>
            <w:tcBorders>
              <w:top w:val="nil"/>
              <w:left w:val="nil"/>
              <w:bottom w:val="nil"/>
              <w:right w:val="nil"/>
            </w:tcBorders>
            <w:shd w:val="clear" w:color="auto" w:fill="auto"/>
            <w:noWrap/>
            <w:vAlign w:val="center"/>
            <w:hideMark/>
          </w:tcPr>
          <w:p w14:paraId="61DAFE1C" w14:textId="77777777" w:rsidR="00012F95" w:rsidRPr="00345AA4" w:rsidRDefault="00012F95" w:rsidP="00E359F9">
            <w:pPr>
              <w:spacing w:after="0" w:line="240" w:lineRule="auto"/>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Accounts receivable-others</w:t>
            </w:r>
          </w:p>
        </w:tc>
        <w:tc>
          <w:tcPr>
            <w:tcW w:w="1080" w:type="dxa"/>
            <w:tcBorders>
              <w:top w:val="nil"/>
              <w:left w:val="nil"/>
              <w:bottom w:val="nil"/>
              <w:right w:val="nil"/>
            </w:tcBorders>
            <w:vAlign w:val="bottom"/>
          </w:tcPr>
          <w:p w14:paraId="295353E3" w14:textId="77777777" w:rsidR="00012F95" w:rsidRPr="00345AA4" w:rsidRDefault="007E18D0" w:rsidP="00964281">
            <w:pPr>
              <w:spacing w:after="0" w:line="240" w:lineRule="auto"/>
              <w:jc w:val="center"/>
              <w:rPr>
                <w:rFonts w:ascii="Arial" w:eastAsia="Times New Roman" w:hAnsi="Arial" w:cs="Arial"/>
                <w:color w:val="000000" w:themeColor="text1"/>
                <w:sz w:val="18"/>
                <w:szCs w:val="18"/>
              </w:rPr>
            </w:pPr>
            <w:r w:rsidRPr="00345AA4">
              <w:rPr>
                <w:rFonts w:ascii="Arial" w:eastAsia="Times New Roman" w:hAnsi="Arial" w:cs="Arial"/>
                <w:color w:val="000000" w:themeColor="text1"/>
                <w:sz w:val="18"/>
                <w:szCs w:val="18"/>
              </w:rPr>
              <w:t>8</w:t>
            </w:r>
          </w:p>
        </w:tc>
        <w:tc>
          <w:tcPr>
            <w:tcW w:w="1350" w:type="dxa"/>
            <w:tcBorders>
              <w:top w:val="nil"/>
              <w:left w:val="nil"/>
              <w:bottom w:val="nil"/>
              <w:right w:val="nil"/>
            </w:tcBorders>
            <w:shd w:val="clear" w:color="auto" w:fill="auto"/>
            <w:noWrap/>
            <w:vAlign w:val="bottom"/>
            <w:hideMark/>
          </w:tcPr>
          <w:p w14:paraId="7CC5EB86" w14:textId="77777777" w:rsidR="00012F95" w:rsidRPr="00345AA4" w:rsidRDefault="00012F95" w:rsidP="00964281">
            <w:pPr>
              <w:spacing w:after="0" w:line="240" w:lineRule="auto"/>
              <w:jc w:val="right"/>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5,758,005</w:t>
            </w:r>
          </w:p>
        </w:tc>
        <w:tc>
          <w:tcPr>
            <w:tcW w:w="1285" w:type="dxa"/>
            <w:tcBorders>
              <w:top w:val="nil"/>
              <w:left w:val="nil"/>
              <w:bottom w:val="nil"/>
              <w:right w:val="nil"/>
            </w:tcBorders>
            <w:shd w:val="clear" w:color="auto" w:fill="auto"/>
            <w:noWrap/>
            <w:vAlign w:val="bottom"/>
            <w:hideMark/>
          </w:tcPr>
          <w:p w14:paraId="4FE97F7F" w14:textId="77777777" w:rsidR="00012F95" w:rsidRPr="00345AA4" w:rsidRDefault="00012F95" w:rsidP="00964281">
            <w:pPr>
              <w:spacing w:after="0" w:line="240" w:lineRule="auto"/>
              <w:jc w:val="right"/>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2,407,644</w:t>
            </w:r>
          </w:p>
        </w:tc>
        <w:tc>
          <w:tcPr>
            <w:tcW w:w="1260" w:type="dxa"/>
            <w:tcBorders>
              <w:top w:val="nil"/>
              <w:left w:val="nil"/>
              <w:bottom w:val="nil"/>
              <w:right w:val="nil"/>
            </w:tcBorders>
            <w:shd w:val="clear" w:color="auto" w:fill="auto"/>
            <w:noWrap/>
            <w:vAlign w:val="bottom"/>
            <w:hideMark/>
          </w:tcPr>
          <w:p w14:paraId="4BCD02E1" w14:textId="75396BFA" w:rsidR="00012F95" w:rsidRPr="00345AA4" w:rsidRDefault="004177EE" w:rsidP="00964281">
            <w:pPr>
              <w:spacing w:after="0" w:line="240" w:lineRule="auto"/>
              <w:jc w:val="right"/>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lang w:val="en-PH"/>
              </w:rPr>
              <w:t>0</w:t>
            </w:r>
          </w:p>
        </w:tc>
      </w:tr>
      <w:tr w:rsidR="00345AA4" w:rsidRPr="00345AA4" w14:paraId="15DA3BF6" w14:textId="77777777" w:rsidTr="00010DB6">
        <w:trPr>
          <w:trHeight w:val="270"/>
        </w:trPr>
        <w:tc>
          <w:tcPr>
            <w:tcW w:w="2805" w:type="dxa"/>
            <w:tcBorders>
              <w:top w:val="nil"/>
              <w:left w:val="nil"/>
              <w:bottom w:val="nil"/>
              <w:right w:val="nil"/>
            </w:tcBorders>
            <w:shd w:val="clear" w:color="auto" w:fill="auto"/>
            <w:noWrap/>
            <w:vAlign w:val="center"/>
            <w:hideMark/>
          </w:tcPr>
          <w:p w14:paraId="3F4C723A" w14:textId="77777777" w:rsidR="00012F95" w:rsidRPr="00345AA4" w:rsidRDefault="00012F95" w:rsidP="00E359F9">
            <w:pPr>
              <w:spacing w:after="0" w:line="240" w:lineRule="auto"/>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Accounts receivable-others beg</w:t>
            </w:r>
          </w:p>
        </w:tc>
        <w:tc>
          <w:tcPr>
            <w:tcW w:w="1080" w:type="dxa"/>
            <w:tcBorders>
              <w:top w:val="nil"/>
              <w:left w:val="nil"/>
              <w:bottom w:val="nil"/>
              <w:right w:val="nil"/>
            </w:tcBorders>
            <w:vAlign w:val="bottom"/>
          </w:tcPr>
          <w:p w14:paraId="72C6DECD" w14:textId="77777777" w:rsidR="00012F95" w:rsidRPr="00345AA4" w:rsidRDefault="007E18D0" w:rsidP="00964281">
            <w:pPr>
              <w:spacing w:after="0" w:line="240" w:lineRule="auto"/>
              <w:jc w:val="center"/>
              <w:rPr>
                <w:rFonts w:ascii="Arial" w:eastAsia="Times New Roman" w:hAnsi="Arial" w:cs="Arial"/>
                <w:color w:val="000000" w:themeColor="text1"/>
                <w:sz w:val="18"/>
                <w:szCs w:val="18"/>
              </w:rPr>
            </w:pPr>
            <w:r w:rsidRPr="00345AA4">
              <w:rPr>
                <w:rFonts w:ascii="Arial" w:eastAsia="Times New Roman" w:hAnsi="Arial" w:cs="Arial"/>
                <w:color w:val="000000" w:themeColor="text1"/>
                <w:sz w:val="18"/>
                <w:szCs w:val="18"/>
              </w:rPr>
              <w:t>8</w:t>
            </w:r>
          </w:p>
        </w:tc>
        <w:tc>
          <w:tcPr>
            <w:tcW w:w="1350" w:type="dxa"/>
            <w:tcBorders>
              <w:top w:val="nil"/>
              <w:left w:val="nil"/>
              <w:bottom w:val="nil"/>
              <w:right w:val="nil"/>
            </w:tcBorders>
            <w:shd w:val="clear" w:color="auto" w:fill="auto"/>
            <w:noWrap/>
            <w:vAlign w:val="bottom"/>
            <w:hideMark/>
          </w:tcPr>
          <w:p w14:paraId="525E6677" w14:textId="1226AFD4" w:rsidR="00012F95" w:rsidRPr="00345AA4" w:rsidRDefault="004177EE" w:rsidP="00964281">
            <w:pPr>
              <w:spacing w:after="0" w:line="240" w:lineRule="auto"/>
              <w:jc w:val="right"/>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0</w:t>
            </w:r>
          </w:p>
        </w:tc>
        <w:tc>
          <w:tcPr>
            <w:tcW w:w="1285" w:type="dxa"/>
            <w:tcBorders>
              <w:top w:val="nil"/>
              <w:left w:val="nil"/>
              <w:bottom w:val="nil"/>
              <w:right w:val="nil"/>
            </w:tcBorders>
            <w:shd w:val="clear" w:color="auto" w:fill="auto"/>
            <w:noWrap/>
            <w:vAlign w:val="bottom"/>
            <w:hideMark/>
          </w:tcPr>
          <w:p w14:paraId="0A8DD726" w14:textId="77777777" w:rsidR="00012F95" w:rsidRPr="00345AA4" w:rsidRDefault="00012F95" w:rsidP="00964281">
            <w:pPr>
              <w:spacing w:after="0" w:line="240" w:lineRule="auto"/>
              <w:jc w:val="right"/>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4,119,139</w:t>
            </w:r>
          </w:p>
        </w:tc>
        <w:tc>
          <w:tcPr>
            <w:tcW w:w="1260" w:type="dxa"/>
            <w:tcBorders>
              <w:top w:val="nil"/>
              <w:left w:val="nil"/>
              <w:bottom w:val="nil"/>
              <w:right w:val="nil"/>
            </w:tcBorders>
            <w:shd w:val="clear" w:color="auto" w:fill="auto"/>
            <w:noWrap/>
            <w:vAlign w:val="bottom"/>
            <w:hideMark/>
          </w:tcPr>
          <w:p w14:paraId="7E838034" w14:textId="71340F3C" w:rsidR="00012F95" w:rsidRPr="00345AA4" w:rsidRDefault="004177EE" w:rsidP="00964281">
            <w:pPr>
              <w:spacing w:after="0" w:line="240" w:lineRule="auto"/>
              <w:jc w:val="right"/>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0</w:t>
            </w:r>
          </w:p>
        </w:tc>
      </w:tr>
      <w:tr w:rsidR="00345AA4" w:rsidRPr="00345AA4" w14:paraId="78A6814B" w14:textId="77777777" w:rsidTr="00010DB6">
        <w:trPr>
          <w:trHeight w:val="270"/>
        </w:trPr>
        <w:tc>
          <w:tcPr>
            <w:tcW w:w="2805" w:type="dxa"/>
            <w:tcBorders>
              <w:top w:val="nil"/>
              <w:left w:val="nil"/>
              <w:bottom w:val="nil"/>
              <w:right w:val="nil"/>
            </w:tcBorders>
            <w:shd w:val="clear" w:color="auto" w:fill="auto"/>
            <w:noWrap/>
            <w:vAlign w:val="center"/>
            <w:hideMark/>
          </w:tcPr>
          <w:p w14:paraId="703B0396" w14:textId="77777777" w:rsidR="00012F95" w:rsidRPr="00345AA4" w:rsidRDefault="00012F95" w:rsidP="00E359F9">
            <w:pPr>
              <w:spacing w:after="0" w:line="240" w:lineRule="auto"/>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Accounts receivable-non-trade</w:t>
            </w:r>
          </w:p>
        </w:tc>
        <w:tc>
          <w:tcPr>
            <w:tcW w:w="1080" w:type="dxa"/>
            <w:tcBorders>
              <w:top w:val="nil"/>
              <w:left w:val="nil"/>
              <w:bottom w:val="nil"/>
              <w:right w:val="nil"/>
            </w:tcBorders>
            <w:vAlign w:val="bottom"/>
          </w:tcPr>
          <w:p w14:paraId="23058CAD" w14:textId="77777777" w:rsidR="00012F95" w:rsidRPr="00345AA4" w:rsidRDefault="007E18D0" w:rsidP="00964281">
            <w:pPr>
              <w:spacing w:after="0" w:line="240" w:lineRule="auto"/>
              <w:jc w:val="center"/>
              <w:rPr>
                <w:rFonts w:ascii="Arial" w:eastAsia="Times New Roman" w:hAnsi="Arial" w:cs="Arial"/>
                <w:color w:val="000000" w:themeColor="text1"/>
                <w:sz w:val="18"/>
                <w:szCs w:val="18"/>
              </w:rPr>
            </w:pPr>
            <w:r w:rsidRPr="00345AA4">
              <w:rPr>
                <w:rFonts w:ascii="Arial" w:eastAsia="Times New Roman" w:hAnsi="Arial" w:cs="Arial"/>
                <w:color w:val="000000" w:themeColor="text1"/>
                <w:sz w:val="18"/>
                <w:szCs w:val="18"/>
              </w:rPr>
              <w:t>10</w:t>
            </w:r>
          </w:p>
        </w:tc>
        <w:tc>
          <w:tcPr>
            <w:tcW w:w="1350" w:type="dxa"/>
            <w:tcBorders>
              <w:top w:val="nil"/>
              <w:left w:val="nil"/>
              <w:bottom w:val="nil"/>
              <w:right w:val="nil"/>
            </w:tcBorders>
            <w:shd w:val="clear" w:color="auto" w:fill="auto"/>
            <w:noWrap/>
            <w:vAlign w:val="bottom"/>
            <w:hideMark/>
          </w:tcPr>
          <w:p w14:paraId="26F29401" w14:textId="77777777" w:rsidR="00012F95" w:rsidRPr="00345AA4" w:rsidRDefault="00012F95" w:rsidP="00964281">
            <w:pPr>
              <w:spacing w:after="0" w:line="240" w:lineRule="auto"/>
              <w:jc w:val="right"/>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3,603,379</w:t>
            </w:r>
          </w:p>
        </w:tc>
        <w:tc>
          <w:tcPr>
            <w:tcW w:w="1285" w:type="dxa"/>
            <w:tcBorders>
              <w:top w:val="nil"/>
              <w:left w:val="nil"/>
              <w:bottom w:val="nil"/>
              <w:right w:val="nil"/>
            </w:tcBorders>
            <w:shd w:val="clear" w:color="auto" w:fill="auto"/>
            <w:noWrap/>
            <w:vAlign w:val="bottom"/>
            <w:hideMark/>
          </w:tcPr>
          <w:p w14:paraId="4324A4F5" w14:textId="77777777" w:rsidR="00012F95" w:rsidRPr="00345AA4" w:rsidRDefault="00012F95" w:rsidP="00964281">
            <w:pPr>
              <w:spacing w:after="0" w:line="240" w:lineRule="auto"/>
              <w:jc w:val="right"/>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2,266,709</w:t>
            </w:r>
          </w:p>
        </w:tc>
        <w:tc>
          <w:tcPr>
            <w:tcW w:w="1260" w:type="dxa"/>
            <w:tcBorders>
              <w:top w:val="nil"/>
              <w:left w:val="nil"/>
              <w:bottom w:val="nil"/>
              <w:right w:val="nil"/>
            </w:tcBorders>
            <w:shd w:val="clear" w:color="auto" w:fill="auto"/>
            <w:noWrap/>
            <w:vAlign w:val="bottom"/>
            <w:hideMark/>
          </w:tcPr>
          <w:p w14:paraId="6FD9267D" w14:textId="77777777" w:rsidR="00012F95" w:rsidRPr="00345AA4" w:rsidRDefault="00012F95" w:rsidP="00964281">
            <w:pPr>
              <w:spacing w:after="0" w:line="240" w:lineRule="auto"/>
              <w:jc w:val="right"/>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16,822,313</w:t>
            </w:r>
          </w:p>
        </w:tc>
      </w:tr>
      <w:tr w:rsidR="00345AA4" w:rsidRPr="00345AA4" w14:paraId="63A56295" w14:textId="77777777" w:rsidTr="00010DB6">
        <w:trPr>
          <w:trHeight w:val="270"/>
        </w:trPr>
        <w:tc>
          <w:tcPr>
            <w:tcW w:w="2805" w:type="dxa"/>
            <w:tcBorders>
              <w:top w:val="nil"/>
              <w:left w:val="nil"/>
              <w:bottom w:val="nil"/>
              <w:right w:val="nil"/>
            </w:tcBorders>
            <w:shd w:val="clear" w:color="auto" w:fill="auto"/>
            <w:noWrap/>
            <w:vAlign w:val="center"/>
            <w:hideMark/>
          </w:tcPr>
          <w:p w14:paraId="26BB0C10" w14:textId="77777777" w:rsidR="00012F95" w:rsidRPr="00345AA4" w:rsidRDefault="00012F95" w:rsidP="00012F95">
            <w:pPr>
              <w:spacing w:after="0" w:line="240" w:lineRule="auto"/>
              <w:ind w:left="177" w:hanging="180"/>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Accounts receivable-trade                   financing</w:t>
            </w:r>
          </w:p>
        </w:tc>
        <w:tc>
          <w:tcPr>
            <w:tcW w:w="1080" w:type="dxa"/>
            <w:tcBorders>
              <w:top w:val="nil"/>
              <w:left w:val="nil"/>
              <w:bottom w:val="nil"/>
              <w:right w:val="nil"/>
            </w:tcBorders>
            <w:vAlign w:val="bottom"/>
          </w:tcPr>
          <w:p w14:paraId="70CA985A" w14:textId="77777777" w:rsidR="00012F95" w:rsidRPr="00345AA4" w:rsidRDefault="007E18D0" w:rsidP="00964281">
            <w:pPr>
              <w:spacing w:after="0" w:line="240" w:lineRule="auto"/>
              <w:jc w:val="center"/>
              <w:rPr>
                <w:rFonts w:ascii="Arial" w:eastAsia="Times New Roman" w:hAnsi="Arial" w:cs="Arial"/>
                <w:color w:val="000000" w:themeColor="text1"/>
                <w:sz w:val="18"/>
                <w:szCs w:val="18"/>
              </w:rPr>
            </w:pPr>
            <w:r w:rsidRPr="00345AA4">
              <w:rPr>
                <w:rFonts w:ascii="Arial" w:eastAsia="Times New Roman" w:hAnsi="Arial" w:cs="Arial"/>
                <w:color w:val="000000" w:themeColor="text1"/>
                <w:sz w:val="18"/>
                <w:szCs w:val="18"/>
              </w:rPr>
              <w:t>8</w:t>
            </w:r>
          </w:p>
        </w:tc>
        <w:tc>
          <w:tcPr>
            <w:tcW w:w="1350" w:type="dxa"/>
            <w:tcBorders>
              <w:top w:val="nil"/>
              <w:left w:val="nil"/>
              <w:bottom w:val="nil"/>
              <w:right w:val="nil"/>
            </w:tcBorders>
            <w:shd w:val="clear" w:color="auto" w:fill="auto"/>
            <w:noWrap/>
            <w:vAlign w:val="bottom"/>
            <w:hideMark/>
          </w:tcPr>
          <w:p w14:paraId="2743AD08" w14:textId="77777777" w:rsidR="00012F95" w:rsidRPr="00345AA4" w:rsidRDefault="00012F95" w:rsidP="00964281">
            <w:pPr>
              <w:spacing w:after="0" w:line="240" w:lineRule="auto"/>
              <w:jc w:val="right"/>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303,539</w:t>
            </w:r>
          </w:p>
        </w:tc>
        <w:tc>
          <w:tcPr>
            <w:tcW w:w="1285" w:type="dxa"/>
            <w:tcBorders>
              <w:top w:val="nil"/>
              <w:left w:val="nil"/>
              <w:bottom w:val="nil"/>
              <w:right w:val="nil"/>
            </w:tcBorders>
            <w:shd w:val="clear" w:color="auto" w:fill="auto"/>
            <w:noWrap/>
            <w:vAlign w:val="bottom"/>
            <w:hideMark/>
          </w:tcPr>
          <w:p w14:paraId="6A51DAF4" w14:textId="66FCFA99" w:rsidR="00012F95" w:rsidRPr="00345AA4" w:rsidRDefault="004177EE" w:rsidP="00964281">
            <w:pPr>
              <w:spacing w:after="0" w:line="240" w:lineRule="auto"/>
              <w:jc w:val="right"/>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0</w:t>
            </w:r>
          </w:p>
        </w:tc>
        <w:tc>
          <w:tcPr>
            <w:tcW w:w="1260" w:type="dxa"/>
            <w:tcBorders>
              <w:top w:val="nil"/>
              <w:left w:val="nil"/>
              <w:bottom w:val="nil"/>
              <w:right w:val="nil"/>
            </w:tcBorders>
            <w:shd w:val="clear" w:color="auto" w:fill="auto"/>
            <w:noWrap/>
            <w:vAlign w:val="bottom"/>
            <w:hideMark/>
          </w:tcPr>
          <w:p w14:paraId="6149B4AE" w14:textId="3470D08A" w:rsidR="00012F95" w:rsidRPr="00345AA4" w:rsidRDefault="004177EE" w:rsidP="00964281">
            <w:pPr>
              <w:spacing w:after="0" w:line="240" w:lineRule="auto"/>
              <w:jc w:val="right"/>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0</w:t>
            </w:r>
          </w:p>
        </w:tc>
      </w:tr>
      <w:tr w:rsidR="00345AA4" w:rsidRPr="00345AA4" w14:paraId="318B26A9" w14:textId="77777777" w:rsidTr="00010DB6">
        <w:trPr>
          <w:trHeight w:val="180"/>
        </w:trPr>
        <w:tc>
          <w:tcPr>
            <w:tcW w:w="2805" w:type="dxa"/>
            <w:tcBorders>
              <w:top w:val="nil"/>
              <w:left w:val="nil"/>
              <w:bottom w:val="nil"/>
              <w:right w:val="nil"/>
            </w:tcBorders>
            <w:shd w:val="clear" w:color="auto" w:fill="auto"/>
            <w:noWrap/>
            <w:vAlign w:val="center"/>
            <w:hideMark/>
          </w:tcPr>
          <w:p w14:paraId="5AC3D322" w14:textId="77777777" w:rsidR="00012F95" w:rsidRPr="00345AA4" w:rsidRDefault="00012F95" w:rsidP="00E359F9">
            <w:pPr>
              <w:spacing w:after="0" w:line="240" w:lineRule="auto"/>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Past due car loan</w:t>
            </w:r>
          </w:p>
        </w:tc>
        <w:tc>
          <w:tcPr>
            <w:tcW w:w="1080" w:type="dxa"/>
            <w:tcBorders>
              <w:top w:val="nil"/>
              <w:left w:val="nil"/>
              <w:bottom w:val="nil"/>
              <w:right w:val="nil"/>
            </w:tcBorders>
            <w:vAlign w:val="bottom"/>
          </w:tcPr>
          <w:p w14:paraId="2587937F" w14:textId="77777777" w:rsidR="00012F95" w:rsidRPr="00345AA4" w:rsidRDefault="007E18D0" w:rsidP="00964281">
            <w:pPr>
              <w:spacing w:after="0" w:line="240" w:lineRule="auto"/>
              <w:jc w:val="center"/>
              <w:rPr>
                <w:rFonts w:ascii="Arial" w:eastAsia="Times New Roman" w:hAnsi="Arial" w:cs="Arial"/>
                <w:color w:val="000000" w:themeColor="text1"/>
                <w:sz w:val="18"/>
                <w:szCs w:val="18"/>
              </w:rPr>
            </w:pPr>
            <w:r w:rsidRPr="00345AA4">
              <w:rPr>
                <w:rFonts w:ascii="Arial" w:eastAsia="Times New Roman" w:hAnsi="Arial" w:cs="Arial"/>
                <w:color w:val="000000" w:themeColor="text1"/>
                <w:sz w:val="18"/>
                <w:szCs w:val="18"/>
              </w:rPr>
              <w:t>18</w:t>
            </w:r>
          </w:p>
        </w:tc>
        <w:tc>
          <w:tcPr>
            <w:tcW w:w="1350" w:type="dxa"/>
            <w:tcBorders>
              <w:top w:val="nil"/>
              <w:left w:val="nil"/>
              <w:bottom w:val="nil"/>
              <w:right w:val="nil"/>
            </w:tcBorders>
            <w:shd w:val="clear" w:color="auto" w:fill="auto"/>
            <w:noWrap/>
            <w:vAlign w:val="bottom"/>
            <w:hideMark/>
          </w:tcPr>
          <w:p w14:paraId="5D32484D" w14:textId="77777777" w:rsidR="00012F95" w:rsidRPr="00345AA4" w:rsidRDefault="00012F95" w:rsidP="00964281">
            <w:pPr>
              <w:spacing w:after="0" w:line="240" w:lineRule="auto"/>
              <w:jc w:val="right"/>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218,225</w:t>
            </w:r>
          </w:p>
        </w:tc>
        <w:tc>
          <w:tcPr>
            <w:tcW w:w="1285" w:type="dxa"/>
            <w:tcBorders>
              <w:top w:val="nil"/>
              <w:left w:val="nil"/>
              <w:bottom w:val="nil"/>
              <w:right w:val="nil"/>
            </w:tcBorders>
            <w:shd w:val="clear" w:color="auto" w:fill="auto"/>
            <w:noWrap/>
            <w:vAlign w:val="bottom"/>
            <w:hideMark/>
          </w:tcPr>
          <w:p w14:paraId="6D0C91A7" w14:textId="77777777" w:rsidR="00012F95" w:rsidRPr="00345AA4" w:rsidRDefault="00012F95" w:rsidP="00964281">
            <w:pPr>
              <w:spacing w:after="0" w:line="240" w:lineRule="auto"/>
              <w:jc w:val="right"/>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317,636</w:t>
            </w:r>
          </w:p>
        </w:tc>
        <w:tc>
          <w:tcPr>
            <w:tcW w:w="1260" w:type="dxa"/>
            <w:tcBorders>
              <w:top w:val="nil"/>
              <w:left w:val="nil"/>
              <w:bottom w:val="nil"/>
              <w:right w:val="nil"/>
            </w:tcBorders>
            <w:shd w:val="clear" w:color="auto" w:fill="auto"/>
            <w:noWrap/>
            <w:vAlign w:val="bottom"/>
            <w:hideMark/>
          </w:tcPr>
          <w:p w14:paraId="163CB226" w14:textId="77777777" w:rsidR="00012F95" w:rsidRPr="00345AA4" w:rsidRDefault="00012F95" w:rsidP="00964281">
            <w:pPr>
              <w:spacing w:after="0" w:line="240" w:lineRule="auto"/>
              <w:jc w:val="right"/>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1,211,784</w:t>
            </w:r>
          </w:p>
        </w:tc>
      </w:tr>
      <w:tr w:rsidR="00345AA4" w:rsidRPr="00345AA4" w14:paraId="50871656" w14:textId="77777777" w:rsidTr="00010DB6">
        <w:trPr>
          <w:trHeight w:val="235"/>
        </w:trPr>
        <w:tc>
          <w:tcPr>
            <w:tcW w:w="2805" w:type="dxa"/>
            <w:tcBorders>
              <w:top w:val="nil"/>
              <w:left w:val="nil"/>
              <w:bottom w:val="nil"/>
              <w:right w:val="nil"/>
            </w:tcBorders>
            <w:shd w:val="clear" w:color="auto" w:fill="auto"/>
            <w:noWrap/>
            <w:vAlign w:val="center"/>
            <w:hideMark/>
          </w:tcPr>
          <w:p w14:paraId="4256E67B" w14:textId="77777777" w:rsidR="00012F95" w:rsidRPr="00345AA4" w:rsidRDefault="00012F95" w:rsidP="00E359F9">
            <w:pPr>
              <w:spacing w:after="0" w:line="240" w:lineRule="auto"/>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Advances to subsidiaries</w:t>
            </w:r>
          </w:p>
        </w:tc>
        <w:tc>
          <w:tcPr>
            <w:tcW w:w="1080" w:type="dxa"/>
            <w:tcBorders>
              <w:top w:val="nil"/>
              <w:left w:val="nil"/>
              <w:bottom w:val="nil"/>
              <w:right w:val="nil"/>
            </w:tcBorders>
            <w:vAlign w:val="bottom"/>
          </w:tcPr>
          <w:p w14:paraId="1AD4C24B" w14:textId="77777777" w:rsidR="00012F95" w:rsidRPr="00345AA4" w:rsidRDefault="007E18D0" w:rsidP="00964281">
            <w:pPr>
              <w:spacing w:after="0" w:line="240" w:lineRule="auto"/>
              <w:jc w:val="center"/>
              <w:rPr>
                <w:rFonts w:ascii="Arial" w:eastAsia="Times New Roman" w:hAnsi="Arial" w:cs="Arial"/>
                <w:color w:val="000000" w:themeColor="text1"/>
                <w:sz w:val="18"/>
                <w:szCs w:val="18"/>
              </w:rPr>
            </w:pPr>
            <w:r w:rsidRPr="00345AA4">
              <w:rPr>
                <w:rFonts w:ascii="Arial" w:eastAsia="Times New Roman" w:hAnsi="Arial" w:cs="Arial"/>
                <w:color w:val="000000" w:themeColor="text1"/>
                <w:sz w:val="18"/>
                <w:szCs w:val="18"/>
              </w:rPr>
              <w:t>6</w:t>
            </w:r>
          </w:p>
        </w:tc>
        <w:tc>
          <w:tcPr>
            <w:tcW w:w="1350" w:type="dxa"/>
            <w:tcBorders>
              <w:top w:val="nil"/>
              <w:left w:val="nil"/>
              <w:bottom w:val="nil"/>
              <w:right w:val="nil"/>
            </w:tcBorders>
            <w:shd w:val="clear" w:color="auto" w:fill="auto"/>
            <w:noWrap/>
            <w:vAlign w:val="bottom"/>
            <w:hideMark/>
          </w:tcPr>
          <w:p w14:paraId="6F2E8744" w14:textId="77777777" w:rsidR="00012F95" w:rsidRPr="00345AA4" w:rsidRDefault="00012F95" w:rsidP="00964281">
            <w:pPr>
              <w:spacing w:after="0" w:line="240" w:lineRule="auto"/>
              <w:jc w:val="right"/>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8,320,650</w:t>
            </w:r>
          </w:p>
        </w:tc>
        <w:tc>
          <w:tcPr>
            <w:tcW w:w="1285" w:type="dxa"/>
            <w:tcBorders>
              <w:top w:val="nil"/>
              <w:left w:val="nil"/>
              <w:bottom w:val="nil"/>
              <w:right w:val="nil"/>
            </w:tcBorders>
            <w:shd w:val="clear" w:color="auto" w:fill="auto"/>
            <w:noWrap/>
            <w:vAlign w:val="bottom"/>
            <w:hideMark/>
          </w:tcPr>
          <w:p w14:paraId="67083B9B" w14:textId="77777777" w:rsidR="00012F95" w:rsidRPr="00345AA4" w:rsidRDefault="00012F95" w:rsidP="00964281">
            <w:pPr>
              <w:spacing w:after="0" w:line="240" w:lineRule="auto"/>
              <w:jc w:val="right"/>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5,894,093</w:t>
            </w:r>
          </w:p>
        </w:tc>
        <w:tc>
          <w:tcPr>
            <w:tcW w:w="1260" w:type="dxa"/>
            <w:tcBorders>
              <w:top w:val="nil"/>
              <w:left w:val="nil"/>
              <w:bottom w:val="nil"/>
              <w:right w:val="nil"/>
            </w:tcBorders>
            <w:shd w:val="clear" w:color="auto" w:fill="auto"/>
            <w:noWrap/>
            <w:vAlign w:val="bottom"/>
            <w:hideMark/>
          </w:tcPr>
          <w:p w14:paraId="41E3858C" w14:textId="77777777" w:rsidR="00012F95" w:rsidRPr="00345AA4" w:rsidRDefault="00012F95" w:rsidP="00964281">
            <w:pPr>
              <w:spacing w:after="0" w:line="240" w:lineRule="auto"/>
              <w:jc w:val="right"/>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2,201,377</w:t>
            </w:r>
          </w:p>
        </w:tc>
      </w:tr>
      <w:tr w:rsidR="00345AA4" w:rsidRPr="00345AA4" w14:paraId="02084711" w14:textId="77777777" w:rsidTr="00010DB6">
        <w:trPr>
          <w:trHeight w:val="197"/>
        </w:trPr>
        <w:tc>
          <w:tcPr>
            <w:tcW w:w="2805" w:type="dxa"/>
            <w:tcBorders>
              <w:top w:val="nil"/>
              <w:left w:val="nil"/>
              <w:bottom w:val="nil"/>
              <w:right w:val="nil"/>
            </w:tcBorders>
            <w:shd w:val="clear" w:color="auto" w:fill="auto"/>
            <w:noWrap/>
            <w:vAlign w:val="center"/>
            <w:hideMark/>
          </w:tcPr>
          <w:p w14:paraId="6970D035" w14:textId="77777777" w:rsidR="00012F95" w:rsidRPr="00345AA4" w:rsidRDefault="00012F95" w:rsidP="00E359F9">
            <w:pPr>
              <w:spacing w:after="0" w:line="240" w:lineRule="auto"/>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Past due-other loans</w:t>
            </w:r>
          </w:p>
        </w:tc>
        <w:tc>
          <w:tcPr>
            <w:tcW w:w="1080" w:type="dxa"/>
            <w:tcBorders>
              <w:top w:val="nil"/>
              <w:left w:val="nil"/>
              <w:bottom w:val="nil"/>
              <w:right w:val="nil"/>
            </w:tcBorders>
            <w:vAlign w:val="bottom"/>
          </w:tcPr>
          <w:p w14:paraId="27F081D5" w14:textId="77777777" w:rsidR="00012F95" w:rsidRPr="00345AA4" w:rsidRDefault="007E18D0" w:rsidP="00964281">
            <w:pPr>
              <w:spacing w:after="0" w:line="240" w:lineRule="auto"/>
              <w:jc w:val="center"/>
              <w:rPr>
                <w:rFonts w:ascii="Arial" w:eastAsia="Times New Roman" w:hAnsi="Arial" w:cs="Arial"/>
                <w:color w:val="000000" w:themeColor="text1"/>
                <w:sz w:val="18"/>
                <w:szCs w:val="18"/>
              </w:rPr>
            </w:pPr>
            <w:r w:rsidRPr="00345AA4">
              <w:rPr>
                <w:rFonts w:ascii="Arial" w:eastAsia="Times New Roman" w:hAnsi="Arial" w:cs="Arial"/>
                <w:color w:val="000000" w:themeColor="text1"/>
                <w:sz w:val="18"/>
                <w:szCs w:val="18"/>
              </w:rPr>
              <w:t>3</w:t>
            </w:r>
          </w:p>
        </w:tc>
        <w:tc>
          <w:tcPr>
            <w:tcW w:w="1350" w:type="dxa"/>
            <w:tcBorders>
              <w:top w:val="nil"/>
              <w:left w:val="nil"/>
              <w:bottom w:val="nil"/>
              <w:right w:val="nil"/>
            </w:tcBorders>
            <w:shd w:val="clear" w:color="auto" w:fill="auto"/>
            <w:noWrap/>
            <w:vAlign w:val="bottom"/>
            <w:hideMark/>
          </w:tcPr>
          <w:p w14:paraId="50B19687" w14:textId="77777777" w:rsidR="00012F95" w:rsidRPr="00345AA4" w:rsidRDefault="00012F95" w:rsidP="00964281">
            <w:pPr>
              <w:spacing w:after="0" w:line="240" w:lineRule="auto"/>
              <w:jc w:val="right"/>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779,668</w:t>
            </w:r>
          </w:p>
        </w:tc>
        <w:tc>
          <w:tcPr>
            <w:tcW w:w="1285" w:type="dxa"/>
            <w:tcBorders>
              <w:top w:val="nil"/>
              <w:left w:val="nil"/>
              <w:bottom w:val="nil"/>
              <w:right w:val="nil"/>
            </w:tcBorders>
            <w:shd w:val="clear" w:color="auto" w:fill="auto"/>
            <w:noWrap/>
            <w:vAlign w:val="bottom"/>
            <w:hideMark/>
          </w:tcPr>
          <w:p w14:paraId="47E8A431" w14:textId="5EBD06B6" w:rsidR="00012F95" w:rsidRPr="00345AA4" w:rsidRDefault="004177EE" w:rsidP="00964281">
            <w:pPr>
              <w:spacing w:after="0" w:line="240" w:lineRule="auto"/>
              <w:jc w:val="right"/>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0</w:t>
            </w:r>
          </w:p>
        </w:tc>
        <w:tc>
          <w:tcPr>
            <w:tcW w:w="1260" w:type="dxa"/>
            <w:tcBorders>
              <w:top w:val="nil"/>
              <w:left w:val="nil"/>
              <w:bottom w:val="nil"/>
              <w:right w:val="nil"/>
            </w:tcBorders>
            <w:shd w:val="clear" w:color="auto" w:fill="auto"/>
            <w:noWrap/>
            <w:vAlign w:val="bottom"/>
            <w:hideMark/>
          </w:tcPr>
          <w:p w14:paraId="42EFBBE6" w14:textId="019225B3" w:rsidR="00012F95" w:rsidRPr="00345AA4" w:rsidRDefault="004177EE" w:rsidP="00964281">
            <w:pPr>
              <w:spacing w:after="0" w:line="240" w:lineRule="auto"/>
              <w:jc w:val="right"/>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0</w:t>
            </w:r>
          </w:p>
        </w:tc>
      </w:tr>
      <w:tr w:rsidR="00345AA4" w:rsidRPr="00345AA4" w14:paraId="42275E1B" w14:textId="77777777" w:rsidTr="00010DB6">
        <w:trPr>
          <w:trHeight w:val="159"/>
        </w:trPr>
        <w:tc>
          <w:tcPr>
            <w:tcW w:w="2805" w:type="dxa"/>
            <w:tcBorders>
              <w:top w:val="nil"/>
              <w:left w:val="nil"/>
              <w:bottom w:val="nil"/>
              <w:right w:val="nil"/>
            </w:tcBorders>
            <w:shd w:val="clear" w:color="auto" w:fill="auto"/>
            <w:noWrap/>
            <w:vAlign w:val="center"/>
            <w:hideMark/>
          </w:tcPr>
          <w:p w14:paraId="129B08DB" w14:textId="77777777" w:rsidR="00012F95" w:rsidRPr="00345AA4" w:rsidRDefault="00012F95" w:rsidP="00E359F9">
            <w:pPr>
              <w:spacing w:after="0" w:line="240" w:lineRule="auto"/>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Advances to contractors</w:t>
            </w:r>
          </w:p>
        </w:tc>
        <w:tc>
          <w:tcPr>
            <w:tcW w:w="1080" w:type="dxa"/>
            <w:tcBorders>
              <w:top w:val="nil"/>
              <w:left w:val="nil"/>
              <w:bottom w:val="nil"/>
              <w:right w:val="nil"/>
            </w:tcBorders>
            <w:vAlign w:val="bottom"/>
          </w:tcPr>
          <w:p w14:paraId="60AF7D72" w14:textId="77777777" w:rsidR="00012F95" w:rsidRPr="00345AA4" w:rsidRDefault="007E18D0" w:rsidP="00964281">
            <w:pPr>
              <w:spacing w:after="0" w:line="240" w:lineRule="auto"/>
              <w:jc w:val="center"/>
              <w:rPr>
                <w:rFonts w:ascii="Arial" w:eastAsia="Times New Roman" w:hAnsi="Arial" w:cs="Arial"/>
                <w:color w:val="000000" w:themeColor="text1"/>
                <w:sz w:val="18"/>
                <w:szCs w:val="18"/>
              </w:rPr>
            </w:pPr>
            <w:r w:rsidRPr="00345AA4">
              <w:rPr>
                <w:rFonts w:ascii="Arial" w:eastAsia="Times New Roman" w:hAnsi="Arial" w:cs="Arial"/>
                <w:color w:val="000000" w:themeColor="text1"/>
                <w:sz w:val="18"/>
                <w:szCs w:val="18"/>
              </w:rPr>
              <w:t>4</w:t>
            </w:r>
          </w:p>
        </w:tc>
        <w:tc>
          <w:tcPr>
            <w:tcW w:w="1350" w:type="dxa"/>
            <w:tcBorders>
              <w:top w:val="nil"/>
              <w:left w:val="nil"/>
              <w:bottom w:val="nil"/>
              <w:right w:val="nil"/>
            </w:tcBorders>
            <w:shd w:val="clear" w:color="auto" w:fill="auto"/>
            <w:noWrap/>
            <w:vAlign w:val="bottom"/>
            <w:hideMark/>
          </w:tcPr>
          <w:p w14:paraId="476C5E9F" w14:textId="7BC93E7E" w:rsidR="00012F95" w:rsidRPr="00345AA4" w:rsidRDefault="004177EE" w:rsidP="00964281">
            <w:pPr>
              <w:spacing w:after="0" w:line="240" w:lineRule="auto"/>
              <w:jc w:val="right"/>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0</w:t>
            </w:r>
          </w:p>
        </w:tc>
        <w:tc>
          <w:tcPr>
            <w:tcW w:w="1285" w:type="dxa"/>
            <w:tcBorders>
              <w:top w:val="nil"/>
              <w:left w:val="nil"/>
              <w:bottom w:val="nil"/>
              <w:right w:val="nil"/>
            </w:tcBorders>
            <w:shd w:val="clear" w:color="auto" w:fill="auto"/>
            <w:noWrap/>
            <w:vAlign w:val="bottom"/>
            <w:hideMark/>
          </w:tcPr>
          <w:p w14:paraId="2376DC4B" w14:textId="14B76749" w:rsidR="00012F95" w:rsidRPr="00345AA4" w:rsidRDefault="004177EE" w:rsidP="00964281">
            <w:pPr>
              <w:spacing w:after="0" w:line="240" w:lineRule="auto"/>
              <w:jc w:val="right"/>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0</w:t>
            </w:r>
          </w:p>
        </w:tc>
        <w:tc>
          <w:tcPr>
            <w:tcW w:w="1260" w:type="dxa"/>
            <w:tcBorders>
              <w:top w:val="nil"/>
              <w:left w:val="nil"/>
              <w:bottom w:val="nil"/>
              <w:right w:val="nil"/>
            </w:tcBorders>
            <w:shd w:val="clear" w:color="auto" w:fill="auto"/>
            <w:noWrap/>
            <w:vAlign w:val="bottom"/>
            <w:hideMark/>
          </w:tcPr>
          <w:p w14:paraId="21EDFD9E" w14:textId="77777777" w:rsidR="00012F95" w:rsidRPr="00345AA4" w:rsidRDefault="00012F95" w:rsidP="00964281">
            <w:pPr>
              <w:spacing w:after="0" w:line="240" w:lineRule="auto"/>
              <w:jc w:val="right"/>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1,750,452</w:t>
            </w:r>
          </w:p>
        </w:tc>
      </w:tr>
      <w:tr w:rsidR="00345AA4" w:rsidRPr="00345AA4" w14:paraId="423E3907" w14:textId="77777777" w:rsidTr="00FE471E">
        <w:trPr>
          <w:trHeight w:val="135"/>
        </w:trPr>
        <w:tc>
          <w:tcPr>
            <w:tcW w:w="2805" w:type="dxa"/>
            <w:tcBorders>
              <w:top w:val="nil"/>
              <w:left w:val="nil"/>
              <w:bottom w:val="single" w:sz="4" w:space="0" w:color="auto"/>
              <w:right w:val="nil"/>
            </w:tcBorders>
            <w:shd w:val="clear" w:color="auto" w:fill="auto"/>
            <w:noWrap/>
            <w:vAlign w:val="center"/>
            <w:hideMark/>
          </w:tcPr>
          <w:p w14:paraId="7B520520" w14:textId="77777777" w:rsidR="00012F95" w:rsidRPr="00345AA4" w:rsidRDefault="00012F95" w:rsidP="00E359F9">
            <w:pPr>
              <w:spacing w:after="0" w:line="240" w:lineRule="auto"/>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Dividends receivable</w:t>
            </w:r>
          </w:p>
        </w:tc>
        <w:tc>
          <w:tcPr>
            <w:tcW w:w="1080" w:type="dxa"/>
            <w:tcBorders>
              <w:top w:val="nil"/>
              <w:left w:val="nil"/>
              <w:bottom w:val="single" w:sz="4" w:space="0" w:color="auto"/>
              <w:right w:val="nil"/>
            </w:tcBorders>
            <w:vAlign w:val="bottom"/>
          </w:tcPr>
          <w:p w14:paraId="149B9C3B" w14:textId="77777777" w:rsidR="00012F95" w:rsidRPr="00345AA4" w:rsidRDefault="007E18D0" w:rsidP="00964281">
            <w:pPr>
              <w:spacing w:after="0" w:line="240" w:lineRule="auto"/>
              <w:jc w:val="center"/>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lang w:val="en-PH"/>
              </w:rPr>
              <w:t>1</w:t>
            </w:r>
          </w:p>
        </w:tc>
        <w:tc>
          <w:tcPr>
            <w:tcW w:w="1350" w:type="dxa"/>
            <w:tcBorders>
              <w:top w:val="nil"/>
              <w:left w:val="nil"/>
              <w:bottom w:val="single" w:sz="4" w:space="0" w:color="auto"/>
              <w:right w:val="nil"/>
            </w:tcBorders>
            <w:shd w:val="clear" w:color="auto" w:fill="auto"/>
            <w:noWrap/>
            <w:vAlign w:val="bottom"/>
            <w:hideMark/>
          </w:tcPr>
          <w:p w14:paraId="30C543CC" w14:textId="5B02216D" w:rsidR="00012F95" w:rsidRPr="00345AA4" w:rsidRDefault="004177EE" w:rsidP="00964281">
            <w:pPr>
              <w:spacing w:after="0" w:line="240" w:lineRule="auto"/>
              <w:jc w:val="right"/>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0</w:t>
            </w:r>
          </w:p>
        </w:tc>
        <w:tc>
          <w:tcPr>
            <w:tcW w:w="1285" w:type="dxa"/>
            <w:tcBorders>
              <w:top w:val="nil"/>
              <w:left w:val="nil"/>
              <w:bottom w:val="single" w:sz="4" w:space="0" w:color="auto"/>
              <w:right w:val="nil"/>
            </w:tcBorders>
            <w:shd w:val="clear" w:color="auto" w:fill="auto"/>
            <w:noWrap/>
            <w:vAlign w:val="bottom"/>
            <w:hideMark/>
          </w:tcPr>
          <w:p w14:paraId="1AC6C413" w14:textId="77777777" w:rsidR="00012F95" w:rsidRPr="00345AA4" w:rsidRDefault="00012F95" w:rsidP="00964281">
            <w:pPr>
              <w:spacing w:after="0" w:line="240" w:lineRule="auto"/>
              <w:jc w:val="right"/>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2,320,000</w:t>
            </w:r>
          </w:p>
        </w:tc>
        <w:tc>
          <w:tcPr>
            <w:tcW w:w="1260" w:type="dxa"/>
            <w:tcBorders>
              <w:top w:val="nil"/>
              <w:left w:val="nil"/>
              <w:bottom w:val="single" w:sz="4" w:space="0" w:color="auto"/>
              <w:right w:val="nil"/>
            </w:tcBorders>
            <w:shd w:val="clear" w:color="auto" w:fill="auto"/>
            <w:noWrap/>
            <w:vAlign w:val="bottom"/>
            <w:hideMark/>
          </w:tcPr>
          <w:p w14:paraId="565CD402" w14:textId="726F5730" w:rsidR="00012F95" w:rsidRPr="00345AA4" w:rsidRDefault="004177EE" w:rsidP="00964281">
            <w:pPr>
              <w:spacing w:after="0" w:line="240" w:lineRule="auto"/>
              <w:jc w:val="right"/>
              <w:rPr>
                <w:rFonts w:ascii="Arial" w:eastAsia="Times New Roman" w:hAnsi="Arial" w:cs="Arial"/>
                <w:color w:val="000000" w:themeColor="text1"/>
                <w:sz w:val="18"/>
                <w:szCs w:val="18"/>
                <w:lang w:val="en-PH"/>
              </w:rPr>
            </w:pPr>
            <w:r w:rsidRPr="00345AA4">
              <w:rPr>
                <w:rFonts w:ascii="Arial" w:eastAsia="Times New Roman" w:hAnsi="Arial" w:cs="Arial"/>
                <w:color w:val="000000" w:themeColor="text1"/>
                <w:sz w:val="18"/>
                <w:szCs w:val="18"/>
              </w:rPr>
              <w:t>0</w:t>
            </w:r>
          </w:p>
        </w:tc>
      </w:tr>
      <w:tr w:rsidR="00345AA4" w:rsidRPr="00345AA4" w14:paraId="08BB481C" w14:textId="77777777" w:rsidTr="00F05760">
        <w:trPr>
          <w:trHeight w:val="87"/>
        </w:trPr>
        <w:tc>
          <w:tcPr>
            <w:tcW w:w="2805" w:type="dxa"/>
            <w:tcBorders>
              <w:top w:val="single" w:sz="4" w:space="0" w:color="auto"/>
              <w:left w:val="nil"/>
              <w:bottom w:val="double" w:sz="4" w:space="0" w:color="auto"/>
              <w:right w:val="nil"/>
            </w:tcBorders>
            <w:shd w:val="clear" w:color="auto" w:fill="auto"/>
            <w:noWrap/>
            <w:vAlign w:val="center"/>
            <w:hideMark/>
          </w:tcPr>
          <w:p w14:paraId="681E9563" w14:textId="77777777" w:rsidR="00012F95" w:rsidRPr="00345AA4" w:rsidRDefault="00012F95" w:rsidP="00E359F9">
            <w:pPr>
              <w:spacing w:after="0" w:line="240" w:lineRule="auto"/>
              <w:rPr>
                <w:rFonts w:ascii="Arial" w:eastAsia="Times New Roman" w:hAnsi="Arial" w:cs="Arial"/>
                <w:b/>
                <w:bCs/>
                <w:color w:val="000000" w:themeColor="text1"/>
                <w:sz w:val="18"/>
                <w:szCs w:val="18"/>
                <w:lang w:val="en-PH"/>
              </w:rPr>
            </w:pPr>
            <w:r w:rsidRPr="00345AA4">
              <w:rPr>
                <w:rFonts w:ascii="Arial" w:eastAsia="Times New Roman" w:hAnsi="Arial" w:cs="Arial"/>
                <w:b/>
                <w:bCs/>
                <w:color w:val="000000" w:themeColor="text1"/>
                <w:sz w:val="18"/>
                <w:szCs w:val="18"/>
              </w:rPr>
              <w:t>Total </w:t>
            </w:r>
          </w:p>
        </w:tc>
        <w:tc>
          <w:tcPr>
            <w:tcW w:w="1080" w:type="dxa"/>
            <w:tcBorders>
              <w:top w:val="single" w:sz="4" w:space="0" w:color="auto"/>
              <w:left w:val="nil"/>
              <w:bottom w:val="double" w:sz="4" w:space="0" w:color="auto"/>
              <w:right w:val="nil"/>
            </w:tcBorders>
          </w:tcPr>
          <w:p w14:paraId="7855DA9E" w14:textId="77777777" w:rsidR="00012F95" w:rsidRPr="00345AA4" w:rsidRDefault="007E18D0" w:rsidP="007E18D0">
            <w:pPr>
              <w:spacing w:after="0" w:line="240" w:lineRule="auto"/>
              <w:jc w:val="center"/>
              <w:rPr>
                <w:rFonts w:ascii="Arial" w:eastAsia="Times New Roman" w:hAnsi="Arial" w:cs="Arial"/>
                <w:b/>
                <w:bCs/>
                <w:color w:val="000000" w:themeColor="text1"/>
                <w:sz w:val="18"/>
                <w:szCs w:val="18"/>
              </w:rPr>
            </w:pPr>
            <w:r w:rsidRPr="00345AA4">
              <w:rPr>
                <w:rFonts w:ascii="Arial" w:eastAsia="Times New Roman" w:hAnsi="Arial" w:cs="Arial"/>
                <w:b/>
                <w:bCs/>
                <w:color w:val="000000" w:themeColor="text1"/>
                <w:sz w:val="18"/>
                <w:szCs w:val="18"/>
              </w:rPr>
              <w:t>86</w:t>
            </w:r>
          </w:p>
        </w:tc>
        <w:tc>
          <w:tcPr>
            <w:tcW w:w="1350" w:type="dxa"/>
            <w:tcBorders>
              <w:top w:val="single" w:sz="4" w:space="0" w:color="auto"/>
              <w:left w:val="nil"/>
              <w:bottom w:val="double" w:sz="4" w:space="0" w:color="auto"/>
              <w:right w:val="nil"/>
            </w:tcBorders>
            <w:shd w:val="clear" w:color="auto" w:fill="auto"/>
            <w:noWrap/>
            <w:vAlign w:val="center"/>
            <w:hideMark/>
          </w:tcPr>
          <w:p w14:paraId="10B0CF92" w14:textId="77777777" w:rsidR="00012F95" w:rsidRPr="00345AA4" w:rsidRDefault="00012F95" w:rsidP="00E359F9">
            <w:pPr>
              <w:spacing w:after="0" w:line="240" w:lineRule="auto"/>
              <w:jc w:val="right"/>
              <w:rPr>
                <w:rFonts w:ascii="Arial" w:eastAsia="Times New Roman" w:hAnsi="Arial" w:cs="Arial"/>
                <w:b/>
                <w:bCs/>
                <w:color w:val="000000" w:themeColor="text1"/>
                <w:sz w:val="18"/>
                <w:szCs w:val="18"/>
                <w:lang w:val="en-PH"/>
              </w:rPr>
            </w:pPr>
            <w:r w:rsidRPr="00345AA4">
              <w:rPr>
                <w:rFonts w:ascii="Arial" w:eastAsia="Times New Roman" w:hAnsi="Arial" w:cs="Arial"/>
                <w:b/>
                <w:bCs/>
                <w:color w:val="000000" w:themeColor="text1"/>
                <w:sz w:val="18"/>
                <w:szCs w:val="18"/>
              </w:rPr>
              <w:t>P758,109,591</w:t>
            </w:r>
          </w:p>
        </w:tc>
        <w:tc>
          <w:tcPr>
            <w:tcW w:w="1285" w:type="dxa"/>
            <w:tcBorders>
              <w:top w:val="single" w:sz="4" w:space="0" w:color="auto"/>
              <w:left w:val="nil"/>
              <w:bottom w:val="double" w:sz="4" w:space="0" w:color="auto"/>
              <w:right w:val="nil"/>
            </w:tcBorders>
            <w:shd w:val="clear" w:color="auto" w:fill="auto"/>
            <w:noWrap/>
            <w:vAlign w:val="center"/>
            <w:hideMark/>
          </w:tcPr>
          <w:p w14:paraId="6A17C45E" w14:textId="77777777" w:rsidR="00012F95" w:rsidRPr="00345AA4" w:rsidRDefault="00012F95" w:rsidP="00E359F9">
            <w:pPr>
              <w:spacing w:after="0" w:line="240" w:lineRule="auto"/>
              <w:jc w:val="right"/>
              <w:rPr>
                <w:rFonts w:ascii="Arial" w:eastAsia="Times New Roman" w:hAnsi="Arial" w:cs="Arial"/>
                <w:b/>
                <w:bCs/>
                <w:color w:val="000000" w:themeColor="text1"/>
                <w:sz w:val="18"/>
                <w:szCs w:val="18"/>
                <w:lang w:val="en-PH"/>
              </w:rPr>
            </w:pPr>
            <w:r w:rsidRPr="00345AA4">
              <w:rPr>
                <w:rFonts w:ascii="Arial" w:eastAsia="Times New Roman" w:hAnsi="Arial" w:cs="Arial"/>
                <w:b/>
                <w:bCs/>
                <w:color w:val="000000" w:themeColor="text1"/>
                <w:sz w:val="18"/>
                <w:szCs w:val="18"/>
              </w:rPr>
              <w:t xml:space="preserve">P18,530,834 </w:t>
            </w:r>
          </w:p>
        </w:tc>
        <w:tc>
          <w:tcPr>
            <w:tcW w:w="1260" w:type="dxa"/>
            <w:tcBorders>
              <w:top w:val="single" w:sz="4" w:space="0" w:color="auto"/>
              <w:left w:val="nil"/>
              <w:bottom w:val="double" w:sz="4" w:space="0" w:color="auto"/>
              <w:right w:val="nil"/>
            </w:tcBorders>
            <w:shd w:val="clear" w:color="auto" w:fill="auto"/>
            <w:noWrap/>
            <w:vAlign w:val="center"/>
            <w:hideMark/>
          </w:tcPr>
          <w:p w14:paraId="2CD52A0F" w14:textId="77777777" w:rsidR="00012F95" w:rsidRPr="00345AA4" w:rsidRDefault="00012F95" w:rsidP="00012F95">
            <w:pPr>
              <w:spacing w:after="0" w:line="240" w:lineRule="auto"/>
              <w:rPr>
                <w:rFonts w:ascii="Arial" w:eastAsia="Times New Roman" w:hAnsi="Arial" w:cs="Arial"/>
                <w:b/>
                <w:bCs/>
                <w:color w:val="000000" w:themeColor="text1"/>
                <w:sz w:val="18"/>
                <w:szCs w:val="18"/>
                <w:lang w:val="en-PH"/>
              </w:rPr>
            </w:pPr>
            <w:r w:rsidRPr="00345AA4">
              <w:rPr>
                <w:rFonts w:ascii="Arial" w:eastAsia="Times New Roman" w:hAnsi="Arial" w:cs="Arial"/>
                <w:b/>
                <w:bCs/>
                <w:color w:val="000000" w:themeColor="text1"/>
                <w:sz w:val="18"/>
                <w:szCs w:val="18"/>
              </w:rPr>
              <w:t xml:space="preserve">P178,507,556 </w:t>
            </w:r>
          </w:p>
        </w:tc>
      </w:tr>
    </w:tbl>
    <w:p w14:paraId="13CA18AA" w14:textId="77777777" w:rsidR="00801762" w:rsidRPr="00345AA4" w:rsidRDefault="00801762" w:rsidP="006C38E8">
      <w:pPr>
        <w:spacing w:after="0"/>
        <w:contextualSpacing/>
        <w:jc w:val="both"/>
        <w:rPr>
          <w:rFonts w:ascii="Arial" w:hAnsi="Arial" w:cs="Arial"/>
          <w:color w:val="000000" w:themeColor="text1"/>
        </w:rPr>
      </w:pPr>
    </w:p>
    <w:p w14:paraId="4B20F7F7" w14:textId="3C5BC798" w:rsidR="00FD4026" w:rsidRPr="00345AA4" w:rsidRDefault="00FD4026" w:rsidP="006C38E8">
      <w:pPr>
        <w:pStyle w:val="ListParagraph"/>
        <w:numPr>
          <w:ilvl w:val="1"/>
          <w:numId w:val="1"/>
        </w:numPr>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Verification of </w:t>
      </w:r>
      <w:r w:rsidR="00ED6196" w:rsidRPr="00345AA4">
        <w:rPr>
          <w:rFonts w:ascii="Arial" w:hAnsi="Arial" w:cs="Arial"/>
          <w:color w:val="000000" w:themeColor="text1"/>
          <w:sz w:val="22"/>
          <w:szCs w:val="22"/>
        </w:rPr>
        <w:t>the</w:t>
      </w:r>
      <w:r w:rsidRPr="00345AA4">
        <w:rPr>
          <w:rFonts w:ascii="Arial" w:hAnsi="Arial" w:cs="Arial"/>
          <w:color w:val="000000" w:themeColor="text1"/>
          <w:sz w:val="22"/>
          <w:szCs w:val="22"/>
        </w:rPr>
        <w:t xml:space="preserve"> report on dormant receivable accounts revealed that some of the said receivables totaling to P120.429 million</w:t>
      </w:r>
      <w:r w:rsidR="004177EE" w:rsidRPr="00345AA4">
        <w:rPr>
          <w:rFonts w:ascii="Arial" w:hAnsi="Arial" w:cs="Arial"/>
          <w:color w:val="000000" w:themeColor="text1"/>
          <w:sz w:val="22"/>
          <w:szCs w:val="22"/>
        </w:rPr>
        <w:t xml:space="preserve"> are due from the closed subsidiaries</w:t>
      </w:r>
      <w:r w:rsidRPr="00345AA4">
        <w:rPr>
          <w:rFonts w:ascii="Arial" w:hAnsi="Arial" w:cs="Arial"/>
          <w:color w:val="000000" w:themeColor="text1"/>
          <w:sz w:val="22"/>
          <w:szCs w:val="22"/>
        </w:rPr>
        <w:t xml:space="preserve">.  Seven accounts totaling to P43.080 million are with pending cases handled by </w:t>
      </w:r>
      <w:r w:rsidR="004177EE" w:rsidRPr="00345AA4">
        <w:rPr>
          <w:rFonts w:ascii="Arial" w:hAnsi="Arial" w:cs="Arial"/>
          <w:color w:val="000000" w:themeColor="text1"/>
          <w:sz w:val="22"/>
          <w:szCs w:val="22"/>
        </w:rPr>
        <w:t xml:space="preserve">the </w:t>
      </w:r>
      <w:r w:rsidR="00781EB6" w:rsidRPr="00345AA4">
        <w:rPr>
          <w:rFonts w:ascii="Arial" w:hAnsi="Arial" w:cs="Arial"/>
          <w:color w:val="000000" w:themeColor="text1"/>
          <w:sz w:val="22"/>
          <w:szCs w:val="22"/>
        </w:rPr>
        <w:t>Legal Department (</w:t>
      </w:r>
      <w:r w:rsidRPr="00345AA4">
        <w:rPr>
          <w:rFonts w:ascii="Arial" w:hAnsi="Arial" w:cs="Arial"/>
          <w:color w:val="000000" w:themeColor="text1"/>
          <w:sz w:val="22"/>
          <w:szCs w:val="22"/>
        </w:rPr>
        <w:t>LD</w:t>
      </w:r>
      <w:r w:rsidR="00781EB6" w:rsidRPr="00345AA4">
        <w:rPr>
          <w:rFonts w:ascii="Arial" w:hAnsi="Arial" w:cs="Arial"/>
          <w:color w:val="000000" w:themeColor="text1"/>
          <w:sz w:val="22"/>
          <w:szCs w:val="22"/>
        </w:rPr>
        <w:t>)</w:t>
      </w:r>
      <w:r w:rsidRPr="00345AA4">
        <w:rPr>
          <w:rFonts w:ascii="Arial" w:hAnsi="Arial" w:cs="Arial"/>
          <w:color w:val="000000" w:themeColor="text1"/>
          <w:sz w:val="22"/>
          <w:szCs w:val="22"/>
        </w:rPr>
        <w:t xml:space="preserve">.  While the 18 accounts totaling to P7.778 million are still for collection </w:t>
      </w:r>
      <w:r w:rsidR="000B1AB2" w:rsidRPr="00345AA4">
        <w:rPr>
          <w:rFonts w:ascii="Arial" w:hAnsi="Arial" w:cs="Arial"/>
          <w:color w:val="000000" w:themeColor="text1"/>
          <w:sz w:val="22"/>
          <w:szCs w:val="22"/>
        </w:rPr>
        <w:t xml:space="preserve">since appropriate action to collect </w:t>
      </w:r>
      <w:r w:rsidR="004177EE" w:rsidRPr="00345AA4">
        <w:rPr>
          <w:rFonts w:ascii="Arial" w:hAnsi="Arial" w:cs="Arial"/>
          <w:color w:val="000000" w:themeColor="text1"/>
          <w:sz w:val="22"/>
          <w:szCs w:val="22"/>
        </w:rPr>
        <w:t xml:space="preserve">has </w:t>
      </w:r>
      <w:r w:rsidR="000B1AB2" w:rsidRPr="00345AA4">
        <w:rPr>
          <w:rFonts w:ascii="Arial" w:hAnsi="Arial" w:cs="Arial"/>
          <w:color w:val="000000" w:themeColor="text1"/>
          <w:sz w:val="22"/>
          <w:szCs w:val="22"/>
        </w:rPr>
        <w:t xml:space="preserve">not </w:t>
      </w:r>
      <w:r w:rsidR="004177EE" w:rsidRPr="00345AA4">
        <w:rPr>
          <w:rFonts w:ascii="Arial" w:hAnsi="Arial" w:cs="Arial"/>
          <w:color w:val="000000" w:themeColor="text1"/>
          <w:sz w:val="22"/>
          <w:szCs w:val="22"/>
        </w:rPr>
        <w:t xml:space="preserve">been </w:t>
      </w:r>
      <w:r w:rsidR="000B1AB2" w:rsidRPr="00345AA4">
        <w:rPr>
          <w:rFonts w:ascii="Arial" w:hAnsi="Arial" w:cs="Arial"/>
          <w:color w:val="000000" w:themeColor="text1"/>
          <w:sz w:val="22"/>
          <w:szCs w:val="22"/>
        </w:rPr>
        <w:t xml:space="preserve">done </w:t>
      </w:r>
      <w:r w:rsidR="004177EE" w:rsidRPr="00345AA4">
        <w:rPr>
          <w:rFonts w:ascii="Arial" w:hAnsi="Arial" w:cs="Arial"/>
          <w:color w:val="000000" w:themeColor="text1"/>
          <w:sz w:val="22"/>
          <w:szCs w:val="22"/>
        </w:rPr>
        <w:t xml:space="preserve">yet </w:t>
      </w:r>
      <w:r w:rsidRPr="00345AA4">
        <w:rPr>
          <w:rFonts w:ascii="Arial" w:hAnsi="Arial" w:cs="Arial"/>
          <w:color w:val="000000" w:themeColor="text1"/>
          <w:sz w:val="22"/>
          <w:szCs w:val="22"/>
        </w:rPr>
        <w:t xml:space="preserve">as of year-end.  The 33 accounts totaling to P21.114 million are still for tracing and reconciliation because </w:t>
      </w:r>
      <w:r w:rsidR="004177EE" w:rsidRPr="00345AA4">
        <w:rPr>
          <w:rFonts w:ascii="Arial" w:hAnsi="Arial" w:cs="Arial"/>
          <w:color w:val="000000" w:themeColor="text1"/>
          <w:sz w:val="22"/>
          <w:szCs w:val="22"/>
        </w:rPr>
        <w:t>Management is having so</w:t>
      </w:r>
      <w:r w:rsidRPr="00345AA4">
        <w:rPr>
          <w:rFonts w:ascii="Arial" w:hAnsi="Arial" w:cs="Arial"/>
          <w:color w:val="000000" w:themeColor="text1"/>
          <w:sz w:val="22"/>
          <w:szCs w:val="22"/>
        </w:rPr>
        <w:t xml:space="preserve">me difficulties in the retrieval of documents.  There is currently </w:t>
      </w:r>
      <w:r w:rsidR="004177EE" w:rsidRPr="00345AA4">
        <w:rPr>
          <w:rFonts w:ascii="Arial" w:hAnsi="Arial" w:cs="Arial"/>
          <w:color w:val="000000" w:themeColor="text1"/>
          <w:sz w:val="22"/>
          <w:szCs w:val="22"/>
        </w:rPr>
        <w:t xml:space="preserve">an </w:t>
      </w:r>
      <w:r w:rsidRPr="00345AA4">
        <w:rPr>
          <w:rFonts w:ascii="Arial" w:hAnsi="Arial" w:cs="Arial"/>
          <w:color w:val="000000" w:themeColor="text1"/>
          <w:sz w:val="22"/>
          <w:szCs w:val="22"/>
        </w:rPr>
        <w:t xml:space="preserve">on-going foreclosure relative to the receivable from an individual debtor.  The receivable from a realty corporation is still outstanding since the property foreclosed is not yet consolidated in the name of AFPRSBS.  The receivable from a subsidiary is provided an allowance of P8.094 million and will be adjusted upon disposal of the company.  </w:t>
      </w:r>
      <w:r w:rsidR="000B1AB2" w:rsidRPr="00345AA4">
        <w:rPr>
          <w:rFonts w:ascii="Arial" w:hAnsi="Arial" w:cs="Arial"/>
          <w:color w:val="000000" w:themeColor="text1"/>
          <w:sz w:val="22"/>
          <w:szCs w:val="22"/>
        </w:rPr>
        <w:t>O</w:t>
      </w:r>
      <w:r w:rsidRPr="00345AA4">
        <w:rPr>
          <w:rFonts w:ascii="Arial" w:hAnsi="Arial" w:cs="Arial"/>
          <w:color w:val="000000" w:themeColor="text1"/>
          <w:sz w:val="22"/>
          <w:szCs w:val="22"/>
        </w:rPr>
        <w:t xml:space="preserve">ther dormant receivables totaling to P30.567 million, </w:t>
      </w:r>
      <w:r w:rsidR="00122F7C" w:rsidRPr="00345AA4">
        <w:rPr>
          <w:rFonts w:ascii="Arial" w:hAnsi="Arial" w:cs="Arial"/>
          <w:color w:val="000000" w:themeColor="text1"/>
          <w:sz w:val="22"/>
          <w:szCs w:val="22"/>
        </w:rPr>
        <w:t xml:space="preserve">have been </w:t>
      </w:r>
      <w:r w:rsidRPr="00345AA4">
        <w:rPr>
          <w:rFonts w:ascii="Arial" w:hAnsi="Arial" w:cs="Arial"/>
          <w:color w:val="000000" w:themeColor="text1"/>
          <w:sz w:val="22"/>
          <w:szCs w:val="22"/>
        </w:rPr>
        <w:t>provided 100 per cent allowance for doubtful accounts.</w:t>
      </w:r>
    </w:p>
    <w:p w14:paraId="4AD5A023" w14:textId="77777777" w:rsidR="00FD4026" w:rsidRPr="00345AA4" w:rsidRDefault="00FD4026" w:rsidP="00FD4026">
      <w:pPr>
        <w:pStyle w:val="ListParagraph"/>
        <w:ind w:left="993"/>
        <w:contextualSpacing/>
        <w:jc w:val="both"/>
        <w:rPr>
          <w:rFonts w:ascii="Arial" w:hAnsi="Arial" w:cs="Arial"/>
          <w:color w:val="000000" w:themeColor="text1"/>
          <w:sz w:val="22"/>
          <w:szCs w:val="22"/>
        </w:rPr>
      </w:pPr>
    </w:p>
    <w:p w14:paraId="006D3DA7" w14:textId="39D2C3AA" w:rsidR="00FD4026" w:rsidRPr="00345AA4" w:rsidRDefault="00FD4026" w:rsidP="006E4BD4">
      <w:pPr>
        <w:pStyle w:val="ListParagraph"/>
        <w:numPr>
          <w:ilvl w:val="1"/>
          <w:numId w:val="1"/>
        </w:numPr>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The inaction of Management to exhaust all available remedies to collect the said receivables</w:t>
      </w:r>
      <w:r w:rsidR="00122F7C" w:rsidRPr="00345AA4">
        <w:rPr>
          <w:rFonts w:ascii="Arial" w:hAnsi="Arial" w:cs="Arial"/>
          <w:color w:val="000000" w:themeColor="text1"/>
          <w:sz w:val="22"/>
          <w:szCs w:val="22"/>
        </w:rPr>
        <w:t>,</w:t>
      </w:r>
      <w:r w:rsidRPr="00345AA4">
        <w:rPr>
          <w:rFonts w:ascii="Arial" w:hAnsi="Arial" w:cs="Arial"/>
          <w:color w:val="000000" w:themeColor="text1"/>
          <w:sz w:val="22"/>
          <w:szCs w:val="22"/>
        </w:rPr>
        <w:t xml:space="preserve"> which have been long outstanding/remained past due/dormant</w:t>
      </w:r>
      <w:r w:rsidR="00122F7C" w:rsidRPr="00345AA4">
        <w:rPr>
          <w:rFonts w:ascii="Arial" w:hAnsi="Arial" w:cs="Arial"/>
          <w:color w:val="000000" w:themeColor="text1"/>
          <w:sz w:val="22"/>
          <w:szCs w:val="22"/>
        </w:rPr>
        <w:t>,</w:t>
      </w:r>
      <w:r w:rsidRPr="00345AA4">
        <w:rPr>
          <w:rFonts w:ascii="Arial" w:hAnsi="Arial" w:cs="Arial"/>
          <w:color w:val="000000" w:themeColor="text1"/>
          <w:sz w:val="22"/>
          <w:szCs w:val="22"/>
        </w:rPr>
        <w:t xml:space="preserve"> deprives the System of funds for its accelerated refund and payment of other obligations. </w:t>
      </w:r>
    </w:p>
    <w:p w14:paraId="79E2E876" w14:textId="77777777" w:rsidR="00FD4026" w:rsidRPr="00345AA4" w:rsidRDefault="00FD4026" w:rsidP="00FD4026">
      <w:pPr>
        <w:pStyle w:val="ListParagraph"/>
        <w:rPr>
          <w:rFonts w:ascii="Arial" w:hAnsi="Arial" w:cs="Arial"/>
          <w:color w:val="000000" w:themeColor="text1"/>
          <w:sz w:val="22"/>
          <w:szCs w:val="22"/>
        </w:rPr>
      </w:pPr>
    </w:p>
    <w:p w14:paraId="7B74911A" w14:textId="74EA1040" w:rsidR="00F043CF" w:rsidRPr="00C47B53" w:rsidRDefault="00FD4026" w:rsidP="00345AA4">
      <w:pPr>
        <w:pStyle w:val="ListParagraph"/>
        <w:numPr>
          <w:ilvl w:val="1"/>
          <w:numId w:val="1"/>
        </w:numPr>
        <w:ind w:left="900" w:hanging="540"/>
        <w:contextualSpacing/>
        <w:jc w:val="both"/>
        <w:rPr>
          <w:color w:val="000000" w:themeColor="text1"/>
        </w:rPr>
      </w:pPr>
      <w:r w:rsidRPr="00345AA4">
        <w:rPr>
          <w:rFonts w:ascii="Arial" w:hAnsi="Arial" w:cs="Arial"/>
          <w:color w:val="000000" w:themeColor="text1"/>
          <w:sz w:val="22"/>
          <w:szCs w:val="22"/>
        </w:rPr>
        <w:t xml:space="preserve">Despite of providing allowance to the corresponding dormant accounts, the amount of which might still mislead the public while reading the </w:t>
      </w:r>
      <w:r w:rsidR="00122F7C" w:rsidRPr="00345AA4">
        <w:rPr>
          <w:rFonts w:ascii="Arial" w:hAnsi="Arial" w:cs="Arial"/>
          <w:color w:val="000000" w:themeColor="text1"/>
          <w:sz w:val="22"/>
          <w:szCs w:val="22"/>
        </w:rPr>
        <w:t>FS</w:t>
      </w:r>
      <w:r w:rsidRPr="00345AA4">
        <w:rPr>
          <w:rFonts w:ascii="Arial" w:hAnsi="Arial" w:cs="Arial"/>
          <w:color w:val="000000" w:themeColor="text1"/>
          <w:sz w:val="22"/>
          <w:szCs w:val="22"/>
        </w:rPr>
        <w:t xml:space="preserve"> of the System.  The above</w:t>
      </w:r>
      <w:r w:rsidR="00122F7C" w:rsidRPr="00345AA4">
        <w:rPr>
          <w:rFonts w:ascii="Arial" w:hAnsi="Arial" w:cs="Arial"/>
          <w:color w:val="000000" w:themeColor="text1"/>
          <w:sz w:val="22"/>
          <w:szCs w:val="22"/>
        </w:rPr>
        <w:t>-</w:t>
      </w:r>
      <w:r w:rsidRPr="00345AA4">
        <w:rPr>
          <w:rFonts w:ascii="Arial" w:hAnsi="Arial" w:cs="Arial"/>
          <w:color w:val="000000" w:themeColor="text1"/>
          <w:sz w:val="22"/>
          <w:szCs w:val="22"/>
        </w:rPr>
        <w:t xml:space="preserve">mentioned Circular facilitates the reconciling and cleaning </w:t>
      </w:r>
      <w:r w:rsidR="00122F7C" w:rsidRPr="00345AA4">
        <w:rPr>
          <w:rFonts w:ascii="Arial" w:hAnsi="Arial" w:cs="Arial"/>
          <w:color w:val="000000" w:themeColor="text1"/>
          <w:sz w:val="22"/>
          <w:szCs w:val="22"/>
        </w:rPr>
        <w:t xml:space="preserve">of </w:t>
      </w:r>
      <w:r w:rsidRPr="00345AA4">
        <w:rPr>
          <w:rFonts w:ascii="Arial" w:hAnsi="Arial" w:cs="Arial"/>
          <w:color w:val="000000" w:themeColor="text1"/>
          <w:sz w:val="22"/>
          <w:szCs w:val="22"/>
        </w:rPr>
        <w:t>the books of accounts of</w:t>
      </w:r>
      <w:r w:rsidR="0011776E" w:rsidRPr="00345AA4">
        <w:rPr>
          <w:rFonts w:ascii="Arial" w:hAnsi="Arial" w:cs="Arial"/>
          <w:color w:val="000000" w:themeColor="text1"/>
          <w:sz w:val="22"/>
          <w:szCs w:val="22"/>
        </w:rPr>
        <w:t xml:space="preserve"> Government Owned and/or Controlled Corporations</w:t>
      </w:r>
      <w:r w:rsidRPr="00345AA4">
        <w:rPr>
          <w:rFonts w:ascii="Arial" w:hAnsi="Arial" w:cs="Arial"/>
          <w:color w:val="000000" w:themeColor="text1"/>
          <w:sz w:val="22"/>
          <w:szCs w:val="22"/>
        </w:rPr>
        <w:t xml:space="preserve"> </w:t>
      </w:r>
      <w:r w:rsidR="0011776E" w:rsidRPr="00345AA4">
        <w:rPr>
          <w:rFonts w:ascii="Arial" w:hAnsi="Arial" w:cs="Arial"/>
          <w:color w:val="000000" w:themeColor="text1"/>
          <w:sz w:val="22"/>
          <w:szCs w:val="22"/>
        </w:rPr>
        <w:t>(</w:t>
      </w:r>
      <w:r w:rsidRPr="00345AA4">
        <w:rPr>
          <w:rFonts w:ascii="Arial" w:hAnsi="Arial" w:cs="Arial"/>
          <w:color w:val="000000" w:themeColor="text1"/>
          <w:sz w:val="22"/>
          <w:szCs w:val="22"/>
        </w:rPr>
        <w:t>GOCCs</w:t>
      </w:r>
      <w:r w:rsidR="0011776E" w:rsidRPr="00345AA4">
        <w:rPr>
          <w:rFonts w:ascii="Arial" w:hAnsi="Arial" w:cs="Arial"/>
          <w:color w:val="000000" w:themeColor="text1"/>
          <w:sz w:val="22"/>
          <w:szCs w:val="22"/>
        </w:rPr>
        <w:t>)</w:t>
      </w:r>
      <w:r w:rsidRPr="00345AA4">
        <w:rPr>
          <w:rFonts w:ascii="Arial" w:hAnsi="Arial" w:cs="Arial"/>
          <w:color w:val="000000" w:themeColor="text1"/>
          <w:sz w:val="22"/>
          <w:szCs w:val="22"/>
        </w:rPr>
        <w:t xml:space="preserve">, like AFPRSBS, of dormant receivables to give the public more reliable </w:t>
      </w:r>
      <w:r w:rsidR="00122F7C" w:rsidRPr="00345AA4">
        <w:rPr>
          <w:rFonts w:ascii="Arial" w:hAnsi="Arial" w:cs="Arial"/>
          <w:color w:val="000000" w:themeColor="text1"/>
          <w:sz w:val="22"/>
          <w:szCs w:val="22"/>
        </w:rPr>
        <w:t>FS</w:t>
      </w:r>
      <w:r w:rsidRPr="00345AA4">
        <w:rPr>
          <w:rFonts w:ascii="Arial" w:hAnsi="Arial" w:cs="Arial"/>
          <w:color w:val="000000" w:themeColor="text1"/>
          <w:sz w:val="22"/>
          <w:szCs w:val="22"/>
        </w:rPr>
        <w:t>.  Likewise, the Circular provides that it should not be interpreted to neither condone the written off accounts nor to extinguish the obligations.  The Management shall continue to exert effort to collect the accounts when circumstances would warrant.  Further, this shall not be construed as a ground to exonerate the liability of the officers/employees for infidelity in the custody of documents.</w:t>
      </w:r>
    </w:p>
    <w:p w14:paraId="66F22965" w14:textId="77777777" w:rsidR="00C47B53" w:rsidRPr="00C47B53" w:rsidRDefault="00C47B53" w:rsidP="00C47B53">
      <w:pPr>
        <w:pStyle w:val="ListParagraph"/>
        <w:rPr>
          <w:color w:val="000000" w:themeColor="text1"/>
        </w:rPr>
      </w:pPr>
    </w:p>
    <w:p w14:paraId="34FCF28F" w14:textId="77777777" w:rsidR="00C47B53" w:rsidRPr="00345AA4" w:rsidRDefault="00C47B53" w:rsidP="00C47B53">
      <w:pPr>
        <w:pStyle w:val="ListParagraph"/>
        <w:ind w:left="900"/>
        <w:contextualSpacing/>
        <w:jc w:val="both"/>
        <w:rPr>
          <w:color w:val="000000" w:themeColor="text1"/>
        </w:rPr>
      </w:pPr>
    </w:p>
    <w:p w14:paraId="58775DAC" w14:textId="77777777" w:rsidR="00FD4026" w:rsidRPr="00345AA4" w:rsidRDefault="006C38E8" w:rsidP="006E4BD4">
      <w:pPr>
        <w:pStyle w:val="ListParagraph"/>
        <w:numPr>
          <w:ilvl w:val="1"/>
          <w:numId w:val="1"/>
        </w:numPr>
        <w:ind w:left="900" w:hanging="540"/>
        <w:contextualSpacing/>
        <w:jc w:val="both"/>
        <w:rPr>
          <w:rFonts w:ascii="Arial" w:hAnsi="Arial" w:cs="Arial"/>
          <w:b/>
          <w:bCs/>
          <w:color w:val="000000" w:themeColor="text1"/>
          <w:sz w:val="22"/>
          <w:szCs w:val="22"/>
        </w:rPr>
      </w:pPr>
      <w:r w:rsidRPr="00345AA4">
        <w:rPr>
          <w:rFonts w:ascii="Arial" w:hAnsi="Arial" w:cs="Arial"/>
          <w:b/>
          <w:bCs/>
          <w:color w:val="000000" w:themeColor="text1"/>
          <w:sz w:val="22"/>
          <w:szCs w:val="22"/>
        </w:rPr>
        <w:lastRenderedPageBreak/>
        <w:t xml:space="preserve">We recommended and </w:t>
      </w:r>
      <w:r w:rsidR="00FD4026" w:rsidRPr="00345AA4">
        <w:rPr>
          <w:rFonts w:ascii="Arial" w:hAnsi="Arial" w:cs="Arial"/>
          <w:b/>
          <w:bCs/>
          <w:color w:val="000000" w:themeColor="text1"/>
          <w:sz w:val="22"/>
          <w:szCs w:val="22"/>
        </w:rPr>
        <w:t>Management agreed to:</w:t>
      </w:r>
    </w:p>
    <w:p w14:paraId="76517B27" w14:textId="77777777" w:rsidR="00FD4026" w:rsidRPr="00345AA4" w:rsidRDefault="00FD4026" w:rsidP="00FD4026">
      <w:pPr>
        <w:spacing w:after="0" w:line="240" w:lineRule="auto"/>
        <w:jc w:val="both"/>
        <w:rPr>
          <w:rFonts w:ascii="Arial" w:eastAsia="Times New Roman" w:hAnsi="Arial" w:cs="Arial"/>
          <w:color w:val="000000" w:themeColor="text1"/>
        </w:rPr>
      </w:pPr>
    </w:p>
    <w:p w14:paraId="2EEE880C" w14:textId="77777777" w:rsidR="00FD4026" w:rsidRPr="00345AA4" w:rsidRDefault="00FD4026" w:rsidP="00CB00A3">
      <w:pPr>
        <w:pStyle w:val="NoSpacing"/>
        <w:numPr>
          <w:ilvl w:val="0"/>
          <w:numId w:val="21"/>
        </w:numPr>
        <w:jc w:val="both"/>
        <w:rPr>
          <w:rFonts w:ascii="Arial" w:hAnsi="Arial" w:cs="Arial"/>
          <w:b/>
          <w:color w:val="000000" w:themeColor="text1"/>
        </w:rPr>
      </w:pPr>
      <w:r w:rsidRPr="00345AA4">
        <w:rPr>
          <w:rFonts w:ascii="Arial" w:hAnsi="Arial" w:cs="Arial"/>
          <w:b/>
          <w:color w:val="000000" w:themeColor="text1"/>
        </w:rPr>
        <w:t>Exhaust all available remedies to collect all long outstanding/dormant/past due accounts and ensure proper documentation of accounts and coordination of concerned Agencies;</w:t>
      </w:r>
    </w:p>
    <w:p w14:paraId="0FE5F806" w14:textId="77777777" w:rsidR="00FD4026" w:rsidRPr="00345AA4" w:rsidRDefault="00FD4026" w:rsidP="00FD4026">
      <w:pPr>
        <w:spacing w:after="0" w:line="240" w:lineRule="auto"/>
        <w:ind w:left="1080"/>
        <w:jc w:val="both"/>
        <w:rPr>
          <w:rFonts w:ascii="Arial" w:eastAsia="Times New Roman" w:hAnsi="Arial" w:cs="Arial"/>
          <w:b/>
          <w:color w:val="000000" w:themeColor="text1"/>
        </w:rPr>
      </w:pPr>
    </w:p>
    <w:p w14:paraId="0468B27C" w14:textId="77777777" w:rsidR="00FD4026" w:rsidRPr="00345AA4" w:rsidRDefault="00FD4026" w:rsidP="00CB00A3">
      <w:pPr>
        <w:pStyle w:val="NoSpacing"/>
        <w:numPr>
          <w:ilvl w:val="0"/>
          <w:numId w:val="21"/>
        </w:numPr>
        <w:ind w:left="1276"/>
        <w:jc w:val="both"/>
        <w:rPr>
          <w:rFonts w:ascii="Arial" w:hAnsi="Arial" w:cs="Arial"/>
          <w:b/>
          <w:color w:val="000000" w:themeColor="text1"/>
        </w:rPr>
      </w:pPr>
      <w:r w:rsidRPr="00345AA4">
        <w:rPr>
          <w:rFonts w:ascii="Arial" w:hAnsi="Arial" w:cs="Arial"/>
          <w:b/>
          <w:color w:val="000000" w:themeColor="text1"/>
        </w:rPr>
        <w:t>Devise other options and if warranted, resort to legal means to enforce settlement of accounts including those pertaining to prior years without request for write-off;</w:t>
      </w:r>
    </w:p>
    <w:p w14:paraId="3F93EA48" w14:textId="77777777" w:rsidR="00FD4026" w:rsidRPr="00345AA4" w:rsidRDefault="00FD4026" w:rsidP="00FD4026">
      <w:pPr>
        <w:spacing w:after="0" w:line="240" w:lineRule="auto"/>
        <w:jc w:val="both"/>
        <w:rPr>
          <w:rFonts w:ascii="Arial" w:eastAsia="Times New Roman" w:hAnsi="Arial" w:cs="Arial"/>
          <w:b/>
          <w:color w:val="000000" w:themeColor="text1"/>
        </w:rPr>
      </w:pPr>
    </w:p>
    <w:p w14:paraId="288F9E94" w14:textId="77777777" w:rsidR="00FD4026" w:rsidRPr="00345AA4" w:rsidRDefault="00FD4026" w:rsidP="00CB00A3">
      <w:pPr>
        <w:pStyle w:val="NoSpacing"/>
        <w:numPr>
          <w:ilvl w:val="0"/>
          <w:numId w:val="21"/>
        </w:numPr>
        <w:ind w:left="1276"/>
        <w:jc w:val="both"/>
        <w:rPr>
          <w:rFonts w:ascii="Arial" w:hAnsi="Arial" w:cs="Arial"/>
          <w:b/>
          <w:color w:val="000000" w:themeColor="text1"/>
        </w:rPr>
      </w:pPr>
      <w:r w:rsidRPr="00345AA4">
        <w:rPr>
          <w:rFonts w:ascii="Arial" w:hAnsi="Arial" w:cs="Arial"/>
          <w:b/>
          <w:color w:val="000000" w:themeColor="text1"/>
        </w:rPr>
        <w:t>Document all efforts to collect the dormant accounts; and</w:t>
      </w:r>
    </w:p>
    <w:p w14:paraId="28C3661D" w14:textId="77777777" w:rsidR="00FD4026" w:rsidRPr="00345AA4" w:rsidRDefault="00FD4026" w:rsidP="00FD4026">
      <w:pPr>
        <w:spacing w:after="0" w:line="240" w:lineRule="auto"/>
        <w:jc w:val="both"/>
        <w:rPr>
          <w:rFonts w:ascii="Arial" w:eastAsia="Times New Roman" w:hAnsi="Arial" w:cs="Arial"/>
          <w:b/>
          <w:color w:val="000000" w:themeColor="text1"/>
        </w:rPr>
      </w:pPr>
    </w:p>
    <w:p w14:paraId="6B3131E9" w14:textId="7A040F2E" w:rsidR="00FD4026" w:rsidRPr="00345AA4" w:rsidRDefault="00FD4026" w:rsidP="00CB00A3">
      <w:pPr>
        <w:pStyle w:val="NoSpacing"/>
        <w:numPr>
          <w:ilvl w:val="0"/>
          <w:numId w:val="21"/>
        </w:numPr>
        <w:ind w:left="1276"/>
        <w:jc w:val="both"/>
        <w:rPr>
          <w:rFonts w:ascii="Arial" w:hAnsi="Arial" w:cs="Arial"/>
          <w:color w:val="000000" w:themeColor="text1"/>
        </w:rPr>
      </w:pPr>
      <w:r w:rsidRPr="00345AA4">
        <w:rPr>
          <w:rFonts w:ascii="Arial" w:hAnsi="Arial" w:cs="Arial"/>
          <w:b/>
          <w:color w:val="000000" w:themeColor="text1"/>
        </w:rPr>
        <w:t xml:space="preserve">When all efforts have failed, request the </w:t>
      </w:r>
      <w:r w:rsidR="00AA3BB5">
        <w:rPr>
          <w:rFonts w:ascii="Arial" w:hAnsi="Arial" w:cs="Arial"/>
          <w:b/>
          <w:color w:val="000000" w:themeColor="text1"/>
        </w:rPr>
        <w:t>COA</w:t>
      </w:r>
      <w:r w:rsidRPr="00345AA4">
        <w:rPr>
          <w:rFonts w:ascii="Arial" w:hAnsi="Arial" w:cs="Arial"/>
          <w:b/>
          <w:color w:val="000000" w:themeColor="text1"/>
        </w:rPr>
        <w:t xml:space="preserve"> for write-off as provided for under COA Circular No. 2016-005 dated December 19, 2016.</w:t>
      </w:r>
    </w:p>
    <w:p w14:paraId="5954AD81" w14:textId="77777777" w:rsidR="003A5DFC" w:rsidRPr="00345AA4" w:rsidRDefault="003A5DFC" w:rsidP="001D6E8E">
      <w:pPr>
        <w:rPr>
          <w:rFonts w:ascii="Arial" w:hAnsi="Arial" w:cs="Arial"/>
          <w:b/>
          <w:color w:val="000000" w:themeColor="text1"/>
        </w:rPr>
      </w:pPr>
    </w:p>
    <w:p w14:paraId="2091236E" w14:textId="77777777" w:rsidR="000C3538" w:rsidRPr="00345AA4" w:rsidRDefault="000C3538" w:rsidP="000C3538">
      <w:pPr>
        <w:pStyle w:val="ListParagraph"/>
        <w:numPr>
          <w:ilvl w:val="0"/>
          <w:numId w:val="1"/>
        </w:numPr>
        <w:ind w:left="426" w:hanging="426"/>
        <w:contextualSpacing/>
        <w:jc w:val="both"/>
        <w:rPr>
          <w:rFonts w:ascii="Arial" w:hAnsi="Arial" w:cs="Arial"/>
          <w:b/>
          <w:color w:val="000000" w:themeColor="text1"/>
          <w:sz w:val="22"/>
          <w:szCs w:val="22"/>
        </w:rPr>
      </w:pPr>
      <w:r w:rsidRPr="00345AA4">
        <w:rPr>
          <w:rFonts w:ascii="Arial" w:hAnsi="Arial" w:cs="Arial"/>
          <w:b/>
          <w:color w:val="000000" w:themeColor="text1"/>
          <w:sz w:val="22"/>
          <w:szCs w:val="22"/>
        </w:rPr>
        <w:t xml:space="preserve">The account balance of Unapplied receipts and Deferred credit amounting to P1.683 million and P10.316 million, respectively, under the deposit and other liabilities account, cannot be relied upon because it has been long outstanding with no aging schedule.  Also, </w:t>
      </w:r>
      <w:r w:rsidR="00DB1FE6" w:rsidRPr="00345AA4">
        <w:rPr>
          <w:rFonts w:ascii="Arial" w:hAnsi="Arial" w:cs="Arial"/>
          <w:b/>
          <w:color w:val="000000" w:themeColor="text1"/>
          <w:sz w:val="22"/>
          <w:szCs w:val="22"/>
        </w:rPr>
        <w:t>U</w:t>
      </w:r>
      <w:r w:rsidRPr="00345AA4">
        <w:rPr>
          <w:rFonts w:ascii="Arial" w:hAnsi="Arial" w:cs="Arial"/>
          <w:b/>
          <w:color w:val="000000" w:themeColor="text1"/>
          <w:sz w:val="22"/>
          <w:szCs w:val="22"/>
        </w:rPr>
        <w:t xml:space="preserve">nearned income-commutation </w:t>
      </w:r>
      <w:r w:rsidR="000B1AB2" w:rsidRPr="00345AA4">
        <w:rPr>
          <w:rFonts w:ascii="Arial" w:hAnsi="Arial" w:cs="Arial"/>
          <w:b/>
          <w:color w:val="000000" w:themeColor="text1"/>
          <w:sz w:val="22"/>
          <w:szCs w:val="22"/>
        </w:rPr>
        <w:t xml:space="preserve">account </w:t>
      </w:r>
      <w:r w:rsidRPr="00345AA4">
        <w:rPr>
          <w:rFonts w:ascii="Arial" w:hAnsi="Arial" w:cs="Arial"/>
          <w:b/>
          <w:color w:val="000000" w:themeColor="text1"/>
          <w:sz w:val="22"/>
          <w:szCs w:val="22"/>
        </w:rPr>
        <w:t>has an abnormal balance amounting to P11.388 million.  These are contrary to Section 112 of PD No. 1445 and Paragraph 15 of PAS 1.</w:t>
      </w:r>
    </w:p>
    <w:p w14:paraId="7B08E635" w14:textId="77777777" w:rsidR="000C3538" w:rsidRPr="00345AA4" w:rsidRDefault="000C3538" w:rsidP="000C3538">
      <w:pPr>
        <w:pStyle w:val="ListParagraph"/>
        <w:ind w:left="426"/>
        <w:contextualSpacing/>
        <w:jc w:val="both"/>
        <w:rPr>
          <w:rFonts w:ascii="Arial" w:hAnsi="Arial" w:cs="Arial"/>
          <w:b/>
          <w:color w:val="000000" w:themeColor="text1"/>
          <w:sz w:val="22"/>
          <w:szCs w:val="22"/>
        </w:rPr>
      </w:pPr>
    </w:p>
    <w:p w14:paraId="1F7488C0" w14:textId="77777777" w:rsidR="000C3538" w:rsidRPr="00345AA4" w:rsidRDefault="000C3538" w:rsidP="00DB1FE6">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Section 112 of PD No. 1445 </w:t>
      </w:r>
      <w:r w:rsidR="003A5DFC" w:rsidRPr="00345AA4">
        <w:rPr>
          <w:rFonts w:ascii="Arial" w:hAnsi="Arial" w:cs="Arial"/>
          <w:color w:val="000000" w:themeColor="text1"/>
          <w:sz w:val="22"/>
          <w:szCs w:val="22"/>
        </w:rPr>
        <w:t xml:space="preserve">as cited in Paragraph No. 1.1, </w:t>
      </w:r>
      <w:r w:rsidR="00DB1FE6" w:rsidRPr="00345AA4">
        <w:rPr>
          <w:rFonts w:ascii="Arial" w:hAnsi="Arial" w:cs="Arial"/>
          <w:color w:val="000000" w:themeColor="text1"/>
          <w:sz w:val="22"/>
          <w:szCs w:val="22"/>
        </w:rPr>
        <w:t>hereof</w:t>
      </w:r>
      <w:r w:rsidR="003A5DFC" w:rsidRPr="00345AA4">
        <w:rPr>
          <w:rFonts w:ascii="Arial" w:hAnsi="Arial" w:cs="Arial"/>
          <w:color w:val="000000" w:themeColor="text1"/>
          <w:sz w:val="22"/>
          <w:szCs w:val="22"/>
        </w:rPr>
        <w:t xml:space="preserve"> provides for the guideline on rec</w:t>
      </w:r>
      <w:r w:rsidR="00DB1FE6" w:rsidRPr="00345AA4">
        <w:rPr>
          <w:rFonts w:ascii="Arial" w:hAnsi="Arial" w:cs="Arial"/>
          <w:color w:val="000000" w:themeColor="text1"/>
          <w:sz w:val="22"/>
          <w:szCs w:val="22"/>
        </w:rPr>
        <w:t xml:space="preserve">ording of financial transaction while </w:t>
      </w:r>
      <w:r w:rsidR="000B1AB2" w:rsidRPr="00345AA4">
        <w:rPr>
          <w:rFonts w:ascii="Arial" w:hAnsi="Arial" w:cs="Arial"/>
          <w:color w:val="000000" w:themeColor="text1"/>
          <w:sz w:val="22"/>
          <w:szCs w:val="22"/>
        </w:rPr>
        <w:t>P</w:t>
      </w:r>
      <w:r w:rsidRPr="00345AA4">
        <w:rPr>
          <w:rFonts w:ascii="Arial" w:hAnsi="Arial" w:cs="Arial"/>
          <w:color w:val="000000" w:themeColor="text1"/>
          <w:sz w:val="22"/>
          <w:szCs w:val="22"/>
        </w:rPr>
        <w:t xml:space="preserve">aragraph 15 of PAS 1 as cited in Paragraph No. 1.2, </w:t>
      </w:r>
      <w:r w:rsidR="00866FCD" w:rsidRPr="00345AA4">
        <w:rPr>
          <w:rFonts w:ascii="Arial" w:hAnsi="Arial" w:cs="Arial"/>
          <w:color w:val="000000" w:themeColor="text1"/>
          <w:sz w:val="22"/>
          <w:szCs w:val="22"/>
        </w:rPr>
        <w:t>hereof</w:t>
      </w:r>
      <w:r w:rsidRPr="00345AA4">
        <w:rPr>
          <w:rFonts w:ascii="Arial" w:hAnsi="Arial" w:cs="Arial"/>
          <w:color w:val="000000" w:themeColor="text1"/>
          <w:sz w:val="22"/>
          <w:szCs w:val="22"/>
        </w:rPr>
        <w:t xml:space="preserve"> provides for the requirement of fair presentation and compliance with the PFRS.</w:t>
      </w:r>
    </w:p>
    <w:p w14:paraId="54AEED37" w14:textId="77777777" w:rsidR="000C3538" w:rsidRPr="00345AA4" w:rsidRDefault="000C3538" w:rsidP="000C3538">
      <w:pPr>
        <w:pStyle w:val="ListParagraph"/>
        <w:tabs>
          <w:tab w:val="left" w:pos="990"/>
        </w:tabs>
        <w:ind w:left="900"/>
        <w:contextualSpacing/>
        <w:jc w:val="both"/>
        <w:rPr>
          <w:rFonts w:ascii="Arial" w:hAnsi="Arial" w:cs="Arial"/>
          <w:color w:val="000000" w:themeColor="text1"/>
          <w:sz w:val="22"/>
          <w:szCs w:val="22"/>
        </w:rPr>
      </w:pPr>
    </w:p>
    <w:p w14:paraId="55CF2B0D" w14:textId="6D69F5A2" w:rsidR="000C3538" w:rsidRPr="00345AA4" w:rsidRDefault="00DB1FE6" w:rsidP="000C3538">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The D</w:t>
      </w:r>
      <w:r w:rsidR="000C3538" w:rsidRPr="00345AA4">
        <w:rPr>
          <w:rFonts w:ascii="Arial" w:hAnsi="Arial" w:cs="Arial"/>
          <w:color w:val="000000" w:themeColor="text1"/>
          <w:sz w:val="22"/>
          <w:szCs w:val="22"/>
        </w:rPr>
        <w:t xml:space="preserve">eferred credit account represents billed or collected revenues that are not recognized as income pending completion of the earning process.  On the other hand, the </w:t>
      </w:r>
      <w:r w:rsidR="009F46CB" w:rsidRPr="00345AA4">
        <w:rPr>
          <w:rFonts w:ascii="Arial" w:hAnsi="Arial" w:cs="Arial"/>
          <w:color w:val="000000" w:themeColor="text1"/>
          <w:sz w:val="22"/>
          <w:szCs w:val="22"/>
        </w:rPr>
        <w:t xml:space="preserve">Unapplied </w:t>
      </w:r>
      <w:r w:rsidR="000C3538" w:rsidRPr="00345AA4">
        <w:rPr>
          <w:rFonts w:ascii="Arial" w:hAnsi="Arial" w:cs="Arial"/>
          <w:color w:val="000000" w:themeColor="text1"/>
          <w:sz w:val="22"/>
          <w:szCs w:val="22"/>
        </w:rPr>
        <w:t>receipts account represents collections done over the counter but not y</w:t>
      </w:r>
      <w:r w:rsidRPr="00345AA4">
        <w:rPr>
          <w:rFonts w:ascii="Arial" w:hAnsi="Arial" w:cs="Arial"/>
          <w:color w:val="000000" w:themeColor="text1"/>
          <w:sz w:val="22"/>
          <w:szCs w:val="22"/>
        </w:rPr>
        <w:t xml:space="preserve">et posted in the </w:t>
      </w:r>
      <w:r w:rsidR="00025FEC" w:rsidRPr="00345AA4">
        <w:rPr>
          <w:rFonts w:ascii="Arial" w:hAnsi="Arial" w:cs="Arial"/>
          <w:color w:val="000000" w:themeColor="text1"/>
          <w:sz w:val="22"/>
          <w:szCs w:val="22"/>
        </w:rPr>
        <w:t>GL</w:t>
      </w:r>
      <w:r w:rsidRPr="00345AA4">
        <w:rPr>
          <w:rFonts w:ascii="Arial" w:hAnsi="Arial" w:cs="Arial"/>
          <w:color w:val="000000" w:themeColor="text1"/>
          <w:sz w:val="22"/>
          <w:szCs w:val="22"/>
        </w:rPr>
        <w:t xml:space="preserve"> and SL</w:t>
      </w:r>
      <w:r w:rsidR="000C3538" w:rsidRPr="00345AA4">
        <w:rPr>
          <w:rFonts w:ascii="Arial" w:hAnsi="Arial" w:cs="Arial"/>
          <w:color w:val="000000" w:themeColor="text1"/>
          <w:sz w:val="22"/>
          <w:szCs w:val="22"/>
        </w:rPr>
        <w:t>.</w:t>
      </w:r>
    </w:p>
    <w:p w14:paraId="07B363EC" w14:textId="77777777" w:rsidR="000C3538" w:rsidRPr="00345AA4" w:rsidRDefault="000C3538" w:rsidP="000C3538">
      <w:pPr>
        <w:pStyle w:val="ListParagraph"/>
        <w:tabs>
          <w:tab w:val="left" w:pos="990"/>
        </w:tabs>
        <w:ind w:left="900"/>
        <w:contextualSpacing/>
        <w:jc w:val="both"/>
        <w:rPr>
          <w:rFonts w:ascii="Arial" w:hAnsi="Arial" w:cs="Arial"/>
          <w:color w:val="000000" w:themeColor="text1"/>
          <w:sz w:val="22"/>
          <w:szCs w:val="22"/>
        </w:rPr>
      </w:pPr>
    </w:p>
    <w:p w14:paraId="080D122E" w14:textId="15014549" w:rsidR="000C3538" w:rsidRPr="00345AA4" w:rsidRDefault="000C3538" w:rsidP="000937A5">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Inquiry with Management revealed that majority of the transactions related to </w:t>
      </w:r>
      <w:r w:rsidR="009F46CB" w:rsidRPr="00345AA4">
        <w:rPr>
          <w:rFonts w:ascii="Arial" w:hAnsi="Arial" w:cs="Arial"/>
          <w:color w:val="000000" w:themeColor="text1"/>
          <w:sz w:val="22"/>
          <w:szCs w:val="22"/>
        </w:rPr>
        <w:t xml:space="preserve">Deferred </w:t>
      </w:r>
      <w:r w:rsidRPr="00345AA4">
        <w:rPr>
          <w:rFonts w:ascii="Arial" w:hAnsi="Arial" w:cs="Arial"/>
          <w:color w:val="000000" w:themeColor="text1"/>
          <w:sz w:val="22"/>
          <w:szCs w:val="22"/>
        </w:rPr>
        <w:t>credit account pertain to the sale of real estate inventories where recognition of income from sale of inventories was deferred pending completion of the 30 per cent down payment.</w:t>
      </w:r>
    </w:p>
    <w:p w14:paraId="787F2016" w14:textId="77777777" w:rsidR="000C3538" w:rsidRPr="00345AA4" w:rsidRDefault="000C3538" w:rsidP="000C3538">
      <w:pPr>
        <w:pStyle w:val="ListParagraph"/>
        <w:tabs>
          <w:tab w:val="left" w:pos="990"/>
        </w:tabs>
        <w:ind w:left="900"/>
        <w:contextualSpacing/>
        <w:jc w:val="both"/>
        <w:rPr>
          <w:rFonts w:ascii="Arial" w:hAnsi="Arial" w:cs="Arial"/>
          <w:color w:val="000000" w:themeColor="text1"/>
          <w:sz w:val="22"/>
          <w:szCs w:val="22"/>
        </w:rPr>
      </w:pPr>
    </w:p>
    <w:p w14:paraId="3FFEE0BB" w14:textId="2D8DD04E" w:rsidR="000C3538" w:rsidRPr="00345AA4" w:rsidRDefault="000C3538" w:rsidP="000C3538">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Likewise, examination of records disclosed that as at December 31, 2019, </w:t>
      </w:r>
      <w:r w:rsidR="009F46CB" w:rsidRPr="00345AA4">
        <w:rPr>
          <w:rFonts w:ascii="Arial" w:hAnsi="Arial" w:cs="Arial"/>
          <w:color w:val="000000" w:themeColor="text1"/>
          <w:sz w:val="22"/>
          <w:szCs w:val="22"/>
        </w:rPr>
        <w:t xml:space="preserve">Unapplied </w:t>
      </w:r>
      <w:r w:rsidRPr="00345AA4">
        <w:rPr>
          <w:rFonts w:ascii="Arial" w:hAnsi="Arial" w:cs="Arial"/>
          <w:color w:val="000000" w:themeColor="text1"/>
          <w:sz w:val="22"/>
          <w:szCs w:val="22"/>
        </w:rPr>
        <w:t xml:space="preserve">receipts and </w:t>
      </w:r>
      <w:r w:rsidR="009F46CB" w:rsidRPr="00345AA4">
        <w:rPr>
          <w:rFonts w:ascii="Arial" w:hAnsi="Arial" w:cs="Arial"/>
          <w:color w:val="000000" w:themeColor="text1"/>
          <w:sz w:val="22"/>
          <w:szCs w:val="22"/>
        </w:rPr>
        <w:t xml:space="preserve">Deferred </w:t>
      </w:r>
      <w:r w:rsidRPr="00345AA4">
        <w:rPr>
          <w:rFonts w:ascii="Arial" w:hAnsi="Arial" w:cs="Arial"/>
          <w:color w:val="000000" w:themeColor="text1"/>
          <w:sz w:val="22"/>
          <w:szCs w:val="22"/>
        </w:rPr>
        <w:t xml:space="preserve">accounts amounting to P1.683 million and P10.316 million, respectively, have been outstanding since 2015 and 2017, respectively, to which no reversion, adjustment or transaction was recorded in the </w:t>
      </w:r>
      <w:r w:rsidR="00447B23" w:rsidRPr="00345AA4">
        <w:rPr>
          <w:rFonts w:ascii="Arial" w:hAnsi="Arial" w:cs="Arial"/>
          <w:color w:val="000000" w:themeColor="text1"/>
          <w:sz w:val="22"/>
          <w:szCs w:val="22"/>
        </w:rPr>
        <w:t>SL</w:t>
      </w:r>
      <w:r w:rsidRPr="00345AA4">
        <w:rPr>
          <w:rFonts w:ascii="Arial" w:hAnsi="Arial" w:cs="Arial"/>
          <w:color w:val="000000" w:themeColor="text1"/>
          <w:sz w:val="22"/>
          <w:szCs w:val="22"/>
        </w:rPr>
        <w:t xml:space="preserve"> and no aging schedule is prepared.</w:t>
      </w:r>
    </w:p>
    <w:p w14:paraId="30003FC6" w14:textId="77777777" w:rsidR="000C3538" w:rsidRPr="00345AA4" w:rsidRDefault="000C3538" w:rsidP="000C3538">
      <w:pPr>
        <w:pStyle w:val="ListParagraph"/>
        <w:tabs>
          <w:tab w:val="left" w:pos="990"/>
        </w:tabs>
        <w:ind w:left="900"/>
        <w:contextualSpacing/>
        <w:jc w:val="both"/>
        <w:rPr>
          <w:rFonts w:ascii="Arial" w:hAnsi="Arial" w:cs="Arial"/>
          <w:color w:val="000000" w:themeColor="text1"/>
          <w:sz w:val="22"/>
          <w:szCs w:val="22"/>
        </w:rPr>
      </w:pPr>
    </w:p>
    <w:p w14:paraId="149B609B" w14:textId="3B00C8F2" w:rsidR="000C3538" w:rsidRPr="00345AA4" w:rsidRDefault="000C3538" w:rsidP="000C3538">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Considering the length of time that </w:t>
      </w:r>
      <w:r w:rsidR="009F46CB" w:rsidRPr="00345AA4">
        <w:rPr>
          <w:rFonts w:ascii="Arial" w:hAnsi="Arial" w:cs="Arial"/>
          <w:color w:val="000000" w:themeColor="text1"/>
          <w:sz w:val="22"/>
          <w:szCs w:val="22"/>
        </w:rPr>
        <w:t xml:space="preserve">has </w:t>
      </w:r>
      <w:r w:rsidRPr="00345AA4">
        <w:rPr>
          <w:rFonts w:ascii="Arial" w:hAnsi="Arial" w:cs="Arial"/>
          <w:color w:val="000000" w:themeColor="text1"/>
          <w:sz w:val="22"/>
          <w:szCs w:val="22"/>
        </w:rPr>
        <w:t xml:space="preserve">elapsed, and if these payables are valid and supported with complete documents then, there is no reason </w:t>
      </w:r>
      <w:r w:rsidR="009F46CB" w:rsidRPr="00345AA4">
        <w:rPr>
          <w:rFonts w:ascii="Arial" w:hAnsi="Arial" w:cs="Arial"/>
          <w:color w:val="000000" w:themeColor="text1"/>
          <w:sz w:val="22"/>
          <w:szCs w:val="22"/>
        </w:rPr>
        <w:t xml:space="preserve">why </w:t>
      </w:r>
      <w:r w:rsidRPr="00345AA4">
        <w:rPr>
          <w:rFonts w:ascii="Arial" w:hAnsi="Arial" w:cs="Arial"/>
          <w:color w:val="000000" w:themeColor="text1"/>
          <w:sz w:val="22"/>
          <w:szCs w:val="22"/>
        </w:rPr>
        <w:t>the same were not posted to individual SLs.</w:t>
      </w:r>
    </w:p>
    <w:p w14:paraId="27D5CD56" w14:textId="77777777" w:rsidR="000C3538" w:rsidRPr="00345AA4" w:rsidRDefault="000C3538" w:rsidP="000C3538">
      <w:pPr>
        <w:pStyle w:val="ListParagraph"/>
        <w:ind w:left="851"/>
        <w:jc w:val="both"/>
        <w:rPr>
          <w:rFonts w:ascii="Arial" w:hAnsi="Arial" w:cs="Arial"/>
          <w:color w:val="000000" w:themeColor="text1"/>
          <w:sz w:val="22"/>
          <w:szCs w:val="22"/>
        </w:rPr>
      </w:pPr>
    </w:p>
    <w:p w14:paraId="50332A77" w14:textId="22B48C6A" w:rsidR="000C3538" w:rsidRPr="00345AA4" w:rsidRDefault="000C3538" w:rsidP="00DC4B32">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Furthermore, the </w:t>
      </w:r>
      <w:r w:rsidR="009F46CB" w:rsidRPr="00345AA4">
        <w:rPr>
          <w:rFonts w:ascii="Arial" w:hAnsi="Arial" w:cs="Arial"/>
          <w:color w:val="000000" w:themeColor="text1"/>
          <w:sz w:val="22"/>
          <w:szCs w:val="22"/>
        </w:rPr>
        <w:t xml:space="preserve">Unearned </w:t>
      </w:r>
      <w:r w:rsidRPr="00345AA4">
        <w:rPr>
          <w:rFonts w:ascii="Arial" w:hAnsi="Arial" w:cs="Arial"/>
          <w:color w:val="000000" w:themeColor="text1"/>
          <w:sz w:val="22"/>
          <w:szCs w:val="22"/>
        </w:rPr>
        <w:t xml:space="preserve">income-commutation </w:t>
      </w:r>
      <w:r w:rsidR="009F46CB" w:rsidRPr="00345AA4">
        <w:rPr>
          <w:rFonts w:ascii="Arial" w:hAnsi="Arial" w:cs="Arial"/>
          <w:color w:val="000000" w:themeColor="text1"/>
          <w:sz w:val="22"/>
          <w:szCs w:val="22"/>
        </w:rPr>
        <w:t xml:space="preserve">account </w:t>
      </w:r>
      <w:r w:rsidRPr="00345AA4">
        <w:rPr>
          <w:rFonts w:ascii="Arial" w:hAnsi="Arial" w:cs="Arial"/>
          <w:color w:val="000000" w:themeColor="text1"/>
          <w:sz w:val="22"/>
          <w:szCs w:val="22"/>
        </w:rPr>
        <w:t xml:space="preserve">represents interest income that </w:t>
      </w:r>
      <w:r w:rsidR="00155D8D" w:rsidRPr="00345AA4">
        <w:rPr>
          <w:rFonts w:ascii="Arial" w:hAnsi="Arial" w:cs="Arial"/>
          <w:color w:val="000000" w:themeColor="text1"/>
          <w:sz w:val="22"/>
          <w:szCs w:val="22"/>
        </w:rPr>
        <w:t>was</w:t>
      </w:r>
      <w:r w:rsidRPr="00345AA4">
        <w:rPr>
          <w:rFonts w:ascii="Arial" w:hAnsi="Arial" w:cs="Arial"/>
          <w:color w:val="000000" w:themeColor="text1"/>
          <w:sz w:val="22"/>
          <w:szCs w:val="22"/>
        </w:rPr>
        <w:t xml:space="preserve"> deducted in advance from the loan proceeds of the members in relation to the discounting of commutation of leave credits.  It is being </w:t>
      </w:r>
      <w:r w:rsidRPr="00345AA4">
        <w:rPr>
          <w:rFonts w:ascii="Arial" w:hAnsi="Arial" w:cs="Arial"/>
          <w:color w:val="000000" w:themeColor="text1"/>
          <w:sz w:val="22"/>
          <w:szCs w:val="22"/>
        </w:rPr>
        <w:lastRenderedPageBreak/>
        <w:t xml:space="preserve">amortized monthly depending on the term of the loan.  Verification of records disclosed that the reported balance of </w:t>
      </w:r>
      <w:r w:rsidR="00FD2BCD" w:rsidRPr="00345AA4">
        <w:rPr>
          <w:rFonts w:ascii="Arial" w:hAnsi="Arial" w:cs="Arial"/>
          <w:color w:val="000000" w:themeColor="text1"/>
          <w:sz w:val="22"/>
          <w:szCs w:val="22"/>
        </w:rPr>
        <w:t xml:space="preserve">unearned </w:t>
      </w:r>
      <w:r w:rsidRPr="00345AA4">
        <w:rPr>
          <w:rFonts w:ascii="Arial" w:hAnsi="Arial" w:cs="Arial"/>
          <w:color w:val="000000" w:themeColor="text1"/>
          <w:sz w:val="22"/>
          <w:szCs w:val="22"/>
        </w:rPr>
        <w:t xml:space="preserve">income-commutation under </w:t>
      </w:r>
      <w:r w:rsidR="00FD2BCD" w:rsidRPr="00345AA4">
        <w:rPr>
          <w:rFonts w:ascii="Arial" w:hAnsi="Arial" w:cs="Arial"/>
          <w:color w:val="000000" w:themeColor="text1"/>
          <w:sz w:val="22"/>
          <w:szCs w:val="22"/>
        </w:rPr>
        <w:t xml:space="preserve">Deposits </w:t>
      </w:r>
      <w:r w:rsidRPr="00345AA4">
        <w:rPr>
          <w:rFonts w:ascii="Arial" w:hAnsi="Arial" w:cs="Arial"/>
          <w:color w:val="000000" w:themeColor="text1"/>
          <w:sz w:val="22"/>
          <w:szCs w:val="22"/>
        </w:rPr>
        <w:t xml:space="preserve">and other liabilities account has a debit balance of P11.388 million as at December 31, 2019. </w:t>
      </w:r>
      <w:r w:rsidR="00DC4B32" w:rsidRPr="00345AA4">
        <w:rPr>
          <w:rFonts w:ascii="Arial" w:hAnsi="Arial" w:cs="Arial"/>
          <w:color w:val="000000" w:themeColor="text1"/>
          <w:sz w:val="22"/>
          <w:szCs w:val="22"/>
        </w:rPr>
        <w:t xml:space="preserve"> </w:t>
      </w:r>
      <w:r w:rsidRPr="00345AA4">
        <w:rPr>
          <w:rFonts w:ascii="Arial" w:hAnsi="Arial" w:cs="Arial"/>
          <w:color w:val="000000" w:themeColor="text1"/>
          <w:sz w:val="22"/>
          <w:szCs w:val="22"/>
        </w:rPr>
        <w:t>The failure to set-up the unearned income upon the granting of loan while continuously amortiz</w:t>
      </w:r>
      <w:r w:rsidR="00E91A80" w:rsidRPr="00345AA4">
        <w:rPr>
          <w:rFonts w:ascii="Arial" w:hAnsi="Arial" w:cs="Arial"/>
          <w:color w:val="000000" w:themeColor="text1"/>
          <w:sz w:val="22"/>
          <w:szCs w:val="22"/>
        </w:rPr>
        <w:t>ing the same monthly resulted in</w:t>
      </w:r>
      <w:r w:rsidRPr="00345AA4">
        <w:rPr>
          <w:rFonts w:ascii="Arial" w:hAnsi="Arial" w:cs="Arial"/>
          <w:color w:val="000000" w:themeColor="text1"/>
          <w:sz w:val="22"/>
          <w:szCs w:val="22"/>
        </w:rPr>
        <w:t xml:space="preserve"> the abnormal balance of the account. </w:t>
      </w:r>
    </w:p>
    <w:p w14:paraId="55F10958" w14:textId="77777777" w:rsidR="000C3538" w:rsidRPr="00345AA4" w:rsidRDefault="000C3538" w:rsidP="000C3538">
      <w:pPr>
        <w:pStyle w:val="ListParagraph"/>
        <w:tabs>
          <w:tab w:val="left" w:pos="990"/>
        </w:tabs>
        <w:ind w:left="900"/>
        <w:contextualSpacing/>
        <w:jc w:val="both"/>
        <w:rPr>
          <w:rFonts w:ascii="Arial" w:hAnsi="Arial" w:cs="Arial"/>
          <w:color w:val="000000" w:themeColor="text1"/>
          <w:sz w:val="22"/>
          <w:szCs w:val="22"/>
        </w:rPr>
      </w:pPr>
    </w:p>
    <w:p w14:paraId="1B006750" w14:textId="037B786E" w:rsidR="000C3538" w:rsidRPr="00345AA4" w:rsidRDefault="000C3538" w:rsidP="000C3538">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Inquiry with Management disclosed that continuous reconciliation is being made in order to account the </w:t>
      </w:r>
      <w:r w:rsidR="00155D8D" w:rsidRPr="00345AA4">
        <w:rPr>
          <w:rFonts w:ascii="Arial" w:hAnsi="Arial" w:cs="Arial"/>
          <w:color w:val="000000" w:themeColor="text1"/>
          <w:sz w:val="22"/>
          <w:szCs w:val="22"/>
        </w:rPr>
        <w:t xml:space="preserve">unidentified </w:t>
      </w:r>
      <w:r w:rsidRPr="00345AA4">
        <w:rPr>
          <w:rFonts w:ascii="Arial" w:hAnsi="Arial" w:cs="Arial"/>
          <w:color w:val="000000" w:themeColor="text1"/>
          <w:sz w:val="22"/>
          <w:szCs w:val="22"/>
        </w:rPr>
        <w:t xml:space="preserve">transactions which were credited to the bank account.  Likewise, the P11.388 million debit balance of </w:t>
      </w:r>
      <w:r w:rsidR="00FD2BCD" w:rsidRPr="00345AA4">
        <w:rPr>
          <w:rFonts w:ascii="Arial" w:hAnsi="Arial" w:cs="Arial"/>
          <w:color w:val="000000" w:themeColor="text1"/>
          <w:sz w:val="22"/>
          <w:szCs w:val="22"/>
        </w:rPr>
        <w:t xml:space="preserve">Unearned </w:t>
      </w:r>
      <w:r w:rsidRPr="00345AA4">
        <w:rPr>
          <w:rFonts w:ascii="Arial" w:hAnsi="Arial" w:cs="Arial"/>
          <w:color w:val="000000" w:themeColor="text1"/>
          <w:sz w:val="22"/>
          <w:szCs w:val="22"/>
        </w:rPr>
        <w:t xml:space="preserve">income-commutation is still being reconciled by AD and any adjustment/(s) will be made based on the result of the reconciliation.  However, they are having </w:t>
      </w:r>
      <w:r w:rsidR="000141DC" w:rsidRPr="00345AA4">
        <w:rPr>
          <w:rFonts w:ascii="Arial" w:hAnsi="Arial" w:cs="Arial"/>
          <w:color w:val="000000" w:themeColor="text1"/>
          <w:sz w:val="22"/>
          <w:szCs w:val="22"/>
        </w:rPr>
        <w:t>difficulty in</w:t>
      </w:r>
      <w:r w:rsidRPr="00345AA4">
        <w:rPr>
          <w:rFonts w:ascii="Arial" w:hAnsi="Arial" w:cs="Arial"/>
          <w:color w:val="000000" w:themeColor="text1"/>
          <w:sz w:val="22"/>
          <w:szCs w:val="22"/>
        </w:rPr>
        <w:t xml:space="preserve"> </w:t>
      </w:r>
      <w:r w:rsidR="00FD2BCD" w:rsidRPr="00345AA4">
        <w:rPr>
          <w:rFonts w:ascii="Arial" w:hAnsi="Arial" w:cs="Arial"/>
          <w:color w:val="000000" w:themeColor="text1"/>
          <w:sz w:val="22"/>
          <w:szCs w:val="22"/>
        </w:rPr>
        <w:t xml:space="preserve">the </w:t>
      </w:r>
      <w:r w:rsidRPr="00345AA4">
        <w:rPr>
          <w:rFonts w:ascii="Arial" w:hAnsi="Arial" w:cs="Arial"/>
          <w:color w:val="000000" w:themeColor="text1"/>
          <w:sz w:val="22"/>
          <w:szCs w:val="22"/>
        </w:rPr>
        <w:t>reconci</w:t>
      </w:r>
      <w:r w:rsidR="000141DC" w:rsidRPr="00345AA4">
        <w:rPr>
          <w:rFonts w:ascii="Arial" w:hAnsi="Arial" w:cs="Arial"/>
          <w:color w:val="000000" w:themeColor="text1"/>
          <w:sz w:val="22"/>
          <w:szCs w:val="22"/>
        </w:rPr>
        <w:t>liation</w:t>
      </w:r>
      <w:r w:rsidRPr="00345AA4">
        <w:rPr>
          <w:rFonts w:ascii="Arial" w:hAnsi="Arial" w:cs="Arial"/>
          <w:color w:val="000000" w:themeColor="text1"/>
          <w:sz w:val="22"/>
          <w:szCs w:val="22"/>
        </w:rPr>
        <w:t xml:space="preserve"> since most of the entries were created in the previous accounting system.</w:t>
      </w:r>
    </w:p>
    <w:p w14:paraId="79882294" w14:textId="77777777" w:rsidR="000C3538" w:rsidRPr="00345AA4" w:rsidRDefault="000C3538" w:rsidP="000C3538">
      <w:pPr>
        <w:pStyle w:val="ListParagraph"/>
        <w:tabs>
          <w:tab w:val="left" w:pos="990"/>
        </w:tabs>
        <w:ind w:left="900"/>
        <w:contextualSpacing/>
        <w:jc w:val="both"/>
        <w:rPr>
          <w:rFonts w:ascii="Arial" w:hAnsi="Arial" w:cs="Arial"/>
          <w:color w:val="000000" w:themeColor="text1"/>
          <w:sz w:val="22"/>
          <w:szCs w:val="22"/>
        </w:rPr>
      </w:pPr>
    </w:p>
    <w:p w14:paraId="76A382A5" w14:textId="7DA4465A" w:rsidR="000C3538" w:rsidRPr="00345AA4" w:rsidRDefault="000C3538" w:rsidP="000C3538">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The presence of long outstanding </w:t>
      </w:r>
      <w:r w:rsidR="00FD2BCD" w:rsidRPr="00345AA4">
        <w:rPr>
          <w:rFonts w:ascii="Arial" w:hAnsi="Arial" w:cs="Arial"/>
          <w:color w:val="000000" w:themeColor="text1"/>
          <w:sz w:val="22"/>
          <w:szCs w:val="22"/>
        </w:rPr>
        <w:t xml:space="preserve">Deposits </w:t>
      </w:r>
      <w:r w:rsidRPr="00345AA4">
        <w:rPr>
          <w:rFonts w:ascii="Arial" w:hAnsi="Arial" w:cs="Arial"/>
          <w:color w:val="000000" w:themeColor="text1"/>
          <w:sz w:val="22"/>
          <w:szCs w:val="22"/>
        </w:rPr>
        <w:t xml:space="preserve">and other liabilities account with no aging schedule or </w:t>
      </w:r>
      <w:r w:rsidR="00674370" w:rsidRPr="00345AA4">
        <w:rPr>
          <w:rFonts w:ascii="Arial" w:hAnsi="Arial" w:cs="Arial"/>
          <w:color w:val="000000" w:themeColor="text1"/>
          <w:sz w:val="22"/>
          <w:szCs w:val="22"/>
        </w:rPr>
        <w:t xml:space="preserve">subsequent </w:t>
      </w:r>
      <w:r w:rsidRPr="00345AA4">
        <w:rPr>
          <w:rFonts w:ascii="Arial" w:hAnsi="Arial" w:cs="Arial"/>
          <w:color w:val="000000" w:themeColor="text1"/>
          <w:sz w:val="22"/>
          <w:szCs w:val="22"/>
        </w:rPr>
        <w:t xml:space="preserve">transactions recorded in the SL </w:t>
      </w:r>
      <w:r w:rsidR="00674370" w:rsidRPr="00345AA4">
        <w:rPr>
          <w:rFonts w:ascii="Arial" w:hAnsi="Arial" w:cs="Arial"/>
          <w:color w:val="000000" w:themeColor="text1"/>
          <w:sz w:val="22"/>
          <w:szCs w:val="22"/>
        </w:rPr>
        <w:t xml:space="preserve">and of </w:t>
      </w:r>
      <w:r w:rsidRPr="00345AA4">
        <w:rPr>
          <w:rFonts w:ascii="Arial" w:hAnsi="Arial" w:cs="Arial"/>
          <w:color w:val="000000" w:themeColor="text1"/>
          <w:sz w:val="22"/>
          <w:szCs w:val="22"/>
        </w:rPr>
        <w:t xml:space="preserve">the abnormal balance of </w:t>
      </w:r>
      <w:r w:rsidR="00FD2BCD" w:rsidRPr="00345AA4">
        <w:rPr>
          <w:rFonts w:ascii="Arial" w:hAnsi="Arial" w:cs="Arial"/>
          <w:color w:val="000000" w:themeColor="text1"/>
          <w:sz w:val="22"/>
          <w:szCs w:val="22"/>
        </w:rPr>
        <w:t xml:space="preserve">Unearned </w:t>
      </w:r>
      <w:r w:rsidRPr="00345AA4">
        <w:rPr>
          <w:rFonts w:ascii="Arial" w:hAnsi="Arial" w:cs="Arial"/>
          <w:color w:val="000000" w:themeColor="text1"/>
          <w:sz w:val="22"/>
          <w:szCs w:val="22"/>
        </w:rPr>
        <w:t>income</w:t>
      </w:r>
      <w:r w:rsidR="00FD2BCD" w:rsidRPr="00345AA4">
        <w:rPr>
          <w:rFonts w:ascii="Arial" w:hAnsi="Arial" w:cs="Arial"/>
          <w:color w:val="000000" w:themeColor="text1"/>
          <w:sz w:val="22"/>
          <w:szCs w:val="22"/>
        </w:rPr>
        <w:t>-</w:t>
      </w:r>
      <w:r w:rsidRPr="00345AA4">
        <w:rPr>
          <w:rFonts w:ascii="Arial" w:hAnsi="Arial" w:cs="Arial"/>
          <w:color w:val="000000" w:themeColor="text1"/>
          <w:sz w:val="22"/>
          <w:szCs w:val="22"/>
        </w:rPr>
        <w:t xml:space="preserve">commutation account cast doubt </w:t>
      </w:r>
      <w:r w:rsidR="00FD2BCD" w:rsidRPr="00345AA4">
        <w:rPr>
          <w:rFonts w:ascii="Arial" w:hAnsi="Arial" w:cs="Arial"/>
          <w:color w:val="000000" w:themeColor="text1"/>
          <w:sz w:val="22"/>
          <w:szCs w:val="22"/>
        </w:rPr>
        <w:t xml:space="preserve">on </w:t>
      </w:r>
      <w:r w:rsidRPr="00345AA4">
        <w:rPr>
          <w:rFonts w:ascii="Arial" w:hAnsi="Arial" w:cs="Arial"/>
          <w:color w:val="000000" w:themeColor="text1"/>
          <w:sz w:val="22"/>
          <w:szCs w:val="22"/>
        </w:rPr>
        <w:t xml:space="preserve">the reliability and accuracy of the respective accounts as reflected in the </w:t>
      </w:r>
      <w:r w:rsidR="00FD2BCD" w:rsidRPr="00345AA4">
        <w:rPr>
          <w:rFonts w:ascii="Arial" w:hAnsi="Arial" w:cs="Arial"/>
          <w:color w:val="000000" w:themeColor="text1"/>
          <w:sz w:val="22"/>
          <w:szCs w:val="22"/>
        </w:rPr>
        <w:t>SFP</w:t>
      </w:r>
      <w:r w:rsidRPr="00345AA4">
        <w:rPr>
          <w:rFonts w:ascii="Arial" w:hAnsi="Arial" w:cs="Arial"/>
          <w:color w:val="000000" w:themeColor="text1"/>
          <w:sz w:val="22"/>
          <w:szCs w:val="22"/>
        </w:rPr>
        <w:t>.</w:t>
      </w:r>
    </w:p>
    <w:p w14:paraId="79D7EFF2" w14:textId="77777777" w:rsidR="000C3538" w:rsidRPr="00345AA4" w:rsidRDefault="000C3538" w:rsidP="000C3538">
      <w:pPr>
        <w:pStyle w:val="ListParagraph"/>
        <w:tabs>
          <w:tab w:val="left" w:pos="990"/>
        </w:tabs>
        <w:ind w:left="900"/>
        <w:contextualSpacing/>
        <w:jc w:val="both"/>
        <w:rPr>
          <w:rFonts w:ascii="Arial" w:hAnsi="Arial" w:cs="Arial"/>
          <w:color w:val="000000" w:themeColor="text1"/>
          <w:sz w:val="22"/>
          <w:szCs w:val="22"/>
        </w:rPr>
      </w:pPr>
    </w:p>
    <w:p w14:paraId="6C1D086E" w14:textId="77777777" w:rsidR="000C3538" w:rsidRPr="00345AA4" w:rsidRDefault="00DB1FE6" w:rsidP="000C3538">
      <w:pPr>
        <w:pStyle w:val="ListParagraph"/>
        <w:numPr>
          <w:ilvl w:val="1"/>
          <w:numId w:val="1"/>
        </w:numPr>
        <w:tabs>
          <w:tab w:val="left" w:pos="990"/>
        </w:tabs>
        <w:ind w:left="900" w:hanging="540"/>
        <w:contextualSpacing/>
        <w:jc w:val="both"/>
        <w:rPr>
          <w:rFonts w:ascii="Arial" w:hAnsi="Arial" w:cs="Arial"/>
          <w:b/>
          <w:color w:val="000000" w:themeColor="text1"/>
          <w:sz w:val="22"/>
          <w:szCs w:val="22"/>
        </w:rPr>
      </w:pPr>
      <w:r w:rsidRPr="00345AA4">
        <w:rPr>
          <w:rFonts w:ascii="Arial" w:hAnsi="Arial" w:cs="Arial"/>
          <w:b/>
          <w:color w:val="000000" w:themeColor="text1"/>
          <w:sz w:val="22"/>
          <w:szCs w:val="22"/>
        </w:rPr>
        <w:t>We recommended and</w:t>
      </w:r>
      <w:r w:rsidR="000C3538" w:rsidRPr="00345AA4">
        <w:rPr>
          <w:rFonts w:ascii="Arial" w:hAnsi="Arial" w:cs="Arial"/>
          <w:b/>
          <w:color w:val="000000" w:themeColor="text1"/>
          <w:sz w:val="22"/>
          <w:szCs w:val="22"/>
        </w:rPr>
        <w:t xml:space="preserve"> Management agreed to:</w:t>
      </w:r>
    </w:p>
    <w:p w14:paraId="30D944FF" w14:textId="77777777" w:rsidR="000C3538" w:rsidRPr="00345AA4" w:rsidRDefault="000C3538" w:rsidP="000C3538">
      <w:pPr>
        <w:pStyle w:val="ListParagraph"/>
        <w:tabs>
          <w:tab w:val="left" w:pos="990"/>
        </w:tabs>
        <w:ind w:left="900"/>
        <w:contextualSpacing/>
        <w:jc w:val="both"/>
        <w:rPr>
          <w:rFonts w:ascii="Arial" w:hAnsi="Arial" w:cs="Arial"/>
          <w:b/>
          <w:color w:val="000000" w:themeColor="text1"/>
          <w:sz w:val="22"/>
          <w:szCs w:val="22"/>
        </w:rPr>
      </w:pPr>
    </w:p>
    <w:p w14:paraId="1A38A6CF" w14:textId="32C7D719" w:rsidR="000C3538" w:rsidRPr="00345AA4" w:rsidRDefault="000C3538" w:rsidP="00CB00A3">
      <w:pPr>
        <w:pStyle w:val="NoSpacing"/>
        <w:numPr>
          <w:ilvl w:val="0"/>
          <w:numId w:val="20"/>
        </w:numPr>
        <w:jc w:val="both"/>
        <w:rPr>
          <w:rFonts w:ascii="Arial" w:hAnsi="Arial" w:cs="Arial"/>
          <w:b/>
          <w:color w:val="000000" w:themeColor="text1"/>
        </w:rPr>
      </w:pPr>
      <w:r w:rsidRPr="00345AA4">
        <w:rPr>
          <w:rFonts w:ascii="Arial" w:hAnsi="Arial" w:cs="Arial"/>
          <w:b/>
          <w:color w:val="000000" w:themeColor="text1"/>
        </w:rPr>
        <w:t xml:space="preserve">Review documents supporting the payables to determine </w:t>
      </w:r>
      <w:r w:rsidR="00674370" w:rsidRPr="00345AA4">
        <w:rPr>
          <w:rFonts w:ascii="Arial" w:hAnsi="Arial" w:cs="Arial"/>
          <w:b/>
          <w:color w:val="000000" w:themeColor="text1"/>
        </w:rPr>
        <w:t>their validity and completeness and</w:t>
      </w:r>
      <w:r w:rsidRPr="00345AA4">
        <w:rPr>
          <w:rFonts w:ascii="Arial" w:hAnsi="Arial" w:cs="Arial"/>
          <w:b/>
          <w:color w:val="000000" w:themeColor="text1"/>
        </w:rPr>
        <w:t xml:space="preserve"> recognize </w:t>
      </w:r>
      <w:r w:rsidR="00155D8D" w:rsidRPr="00345AA4">
        <w:rPr>
          <w:rFonts w:ascii="Arial" w:hAnsi="Arial" w:cs="Arial"/>
          <w:b/>
          <w:color w:val="000000" w:themeColor="text1"/>
        </w:rPr>
        <w:t xml:space="preserve">all the undocumented payables which have been long outstanding </w:t>
      </w:r>
      <w:r w:rsidRPr="00345AA4">
        <w:rPr>
          <w:rFonts w:ascii="Arial" w:hAnsi="Arial" w:cs="Arial"/>
          <w:b/>
          <w:color w:val="000000" w:themeColor="text1"/>
        </w:rPr>
        <w:t>as income;</w:t>
      </w:r>
    </w:p>
    <w:p w14:paraId="0A640135" w14:textId="77777777" w:rsidR="000C3538" w:rsidRPr="00345AA4" w:rsidRDefault="000C3538" w:rsidP="000C3538">
      <w:pPr>
        <w:pStyle w:val="NoSpacing"/>
        <w:ind w:left="1276"/>
        <w:jc w:val="both"/>
        <w:rPr>
          <w:rFonts w:ascii="Arial" w:hAnsi="Arial" w:cs="Arial"/>
          <w:b/>
          <w:color w:val="000000" w:themeColor="text1"/>
        </w:rPr>
      </w:pPr>
    </w:p>
    <w:p w14:paraId="398F15F6" w14:textId="222BF803" w:rsidR="000C3538" w:rsidRPr="00345AA4" w:rsidRDefault="000C3538" w:rsidP="00CB00A3">
      <w:pPr>
        <w:pStyle w:val="NoSpacing"/>
        <w:numPr>
          <w:ilvl w:val="0"/>
          <w:numId w:val="20"/>
        </w:numPr>
        <w:ind w:left="1276"/>
        <w:jc w:val="both"/>
        <w:rPr>
          <w:rFonts w:ascii="Arial" w:hAnsi="Arial" w:cs="Arial"/>
          <w:b/>
          <w:color w:val="000000" w:themeColor="text1"/>
        </w:rPr>
      </w:pPr>
      <w:r w:rsidRPr="00345AA4">
        <w:rPr>
          <w:rFonts w:ascii="Arial" w:hAnsi="Arial" w:cs="Arial"/>
          <w:b/>
          <w:color w:val="000000" w:themeColor="text1"/>
        </w:rPr>
        <w:t xml:space="preserve">Make the necessary adjusting entries in the books as a result of the reconciliation for fair presentation of the accounts in the </w:t>
      </w:r>
      <w:r w:rsidR="00FD2BCD" w:rsidRPr="00345AA4">
        <w:rPr>
          <w:rFonts w:ascii="Arial" w:hAnsi="Arial" w:cs="Arial"/>
          <w:b/>
          <w:color w:val="000000" w:themeColor="text1"/>
        </w:rPr>
        <w:t>FS</w:t>
      </w:r>
      <w:r w:rsidRPr="00345AA4">
        <w:rPr>
          <w:rFonts w:ascii="Arial" w:hAnsi="Arial" w:cs="Arial"/>
          <w:b/>
          <w:color w:val="000000" w:themeColor="text1"/>
        </w:rPr>
        <w:t>;</w:t>
      </w:r>
    </w:p>
    <w:p w14:paraId="414A51B0" w14:textId="77777777" w:rsidR="000C3538" w:rsidRPr="00345AA4" w:rsidRDefault="000C3538" w:rsidP="000C3538">
      <w:pPr>
        <w:pStyle w:val="NoSpacing"/>
        <w:ind w:left="1276"/>
        <w:jc w:val="both"/>
        <w:rPr>
          <w:rFonts w:ascii="Arial" w:hAnsi="Arial" w:cs="Arial"/>
          <w:b/>
          <w:color w:val="000000" w:themeColor="text1"/>
        </w:rPr>
      </w:pPr>
    </w:p>
    <w:p w14:paraId="5B2CA62D" w14:textId="77777777" w:rsidR="000C3538" w:rsidRPr="00345AA4" w:rsidRDefault="000C3538" w:rsidP="00CB00A3">
      <w:pPr>
        <w:pStyle w:val="NoSpacing"/>
        <w:numPr>
          <w:ilvl w:val="0"/>
          <w:numId w:val="20"/>
        </w:numPr>
        <w:ind w:left="1276"/>
        <w:jc w:val="both"/>
        <w:rPr>
          <w:rFonts w:ascii="Arial" w:hAnsi="Arial" w:cs="Arial"/>
          <w:b/>
          <w:color w:val="000000" w:themeColor="text1"/>
        </w:rPr>
      </w:pPr>
      <w:r w:rsidRPr="00345AA4">
        <w:rPr>
          <w:rFonts w:ascii="Arial" w:hAnsi="Arial" w:cs="Arial"/>
          <w:b/>
          <w:color w:val="000000" w:themeColor="text1"/>
        </w:rPr>
        <w:t>Prepare an aging schedule for the proper recognition of the corresponding income accounts; and</w:t>
      </w:r>
    </w:p>
    <w:p w14:paraId="5AEFF300" w14:textId="77777777" w:rsidR="000C3538" w:rsidRPr="00345AA4" w:rsidRDefault="000C3538" w:rsidP="000C3538">
      <w:pPr>
        <w:pStyle w:val="ListParagraph"/>
        <w:ind w:left="1276"/>
        <w:rPr>
          <w:rFonts w:ascii="Arial" w:hAnsi="Arial" w:cs="Arial"/>
          <w:b/>
          <w:color w:val="000000" w:themeColor="text1"/>
          <w:sz w:val="22"/>
          <w:szCs w:val="22"/>
        </w:rPr>
      </w:pPr>
    </w:p>
    <w:p w14:paraId="424A1AFF" w14:textId="3793AA55" w:rsidR="000C3538" w:rsidRPr="00345AA4" w:rsidRDefault="000C3538" w:rsidP="00CB00A3">
      <w:pPr>
        <w:pStyle w:val="NoSpacing"/>
        <w:numPr>
          <w:ilvl w:val="0"/>
          <w:numId w:val="20"/>
        </w:numPr>
        <w:ind w:left="1276"/>
        <w:jc w:val="both"/>
        <w:rPr>
          <w:rFonts w:ascii="Arial" w:hAnsi="Arial" w:cs="Arial"/>
          <w:b/>
          <w:color w:val="000000" w:themeColor="text1"/>
        </w:rPr>
      </w:pPr>
      <w:r w:rsidRPr="00345AA4">
        <w:rPr>
          <w:rFonts w:ascii="Arial" w:hAnsi="Arial" w:cs="Arial"/>
          <w:b/>
          <w:color w:val="000000" w:themeColor="text1"/>
        </w:rPr>
        <w:t xml:space="preserve">Prepare a timetable </w:t>
      </w:r>
      <w:r w:rsidR="00FD2BCD" w:rsidRPr="00345AA4">
        <w:rPr>
          <w:rFonts w:ascii="Arial" w:hAnsi="Arial" w:cs="Arial"/>
          <w:b/>
          <w:color w:val="000000" w:themeColor="text1"/>
        </w:rPr>
        <w:t xml:space="preserve">for </w:t>
      </w:r>
      <w:r w:rsidRPr="00345AA4">
        <w:rPr>
          <w:rFonts w:ascii="Arial" w:hAnsi="Arial" w:cs="Arial"/>
          <w:b/>
          <w:color w:val="000000" w:themeColor="text1"/>
        </w:rPr>
        <w:t xml:space="preserve">the reconciliation of the debit balance </w:t>
      </w:r>
      <w:r w:rsidR="008F5CBA" w:rsidRPr="00345AA4">
        <w:rPr>
          <w:rFonts w:ascii="Arial" w:hAnsi="Arial" w:cs="Arial"/>
          <w:b/>
          <w:color w:val="000000" w:themeColor="text1"/>
        </w:rPr>
        <w:t xml:space="preserve">of the Unearned income-commutation account </w:t>
      </w:r>
      <w:r w:rsidRPr="00345AA4">
        <w:rPr>
          <w:rFonts w:ascii="Arial" w:hAnsi="Arial" w:cs="Arial"/>
          <w:b/>
          <w:color w:val="000000" w:themeColor="text1"/>
        </w:rPr>
        <w:t xml:space="preserve">amounting to P11.388 million and strictly </w:t>
      </w:r>
      <w:r w:rsidR="00155D8D" w:rsidRPr="00345AA4">
        <w:rPr>
          <w:rFonts w:ascii="Arial" w:hAnsi="Arial" w:cs="Arial"/>
          <w:b/>
          <w:color w:val="000000" w:themeColor="text1"/>
        </w:rPr>
        <w:t>implement</w:t>
      </w:r>
      <w:r w:rsidRPr="00345AA4">
        <w:rPr>
          <w:rFonts w:ascii="Arial" w:hAnsi="Arial" w:cs="Arial"/>
          <w:b/>
          <w:color w:val="000000" w:themeColor="text1"/>
        </w:rPr>
        <w:t xml:space="preserve"> the established timetable.</w:t>
      </w:r>
    </w:p>
    <w:p w14:paraId="2FFA73DE" w14:textId="77777777" w:rsidR="008C7A71" w:rsidRPr="00345AA4" w:rsidRDefault="008C7A71" w:rsidP="00E33D66">
      <w:pPr>
        <w:tabs>
          <w:tab w:val="left" w:pos="990"/>
        </w:tabs>
        <w:spacing w:after="0"/>
        <w:contextualSpacing/>
        <w:jc w:val="both"/>
        <w:rPr>
          <w:rFonts w:ascii="Arial" w:hAnsi="Arial" w:cs="Arial"/>
          <w:b/>
          <w:color w:val="000000" w:themeColor="text1"/>
        </w:rPr>
      </w:pPr>
    </w:p>
    <w:p w14:paraId="2F3C67FC" w14:textId="77777777" w:rsidR="00CB00A3" w:rsidRPr="00345AA4" w:rsidRDefault="00CB00A3" w:rsidP="00E33D66">
      <w:pPr>
        <w:tabs>
          <w:tab w:val="left" w:pos="990"/>
        </w:tabs>
        <w:spacing w:after="0"/>
        <w:contextualSpacing/>
        <w:jc w:val="both"/>
        <w:rPr>
          <w:rFonts w:ascii="Arial" w:hAnsi="Arial" w:cs="Arial"/>
          <w:b/>
          <w:color w:val="000000" w:themeColor="text1"/>
        </w:rPr>
      </w:pPr>
    </w:p>
    <w:p w14:paraId="3B6E0072" w14:textId="77777777" w:rsidR="000C3538" w:rsidRPr="00345AA4" w:rsidRDefault="000C3538" w:rsidP="00E33D66">
      <w:pPr>
        <w:pStyle w:val="ListParagraph"/>
        <w:numPr>
          <w:ilvl w:val="0"/>
          <w:numId w:val="2"/>
        </w:numPr>
        <w:tabs>
          <w:tab w:val="left" w:pos="990"/>
        </w:tabs>
        <w:ind w:left="450" w:hanging="450"/>
        <w:contextualSpacing/>
        <w:jc w:val="both"/>
        <w:rPr>
          <w:rFonts w:ascii="Arial" w:hAnsi="Arial" w:cs="Arial"/>
          <w:b/>
          <w:color w:val="000000" w:themeColor="text1"/>
          <w:sz w:val="22"/>
          <w:szCs w:val="22"/>
        </w:rPr>
      </w:pPr>
      <w:r w:rsidRPr="00345AA4">
        <w:rPr>
          <w:rFonts w:ascii="Arial" w:hAnsi="Arial" w:cs="Arial"/>
          <w:b/>
          <w:color w:val="000000" w:themeColor="text1"/>
          <w:sz w:val="22"/>
          <w:szCs w:val="22"/>
        </w:rPr>
        <w:t>Compliance Audit</w:t>
      </w:r>
    </w:p>
    <w:p w14:paraId="0613DD59" w14:textId="77777777" w:rsidR="000C3538" w:rsidRPr="00345AA4" w:rsidRDefault="000C3538" w:rsidP="00474AC8">
      <w:pPr>
        <w:tabs>
          <w:tab w:val="left" w:pos="990"/>
        </w:tabs>
        <w:spacing w:after="0"/>
        <w:ind w:left="360"/>
        <w:contextualSpacing/>
        <w:jc w:val="both"/>
        <w:rPr>
          <w:rFonts w:ascii="Arial" w:hAnsi="Arial" w:cs="Arial"/>
          <w:b/>
          <w:color w:val="000000" w:themeColor="text1"/>
        </w:rPr>
      </w:pPr>
    </w:p>
    <w:p w14:paraId="1BD19EF9" w14:textId="5DFA162C" w:rsidR="00F043CF" w:rsidRDefault="000C3538" w:rsidP="00C47B53">
      <w:pPr>
        <w:pStyle w:val="ListParagraph"/>
        <w:numPr>
          <w:ilvl w:val="0"/>
          <w:numId w:val="1"/>
        </w:numPr>
        <w:ind w:left="426" w:hanging="426"/>
        <w:contextualSpacing/>
        <w:jc w:val="both"/>
        <w:rPr>
          <w:rFonts w:ascii="Arial" w:hAnsi="Arial" w:cs="Arial"/>
          <w:b/>
          <w:color w:val="000000" w:themeColor="text1"/>
          <w:sz w:val="22"/>
          <w:szCs w:val="22"/>
        </w:rPr>
      </w:pPr>
      <w:r w:rsidRPr="00345AA4">
        <w:rPr>
          <w:rFonts w:ascii="Arial" w:hAnsi="Arial" w:cs="Arial"/>
          <w:b/>
          <w:color w:val="000000" w:themeColor="text1"/>
          <w:sz w:val="22"/>
          <w:szCs w:val="22"/>
        </w:rPr>
        <w:t xml:space="preserve">The System did not exercise due diligence in the examination of the title and documents presented by the former owner in connection with the acquisition of the 150 hectares agricultural lot.  Further, it did not consider the possible disadvantages amounting to P284.237 million on the swapping of shares of stocks between </w:t>
      </w:r>
      <w:proofErr w:type="spellStart"/>
      <w:r w:rsidR="00E672B4" w:rsidRPr="00345AA4">
        <w:rPr>
          <w:rFonts w:ascii="Arial" w:hAnsi="Arial" w:cs="Arial"/>
          <w:b/>
          <w:color w:val="000000" w:themeColor="text1"/>
          <w:sz w:val="22"/>
          <w:szCs w:val="22"/>
        </w:rPr>
        <w:t>Monterossa</w:t>
      </w:r>
      <w:proofErr w:type="spellEnd"/>
      <w:r w:rsidR="00E672B4" w:rsidRPr="00345AA4">
        <w:rPr>
          <w:rFonts w:ascii="Arial" w:hAnsi="Arial" w:cs="Arial"/>
          <w:b/>
          <w:color w:val="000000" w:themeColor="text1"/>
          <w:sz w:val="22"/>
          <w:szCs w:val="22"/>
        </w:rPr>
        <w:t xml:space="preserve"> Development Corporation (MDC) </w:t>
      </w:r>
      <w:r w:rsidRPr="00345AA4">
        <w:rPr>
          <w:rFonts w:ascii="Arial" w:hAnsi="Arial" w:cs="Arial"/>
          <w:b/>
          <w:color w:val="000000" w:themeColor="text1"/>
          <w:sz w:val="22"/>
          <w:szCs w:val="22"/>
        </w:rPr>
        <w:t>and an AFPRSBS’ subsidiary realty corporation in 1999, thus, unfavorable to the Members of the System and is inconsistent with Section 2 of PD No. 1445.</w:t>
      </w:r>
    </w:p>
    <w:p w14:paraId="5E3190DE" w14:textId="77777777" w:rsidR="00C47B53" w:rsidRDefault="00C47B53" w:rsidP="00C47B53">
      <w:pPr>
        <w:contextualSpacing/>
        <w:jc w:val="both"/>
        <w:rPr>
          <w:rFonts w:ascii="Arial" w:hAnsi="Arial" w:cs="Arial"/>
          <w:b/>
          <w:color w:val="000000" w:themeColor="text1"/>
        </w:rPr>
      </w:pPr>
    </w:p>
    <w:p w14:paraId="4CE067F8" w14:textId="77777777" w:rsidR="00C47B53" w:rsidRDefault="00C47B53" w:rsidP="00C47B53">
      <w:pPr>
        <w:contextualSpacing/>
        <w:jc w:val="both"/>
        <w:rPr>
          <w:rFonts w:ascii="Arial" w:hAnsi="Arial" w:cs="Arial"/>
          <w:b/>
          <w:color w:val="000000" w:themeColor="text1"/>
        </w:rPr>
      </w:pPr>
    </w:p>
    <w:p w14:paraId="5801654E" w14:textId="77777777" w:rsidR="00C47B53" w:rsidRPr="00C47B53" w:rsidRDefault="00C47B53" w:rsidP="00C47B53">
      <w:pPr>
        <w:contextualSpacing/>
        <w:jc w:val="both"/>
        <w:rPr>
          <w:rFonts w:ascii="Arial" w:hAnsi="Arial" w:cs="Arial"/>
          <w:b/>
          <w:color w:val="000000" w:themeColor="text1"/>
        </w:rPr>
      </w:pPr>
    </w:p>
    <w:p w14:paraId="31CFCF69" w14:textId="77777777" w:rsidR="000C3538" w:rsidRPr="00345AA4" w:rsidRDefault="000C3538" w:rsidP="000C3538">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lastRenderedPageBreak/>
        <w:t>Section 2 of PD No. 1445 provides that:</w:t>
      </w:r>
    </w:p>
    <w:p w14:paraId="0C54B894" w14:textId="77777777" w:rsidR="000C3538" w:rsidRPr="00345AA4" w:rsidRDefault="000C3538" w:rsidP="000C3538">
      <w:pPr>
        <w:pStyle w:val="ListParagraph"/>
        <w:tabs>
          <w:tab w:val="left" w:pos="0"/>
        </w:tabs>
        <w:ind w:left="0" w:right="29"/>
        <w:jc w:val="both"/>
        <w:rPr>
          <w:rFonts w:ascii="Arial" w:hAnsi="Arial" w:cs="Arial"/>
          <w:color w:val="000000" w:themeColor="text1"/>
          <w:sz w:val="22"/>
          <w:szCs w:val="22"/>
        </w:rPr>
      </w:pPr>
    </w:p>
    <w:p w14:paraId="2939B98B" w14:textId="77777777" w:rsidR="000C3538" w:rsidRPr="00345AA4" w:rsidRDefault="000C3538" w:rsidP="00DB1FE6">
      <w:pPr>
        <w:pStyle w:val="NoSpacing"/>
        <w:ind w:left="1440" w:right="702"/>
        <w:jc w:val="both"/>
        <w:rPr>
          <w:rFonts w:ascii="Arial" w:hAnsi="Arial" w:cs="Arial"/>
          <w:i/>
          <w:color w:val="000000" w:themeColor="text1"/>
        </w:rPr>
      </w:pPr>
      <w:r w:rsidRPr="00345AA4">
        <w:rPr>
          <w:rFonts w:ascii="Arial" w:hAnsi="Arial" w:cs="Arial"/>
          <w:b/>
          <w:i/>
          <w:color w:val="000000" w:themeColor="text1"/>
        </w:rPr>
        <w:t>Section 2. Declaration of Policy.</w:t>
      </w:r>
      <w:r w:rsidRPr="00345AA4">
        <w:rPr>
          <w:rFonts w:ascii="Arial" w:hAnsi="Arial" w:cs="Arial"/>
          <w:i/>
          <w:color w:val="000000" w:themeColor="text1"/>
        </w:rPr>
        <w:t xml:space="preserve"> It is the declared policy of the State that all resources of the government shall be managed, expended or utilized in accordance with law and regulations, and safeguard against loss or wastage through illegal or improper disposition, with a view to ensuring efficiency, economy and effectiveness in the operations of government.  The responsibility to take care that such policy is faithfully adhered to rests directly with the chief or head of the government agency concerned.</w:t>
      </w:r>
    </w:p>
    <w:p w14:paraId="268FD0AE" w14:textId="77777777" w:rsidR="000C3538" w:rsidRPr="00345AA4" w:rsidRDefault="000C3538" w:rsidP="000C3538">
      <w:pPr>
        <w:pStyle w:val="BodyText"/>
        <w:ind w:left="1440" w:right="720"/>
        <w:rPr>
          <w:rFonts w:ascii="Arial" w:hAnsi="Arial" w:cs="Arial"/>
          <w:color w:val="000000" w:themeColor="text1"/>
          <w:sz w:val="22"/>
          <w:szCs w:val="22"/>
        </w:rPr>
      </w:pPr>
    </w:p>
    <w:p w14:paraId="76456C1D" w14:textId="77777777" w:rsidR="000C3538" w:rsidRPr="00345AA4" w:rsidRDefault="000C3538" w:rsidP="000C3538">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The AFPRSBS invests its funds in various ventures to grow its assets for its members pursuant to its mandate. </w:t>
      </w:r>
      <w:r w:rsidR="00474AC8" w:rsidRPr="00345AA4">
        <w:rPr>
          <w:rFonts w:ascii="Arial" w:hAnsi="Arial" w:cs="Arial"/>
          <w:color w:val="000000" w:themeColor="text1"/>
          <w:sz w:val="22"/>
          <w:szCs w:val="22"/>
        </w:rPr>
        <w:t xml:space="preserve"> </w:t>
      </w:r>
      <w:r w:rsidRPr="00345AA4">
        <w:rPr>
          <w:rFonts w:ascii="Arial" w:hAnsi="Arial" w:cs="Arial"/>
          <w:color w:val="000000" w:themeColor="text1"/>
          <w:sz w:val="22"/>
          <w:szCs w:val="22"/>
        </w:rPr>
        <w:t xml:space="preserve">One of which occurred in 1989 when the System entered into a joint venture through its wholly owned subsidiary with a contractor for the construction of a 27-storey condominium in </w:t>
      </w:r>
      <w:proofErr w:type="spellStart"/>
      <w:r w:rsidRPr="00345AA4">
        <w:rPr>
          <w:rFonts w:ascii="Arial" w:hAnsi="Arial" w:cs="Arial"/>
          <w:color w:val="000000" w:themeColor="text1"/>
          <w:sz w:val="22"/>
          <w:szCs w:val="22"/>
        </w:rPr>
        <w:t>Binondo</w:t>
      </w:r>
      <w:proofErr w:type="spellEnd"/>
      <w:r w:rsidRPr="00345AA4">
        <w:rPr>
          <w:rFonts w:ascii="Arial" w:hAnsi="Arial" w:cs="Arial"/>
          <w:color w:val="000000" w:themeColor="text1"/>
          <w:sz w:val="22"/>
          <w:szCs w:val="22"/>
        </w:rPr>
        <w:t>, Manila.</w:t>
      </w:r>
    </w:p>
    <w:p w14:paraId="60518A9F" w14:textId="77777777" w:rsidR="000C3538" w:rsidRPr="00345AA4" w:rsidRDefault="000C3538" w:rsidP="000C3538">
      <w:pPr>
        <w:pStyle w:val="ListParagraph"/>
        <w:ind w:left="0"/>
        <w:rPr>
          <w:rFonts w:ascii="Arial" w:hAnsi="Arial" w:cs="Arial"/>
          <w:color w:val="000000" w:themeColor="text1"/>
          <w:sz w:val="22"/>
          <w:szCs w:val="22"/>
        </w:rPr>
      </w:pPr>
    </w:p>
    <w:p w14:paraId="333FD9CB" w14:textId="3A811B2B" w:rsidR="002C39EB" w:rsidRPr="00345AA4" w:rsidRDefault="000C3538" w:rsidP="002C39EB">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Subsequently</w:t>
      </w:r>
      <w:r w:rsidRPr="00345AA4">
        <w:rPr>
          <w:rFonts w:ascii="Arial" w:hAnsi="Arial" w:cs="Arial"/>
          <w:bCs/>
          <w:color w:val="000000" w:themeColor="text1"/>
          <w:sz w:val="22"/>
          <w:szCs w:val="22"/>
        </w:rPr>
        <w:t xml:space="preserve">, the AFPRSBS’ subsidiary realty corporation, and a brokerage corporation, for a time the exclusive broker-seller of the former, entered into a </w:t>
      </w:r>
      <w:r w:rsidR="006B52EE" w:rsidRPr="00345AA4">
        <w:rPr>
          <w:rFonts w:ascii="Arial" w:hAnsi="Arial" w:cs="Arial"/>
          <w:bCs/>
          <w:color w:val="000000" w:themeColor="text1"/>
          <w:sz w:val="22"/>
          <w:szCs w:val="22"/>
        </w:rPr>
        <w:t>Memorandum of Agreement (</w:t>
      </w:r>
      <w:r w:rsidRPr="00345AA4">
        <w:rPr>
          <w:rFonts w:ascii="Arial" w:hAnsi="Arial" w:cs="Arial"/>
          <w:bCs/>
          <w:color w:val="000000" w:themeColor="text1"/>
          <w:sz w:val="22"/>
          <w:szCs w:val="22"/>
        </w:rPr>
        <w:t>MOA</w:t>
      </w:r>
      <w:r w:rsidR="006B52EE" w:rsidRPr="00345AA4">
        <w:rPr>
          <w:rFonts w:ascii="Arial" w:hAnsi="Arial" w:cs="Arial"/>
          <w:bCs/>
          <w:color w:val="000000" w:themeColor="text1"/>
          <w:sz w:val="22"/>
          <w:szCs w:val="22"/>
        </w:rPr>
        <w:t>)</w:t>
      </w:r>
      <w:r w:rsidRPr="00345AA4">
        <w:rPr>
          <w:rFonts w:ascii="Arial" w:hAnsi="Arial" w:cs="Arial"/>
          <w:bCs/>
          <w:color w:val="000000" w:themeColor="text1"/>
          <w:sz w:val="22"/>
          <w:szCs w:val="22"/>
        </w:rPr>
        <w:t xml:space="preserve">, where the latter agreed to convey, transfer and assign its rights, interests and subsequent ownership over the 150 hectares lot located at </w:t>
      </w:r>
      <w:proofErr w:type="spellStart"/>
      <w:r w:rsidRPr="00345AA4">
        <w:rPr>
          <w:rFonts w:ascii="Arial" w:hAnsi="Arial" w:cs="Arial"/>
          <w:bCs/>
          <w:color w:val="000000" w:themeColor="text1"/>
          <w:sz w:val="22"/>
          <w:szCs w:val="22"/>
        </w:rPr>
        <w:t>Batulao</w:t>
      </w:r>
      <w:proofErr w:type="spellEnd"/>
      <w:r w:rsidRPr="00345AA4">
        <w:rPr>
          <w:rFonts w:ascii="Arial" w:hAnsi="Arial" w:cs="Arial"/>
          <w:bCs/>
          <w:color w:val="000000" w:themeColor="text1"/>
          <w:sz w:val="22"/>
          <w:szCs w:val="22"/>
        </w:rPr>
        <w:t xml:space="preserve">, </w:t>
      </w:r>
      <w:proofErr w:type="spellStart"/>
      <w:r w:rsidRPr="00345AA4">
        <w:rPr>
          <w:rFonts w:ascii="Arial" w:hAnsi="Arial" w:cs="Arial"/>
          <w:bCs/>
          <w:color w:val="000000" w:themeColor="text1"/>
          <w:sz w:val="22"/>
          <w:szCs w:val="22"/>
        </w:rPr>
        <w:t>Nasugbu</w:t>
      </w:r>
      <w:proofErr w:type="spellEnd"/>
      <w:r w:rsidRPr="00345AA4">
        <w:rPr>
          <w:rFonts w:ascii="Arial" w:hAnsi="Arial" w:cs="Arial"/>
          <w:bCs/>
          <w:color w:val="000000" w:themeColor="text1"/>
          <w:sz w:val="22"/>
          <w:szCs w:val="22"/>
        </w:rPr>
        <w:t xml:space="preserve">, </w:t>
      </w:r>
      <w:proofErr w:type="spellStart"/>
      <w:r w:rsidRPr="00345AA4">
        <w:rPr>
          <w:rFonts w:ascii="Arial" w:hAnsi="Arial" w:cs="Arial"/>
          <w:bCs/>
          <w:color w:val="000000" w:themeColor="text1"/>
          <w:sz w:val="22"/>
          <w:szCs w:val="22"/>
        </w:rPr>
        <w:t>Batangas</w:t>
      </w:r>
      <w:proofErr w:type="spellEnd"/>
      <w:r w:rsidRPr="00345AA4">
        <w:rPr>
          <w:rFonts w:ascii="Arial" w:hAnsi="Arial" w:cs="Arial"/>
          <w:bCs/>
          <w:color w:val="000000" w:themeColor="text1"/>
          <w:sz w:val="22"/>
          <w:szCs w:val="22"/>
        </w:rPr>
        <w:t xml:space="preserve">, in exchange of the former’s 120 unsold condominium units.  As at December 31, 2019, the title of the 150 hectares lot is registered in the name of </w:t>
      </w:r>
      <w:r w:rsidR="00E672B4" w:rsidRPr="00345AA4">
        <w:rPr>
          <w:rFonts w:ascii="Arial" w:hAnsi="Arial" w:cs="Arial"/>
          <w:bCs/>
          <w:color w:val="000000" w:themeColor="text1"/>
          <w:sz w:val="22"/>
          <w:szCs w:val="22"/>
        </w:rPr>
        <w:t>MDC</w:t>
      </w:r>
      <w:r w:rsidRPr="00345AA4">
        <w:rPr>
          <w:rFonts w:ascii="Arial" w:hAnsi="Arial" w:cs="Arial"/>
          <w:bCs/>
          <w:color w:val="000000" w:themeColor="text1"/>
          <w:sz w:val="22"/>
          <w:szCs w:val="22"/>
        </w:rPr>
        <w:t>, a 100 per cent owned subsidiary of AFPRSBS.</w:t>
      </w:r>
      <w:r w:rsidRPr="00345AA4">
        <w:rPr>
          <w:rFonts w:ascii="Arial" w:hAnsi="Arial" w:cs="Arial"/>
          <w:color w:val="000000" w:themeColor="text1"/>
          <w:sz w:val="22"/>
          <w:szCs w:val="22"/>
        </w:rPr>
        <w:cr/>
      </w:r>
    </w:p>
    <w:p w14:paraId="33930708" w14:textId="77777777" w:rsidR="000C3538" w:rsidRPr="00345AA4" w:rsidRDefault="000C3538" w:rsidP="000C3538">
      <w:pPr>
        <w:pStyle w:val="ListParagraph"/>
        <w:numPr>
          <w:ilvl w:val="1"/>
          <w:numId w:val="1"/>
        </w:numPr>
        <w:tabs>
          <w:tab w:val="left" w:pos="990"/>
        </w:tabs>
        <w:ind w:left="900" w:hanging="540"/>
        <w:contextualSpacing/>
        <w:jc w:val="both"/>
        <w:rPr>
          <w:rFonts w:ascii="Arial" w:hAnsi="Arial" w:cs="Arial"/>
          <w:bCs/>
          <w:color w:val="000000" w:themeColor="text1"/>
          <w:sz w:val="22"/>
          <w:szCs w:val="22"/>
        </w:rPr>
      </w:pPr>
      <w:r w:rsidRPr="00345AA4">
        <w:rPr>
          <w:rFonts w:ascii="Arial" w:hAnsi="Arial" w:cs="Arial"/>
          <w:bCs/>
          <w:color w:val="000000" w:themeColor="text1"/>
          <w:sz w:val="22"/>
          <w:szCs w:val="22"/>
        </w:rPr>
        <w:t>Perusal of the submitted documents relative to the acquisition of the 150 hectares lot revealed the following:</w:t>
      </w:r>
    </w:p>
    <w:p w14:paraId="2A817FEB" w14:textId="77777777" w:rsidR="000C3538" w:rsidRPr="00345AA4" w:rsidRDefault="000C3538" w:rsidP="000C3538">
      <w:pPr>
        <w:pStyle w:val="ListParagraph"/>
        <w:ind w:left="360"/>
        <w:contextualSpacing/>
        <w:jc w:val="both"/>
        <w:rPr>
          <w:rFonts w:ascii="Arial" w:hAnsi="Arial" w:cs="Arial"/>
          <w:bCs/>
          <w:color w:val="000000" w:themeColor="text1"/>
          <w:sz w:val="22"/>
          <w:szCs w:val="22"/>
        </w:rPr>
      </w:pPr>
    </w:p>
    <w:p w14:paraId="4515352F" w14:textId="30627724" w:rsidR="000C3538" w:rsidRPr="00345AA4" w:rsidRDefault="000C3538" w:rsidP="006B52EE">
      <w:pPr>
        <w:pStyle w:val="NoSpacing"/>
        <w:numPr>
          <w:ilvl w:val="2"/>
          <w:numId w:val="1"/>
        </w:numPr>
        <w:ind w:left="1418" w:hanging="518"/>
        <w:jc w:val="both"/>
        <w:rPr>
          <w:rFonts w:ascii="Arial" w:hAnsi="Arial" w:cs="Arial"/>
          <w:bCs/>
          <w:color w:val="000000" w:themeColor="text1"/>
        </w:rPr>
      </w:pPr>
      <w:r w:rsidRPr="00345AA4">
        <w:rPr>
          <w:rFonts w:ascii="Arial" w:hAnsi="Arial" w:cs="Arial"/>
          <w:bCs/>
          <w:color w:val="000000" w:themeColor="text1"/>
        </w:rPr>
        <w:t>Excerpts of Minutes of the January 29, 1998 BOT Meeting, under an undated Approval Sheet, showed that the Board resolved: (a) that AFPRSBS through a MOA authorizes a brokerage corporation to sell the remaining unsold units of the 2</w:t>
      </w:r>
      <w:r w:rsidR="00BA7A47" w:rsidRPr="00345AA4">
        <w:rPr>
          <w:rFonts w:ascii="Arial" w:hAnsi="Arial" w:cs="Arial"/>
          <w:bCs/>
          <w:color w:val="000000" w:themeColor="text1"/>
        </w:rPr>
        <w:t>7</w:t>
      </w:r>
      <w:r w:rsidRPr="00345AA4">
        <w:rPr>
          <w:rFonts w:ascii="Arial" w:hAnsi="Arial" w:cs="Arial"/>
          <w:bCs/>
          <w:color w:val="000000" w:themeColor="text1"/>
        </w:rPr>
        <w:t xml:space="preserve">-storey condominium building in pursuit of the swap arrangement; (b) that brokerage corporation would create a corporation that would own a lone asset, the subject property; (c) that the new corporation would apply for a loan from a commercial bank; (d) that the proceeds of the sale of the condominium units shall be placed in escrow account in favor of AFPRSBS’ wholly owned subsidiary; (e) that  on the basis of the </w:t>
      </w:r>
      <w:r w:rsidR="00BA7A47" w:rsidRPr="00345AA4">
        <w:rPr>
          <w:rFonts w:ascii="Arial" w:hAnsi="Arial" w:cs="Arial"/>
          <w:bCs/>
          <w:color w:val="000000" w:themeColor="text1"/>
        </w:rPr>
        <w:t>e</w:t>
      </w:r>
      <w:r w:rsidRPr="00345AA4">
        <w:rPr>
          <w:rFonts w:ascii="Arial" w:hAnsi="Arial" w:cs="Arial"/>
          <w:bCs/>
          <w:color w:val="000000" w:themeColor="text1"/>
        </w:rPr>
        <w:t xml:space="preserve">scrow account, the commercial bank would grant the loan to the new corporation for the purchase of the aforesaid lone asset; (f) that the brokerage corporation shall transfer and register the Title covering the lone asset to the new corporation; (g) that upon the completion of all documentary requirements, the swap arrangement is effected; and (h) that AFPRSBS would then become the owner of the new corporation and its assets. </w:t>
      </w:r>
    </w:p>
    <w:p w14:paraId="59A62B9B" w14:textId="77777777" w:rsidR="000C3538" w:rsidRPr="00345AA4" w:rsidRDefault="000C3538" w:rsidP="000C3538">
      <w:pPr>
        <w:pStyle w:val="ListParagraph"/>
        <w:ind w:left="360"/>
        <w:contextualSpacing/>
        <w:jc w:val="both"/>
        <w:rPr>
          <w:rFonts w:ascii="Arial" w:hAnsi="Arial" w:cs="Arial"/>
          <w:bCs/>
          <w:color w:val="000000" w:themeColor="text1"/>
          <w:sz w:val="22"/>
          <w:szCs w:val="22"/>
        </w:rPr>
      </w:pPr>
    </w:p>
    <w:p w14:paraId="56E3C9DA" w14:textId="77777777" w:rsidR="000C3538" w:rsidRPr="00345AA4" w:rsidRDefault="000C3538" w:rsidP="006B52EE">
      <w:pPr>
        <w:pStyle w:val="NoSpacing"/>
        <w:ind w:left="1418"/>
        <w:jc w:val="both"/>
        <w:rPr>
          <w:rFonts w:ascii="Arial" w:hAnsi="Arial" w:cs="Arial"/>
          <w:bCs/>
          <w:color w:val="000000" w:themeColor="text1"/>
        </w:rPr>
      </w:pPr>
      <w:r w:rsidRPr="00345AA4">
        <w:rPr>
          <w:rFonts w:ascii="Arial" w:hAnsi="Arial" w:cs="Arial"/>
          <w:bCs/>
          <w:color w:val="000000" w:themeColor="text1"/>
        </w:rPr>
        <w:t>Further, it was also mentioned that the value of the subject property at the time was P896 million.</w:t>
      </w:r>
    </w:p>
    <w:p w14:paraId="7BC3834A" w14:textId="77777777" w:rsidR="006B52EE" w:rsidRPr="00345AA4" w:rsidRDefault="006B52EE" w:rsidP="006B52EE">
      <w:pPr>
        <w:pStyle w:val="NoSpacing"/>
        <w:ind w:left="1418"/>
        <w:jc w:val="both"/>
        <w:rPr>
          <w:rFonts w:ascii="Arial" w:hAnsi="Arial" w:cs="Arial"/>
          <w:bCs/>
          <w:color w:val="000000" w:themeColor="text1"/>
        </w:rPr>
      </w:pPr>
    </w:p>
    <w:p w14:paraId="16909895" w14:textId="37BD4D9C" w:rsidR="000C3538" w:rsidRPr="00345AA4" w:rsidRDefault="000C3538" w:rsidP="00025FEC">
      <w:pPr>
        <w:pStyle w:val="NoSpacing"/>
        <w:numPr>
          <w:ilvl w:val="2"/>
          <w:numId w:val="1"/>
        </w:numPr>
        <w:ind w:left="1418" w:hanging="518"/>
        <w:jc w:val="both"/>
        <w:rPr>
          <w:rFonts w:ascii="Arial" w:hAnsi="Arial" w:cs="Arial"/>
          <w:bCs/>
          <w:color w:val="000000" w:themeColor="text1"/>
        </w:rPr>
      </w:pPr>
      <w:r w:rsidRPr="00345AA4">
        <w:rPr>
          <w:rFonts w:ascii="Arial" w:hAnsi="Arial" w:cs="Arial"/>
          <w:bCs/>
          <w:color w:val="000000" w:themeColor="text1"/>
        </w:rPr>
        <w:t xml:space="preserve">In view of the creation of </w:t>
      </w:r>
      <w:r w:rsidR="00DE33FD" w:rsidRPr="00345AA4">
        <w:rPr>
          <w:rFonts w:ascii="Arial" w:hAnsi="Arial" w:cs="Arial"/>
          <w:bCs/>
          <w:color w:val="000000" w:themeColor="text1"/>
        </w:rPr>
        <w:t xml:space="preserve">a </w:t>
      </w:r>
      <w:r w:rsidRPr="00345AA4">
        <w:rPr>
          <w:rFonts w:ascii="Arial" w:hAnsi="Arial" w:cs="Arial"/>
          <w:bCs/>
          <w:color w:val="000000" w:themeColor="text1"/>
        </w:rPr>
        <w:t xml:space="preserve">new corporation mentioned in the preceding paragraph, </w:t>
      </w:r>
      <w:r w:rsidR="00E672B4" w:rsidRPr="00345AA4">
        <w:rPr>
          <w:rFonts w:ascii="Arial" w:hAnsi="Arial" w:cs="Arial"/>
          <w:bCs/>
          <w:color w:val="000000" w:themeColor="text1"/>
        </w:rPr>
        <w:t xml:space="preserve">MDC </w:t>
      </w:r>
      <w:r w:rsidRPr="00345AA4">
        <w:rPr>
          <w:rFonts w:ascii="Arial" w:hAnsi="Arial" w:cs="Arial"/>
          <w:bCs/>
          <w:color w:val="000000" w:themeColor="text1"/>
        </w:rPr>
        <w:t xml:space="preserve">was incorporated on August 25, 1998 with </w:t>
      </w:r>
      <w:r w:rsidR="00CC57C7" w:rsidRPr="00345AA4">
        <w:rPr>
          <w:rFonts w:ascii="Arial" w:hAnsi="Arial" w:cs="Arial"/>
          <w:bCs/>
          <w:color w:val="000000" w:themeColor="text1"/>
        </w:rPr>
        <w:t>Securities and Exchange Commission (</w:t>
      </w:r>
      <w:r w:rsidRPr="00345AA4">
        <w:rPr>
          <w:rFonts w:ascii="Arial" w:hAnsi="Arial" w:cs="Arial"/>
          <w:bCs/>
          <w:color w:val="000000" w:themeColor="text1"/>
        </w:rPr>
        <w:t>SEC</w:t>
      </w:r>
      <w:r w:rsidR="00CC57C7" w:rsidRPr="00345AA4">
        <w:rPr>
          <w:rFonts w:ascii="Arial" w:hAnsi="Arial" w:cs="Arial"/>
          <w:bCs/>
          <w:color w:val="000000" w:themeColor="text1"/>
        </w:rPr>
        <w:t>)</w:t>
      </w:r>
      <w:r w:rsidRPr="00345AA4">
        <w:rPr>
          <w:rFonts w:ascii="Arial" w:hAnsi="Arial" w:cs="Arial"/>
          <w:bCs/>
          <w:color w:val="000000" w:themeColor="text1"/>
        </w:rPr>
        <w:t xml:space="preserve"> Registration No. A199812882. It has </w:t>
      </w:r>
      <w:r w:rsidRPr="00345AA4">
        <w:rPr>
          <w:rFonts w:ascii="Arial" w:hAnsi="Arial" w:cs="Arial"/>
          <w:bCs/>
          <w:color w:val="000000" w:themeColor="text1"/>
        </w:rPr>
        <w:lastRenderedPageBreak/>
        <w:t xml:space="preserve">an authorized capital stock of P100 million, divided into one million shares with the par value of P100 per share, incorporated and subscribed by the brokerage corporation.  Based on its </w:t>
      </w:r>
      <w:r w:rsidR="00CC57C7" w:rsidRPr="00345AA4">
        <w:rPr>
          <w:rFonts w:ascii="Arial" w:hAnsi="Arial" w:cs="Arial"/>
          <w:bCs/>
          <w:color w:val="000000" w:themeColor="text1"/>
        </w:rPr>
        <w:t>Articles of Incorporation (</w:t>
      </w:r>
      <w:r w:rsidRPr="00345AA4">
        <w:rPr>
          <w:rFonts w:ascii="Arial" w:hAnsi="Arial" w:cs="Arial"/>
          <w:bCs/>
          <w:color w:val="000000" w:themeColor="text1"/>
        </w:rPr>
        <w:t>AOI</w:t>
      </w:r>
      <w:r w:rsidR="00CC57C7" w:rsidRPr="00345AA4">
        <w:rPr>
          <w:rFonts w:ascii="Arial" w:hAnsi="Arial" w:cs="Arial"/>
          <w:bCs/>
          <w:color w:val="000000" w:themeColor="text1"/>
        </w:rPr>
        <w:t>)</w:t>
      </w:r>
      <w:r w:rsidRPr="00345AA4">
        <w:rPr>
          <w:rFonts w:ascii="Arial" w:hAnsi="Arial" w:cs="Arial"/>
          <w:bCs/>
          <w:color w:val="000000" w:themeColor="text1"/>
        </w:rPr>
        <w:t xml:space="preserve">, its primary purpose is to own, use, improve, develop, subdivide, sell, exchange, lease, and hold for investment or otherwise, real estate of all kinds, including buildings, house, apartments and other structures.  On March 16, 1999, </w:t>
      </w:r>
      <w:r w:rsidR="00E672B4" w:rsidRPr="00345AA4">
        <w:rPr>
          <w:rFonts w:ascii="Arial" w:hAnsi="Arial" w:cs="Arial"/>
          <w:bCs/>
          <w:color w:val="000000" w:themeColor="text1"/>
        </w:rPr>
        <w:t>MDC</w:t>
      </w:r>
      <w:r w:rsidRPr="00345AA4">
        <w:rPr>
          <w:rFonts w:ascii="Arial" w:hAnsi="Arial" w:cs="Arial"/>
          <w:bCs/>
          <w:color w:val="000000" w:themeColor="text1"/>
        </w:rPr>
        <w:t xml:space="preserve"> amended its AOI particularly for the increase in capital stock from one million to 1.5 million shares.  Another amendment was made in </w:t>
      </w:r>
      <w:r w:rsidR="00E672B4" w:rsidRPr="00345AA4">
        <w:rPr>
          <w:rFonts w:ascii="Arial" w:hAnsi="Arial" w:cs="Arial"/>
          <w:bCs/>
          <w:color w:val="000000" w:themeColor="text1"/>
        </w:rPr>
        <w:t xml:space="preserve">MDC’s </w:t>
      </w:r>
      <w:r w:rsidRPr="00345AA4">
        <w:rPr>
          <w:rFonts w:ascii="Arial" w:hAnsi="Arial" w:cs="Arial"/>
          <w:bCs/>
          <w:color w:val="000000" w:themeColor="text1"/>
        </w:rPr>
        <w:t>AOI on March 17, 2004 for the change of address of its principal offi</w:t>
      </w:r>
      <w:r w:rsidR="00DB1FE6" w:rsidRPr="00345AA4">
        <w:rPr>
          <w:rFonts w:ascii="Arial" w:hAnsi="Arial" w:cs="Arial"/>
          <w:bCs/>
          <w:color w:val="000000" w:themeColor="text1"/>
        </w:rPr>
        <w:t xml:space="preserve">ce from brokerage </w:t>
      </w:r>
      <w:r w:rsidRPr="00345AA4">
        <w:rPr>
          <w:rFonts w:ascii="Arial" w:hAnsi="Arial" w:cs="Arial"/>
          <w:bCs/>
          <w:color w:val="000000" w:themeColor="text1"/>
        </w:rPr>
        <w:t xml:space="preserve">corporation building in </w:t>
      </w:r>
      <w:proofErr w:type="spellStart"/>
      <w:r w:rsidRPr="00345AA4">
        <w:rPr>
          <w:rFonts w:ascii="Arial" w:hAnsi="Arial" w:cs="Arial"/>
          <w:bCs/>
          <w:color w:val="000000" w:themeColor="text1"/>
        </w:rPr>
        <w:t>Bangkal</w:t>
      </w:r>
      <w:proofErr w:type="spellEnd"/>
      <w:r w:rsidRPr="00345AA4">
        <w:rPr>
          <w:rFonts w:ascii="Arial" w:hAnsi="Arial" w:cs="Arial"/>
          <w:bCs/>
          <w:color w:val="000000" w:themeColor="text1"/>
        </w:rPr>
        <w:t>, Makati</w:t>
      </w:r>
      <w:r w:rsidR="00BA7A47" w:rsidRPr="00345AA4">
        <w:rPr>
          <w:rFonts w:ascii="Arial" w:hAnsi="Arial" w:cs="Arial"/>
          <w:bCs/>
          <w:color w:val="000000" w:themeColor="text1"/>
        </w:rPr>
        <w:t xml:space="preserve"> City</w:t>
      </w:r>
      <w:r w:rsidRPr="00345AA4">
        <w:rPr>
          <w:rFonts w:ascii="Arial" w:hAnsi="Arial" w:cs="Arial"/>
          <w:bCs/>
          <w:color w:val="000000" w:themeColor="text1"/>
        </w:rPr>
        <w:t xml:space="preserve"> to AFPRSBS in Quezon City.</w:t>
      </w:r>
    </w:p>
    <w:p w14:paraId="443A58C8" w14:textId="77777777" w:rsidR="000C3538" w:rsidRPr="00345AA4" w:rsidRDefault="000C3538" w:rsidP="000C3538">
      <w:pPr>
        <w:pStyle w:val="ListParagraph"/>
        <w:ind w:left="360"/>
        <w:contextualSpacing/>
        <w:jc w:val="both"/>
        <w:rPr>
          <w:rFonts w:ascii="Arial" w:hAnsi="Arial" w:cs="Arial"/>
          <w:bCs/>
          <w:color w:val="000000" w:themeColor="text1"/>
          <w:sz w:val="22"/>
          <w:szCs w:val="22"/>
        </w:rPr>
      </w:pPr>
    </w:p>
    <w:p w14:paraId="0D6CC388" w14:textId="745725B9" w:rsidR="000C3538" w:rsidRPr="00345AA4" w:rsidRDefault="000C3538" w:rsidP="00DB1FE6">
      <w:pPr>
        <w:pStyle w:val="NoSpacing"/>
        <w:ind w:left="1440"/>
        <w:jc w:val="both"/>
        <w:rPr>
          <w:rFonts w:ascii="Arial" w:hAnsi="Arial" w:cs="Arial"/>
          <w:bCs/>
          <w:color w:val="000000" w:themeColor="text1"/>
        </w:rPr>
      </w:pPr>
      <w:r w:rsidRPr="00345AA4">
        <w:rPr>
          <w:rFonts w:ascii="Arial" w:hAnsi="Arial" w:cs="Arial"/>
          <w:bCs/>
          <w:color w:val="000000" w:themeColor="text1"/>
        </w:rPr>
        <w:t xml:space="preserve">It is worthy to note that the appraisal report of the 150 hectares lot, dated within the same year after the capital stock of </w:t>
      </w:r>
      <w:r w:rsidR="00E672B4" w:rsidRPr="00345AA4">
        <w:rPr>
          <w:rFonts w:ascii="Arial" w:hAnsi="Arial" w:cs="Arial"/>
          <w:bCs/>
          <w:color w:val="000000" w:themeColor="text1"/>
        </w:rPr>
        <w:t>MDC</w:t>
      </w:r>
      <w:r w:rsidRPr="00345AA4">
        <w:rPr>
          <w:rFonts w:ascii="Arial" w:hAnsi="Arial" w:cs="Arial"/>
          <w:bCs/>
          <w:color w:val="000000" w:themeColor="text1"/>
        </w:rPr>
        <w:t xml:space="preserve"> was increased to 1.5 million shares, disclosed the fair market value of the said property </w:t>
      </w:r>
      <w:r w:rsidR="00DE33FD" w:rsidRPr="00345AA4">
        <w:rPr>
          <w:rFonts w:ascii="Arial" w:hAnsi="Arial" w:cs="Arial"/>
          <w:bCs/>
          <w:color w:val="000000" w:themeColor="text1"/>
        </w:rPr>
        <w:t>at</w:t>
      </w:r>
      <w:r w:rsidRPr="00345AA4">
        <w:rPr>
          <w:rFonts w:ascii="Arial" w:hAnsi="Arial" w:cs="Arial"/>
          <w:bCs/>
          <w:color w:val="000000" w:themeColor="text1"/>
        </w:rPr>
        <w:t xml:space="preserve"> P1.195 billion or equivalent to P796 per square meter</w:t>
      </w:r>
      <w:r w:rsidR="00BA7A47" w:rsidRPr="00345AA4">
        <w:rPr>
          <w:rFonts w:ascii="Arial" w:hAnsi="Arial" w:cs="Arial"/>
          <w:bCs/>
          <w:color w:val="000000" w:themeColor="text1"/>
        </w:rPr>
        <w:t xml:space="preserve"> (sqm)</w:t>
      </w:r>
      <w:r w:rsidRPr="00345AA4">
        <w:rPr>
          <w:rFonts w:ascii="Arial" w:hAnsi="Arial" w:cs="Arial"/>
          <w:bCs/>
          <w:color w:val="000000" w:themeColor="text1"/>
        </w:rPr>
        <w:t xml:space="preserve"> as of August 20, 1999.  We noted further that the said appraisal report did not consider the presence of squatters in the subject property in the computation of the said fair market value.  However, during the initial approval of the swap transaction mentioned in the foregoing minutes of meeting held in 1998, the value of the subject property was only P896 million.</w:t>
      </w:r>
    </w:p>
    <w:p w14:paraId="2095E7D7" w14:textId="77777777" w:rsidR="000C3538" w:rsidRPr="00345AA4" w:rsidRDefault="000C3538" w:rsidP="000C3538">
      <w:pPr>
        <w:pStyle w:val="ListParagraph"/>
        <w:ind w:left="1560"/>
        <w:contextualSpacing/>
        <w:jc w:val="both"/>
        <w:rPr>
          <w:rFonts w:ascii="Arial" w:hAnsi="Arial" w:cs="Arial"/>
          <w:bCs/>
          <w:color w:val="000000" w:themeColor="text1"/>
          <w:sz w:val="22"/>
          <w:szCs w:val="22"/>
        </w:rPr>
      </w:pPr>
    </w:p>
    <w:p w14:paraId="31EBD5C2" w14:textId="51D6295B" w:rsidR="000C3538" w:rsidRPr="00345AA4" w:rsidRDefault="000C3538" w:rsidP="000C3538">
      <w:pPr>
        <w:pStyle w:val="ListParagraph"/>
        <w:numPr>
          <w:ilvl w:val="1"/>
          <w:numId w:val="1"/>
        </w:numPr>
        <w:tabs>
          <w:tab w:val="left" w:pos="990"/>
        </w:tabs>
        <w:ind w:left="900" w:hanging="540"/>
        <w:contextualSpacing/>
        <w:jc w:val="both"/>
        <w:rPr>
          <w:rFonts w:ascii="Arial" w:hAnsi="Arial" w:cs="Arial"/>
          <w:bCs/>
          <w:color w:val="000000" w:themeColor="text1"/>
          <w:sz w:val="22"/>
          <w:szCs w:val="22"/>
        </w:rPr>
      </w:pPr>
      <w:r w:rsidRPr="00345AA4">
        <w:rPr>
          <w:rFonts w:ascii="Arial" w:hAnsi="Arial" w:cs="Arial"/>
          <w:bCs/>
          <w:color w:val="000000" w:themeColor="text1"/>
          <w:sz w:val="22"/>
          <w:szCs w:val="22"/>
        </w:rPr>
        <w:t xml:space="preserve">From the foregoing consideration, the AFPRSBS’ subsidiary realty corporation and the brokerage corporation executed a MOA </w:t>
      </w:r>
      <w:r w:rsidR="00DE33FD" w:rsidRPr="00345AA4">
        <w:rPr>
          <w:rFonts w:ascii="Arial" w:hAnsi="Arial" w:cs="Arial"/>
          <w:bCs/>
          <w:color w:val="000000" w:themeColor="text1"/>
          <w:sz w:val="22"/>
          <w:szCs w:val="22"/>
        </w:rPr>
        <w:t>defining</w:t>
      </w:r>
      <w:r w:rsidRPr="00345AA4">
        <w:rPr>
          <w:rFonts w:ascii="Arial" w:hAnsi="Arial" w:cs="Arial"/>
          <w:bCs/>
          <w:color w:val="000000" w:themeColor="text1"/>
          <w:sz w:val="22"/>
          <w:szCs w:val="22"/>
        </w:rPr>
        <w:t xml:space="preserve"> the following obligations of the parties:</w:t>
      </w:r>
    </w:p>
    <w:p w14:paraId="3F744539" w14:textId="77777777" w:rsidR="000C3538" w:rsidRPr="00345AA4" w:rsidRDefault="000C3538" w:rsidP="000C3538">
      <w:pPr>
        <w:pStyle w:val="ListParagraph"/>
        <w:tabs>
          <w:tab w:val="left" w:pos="990"/>
        </w:tabs>
        <w:ind w:left="900"/>
        <w:contextualSpacing/>
        <w:jc w:val="both"/>
        <w:rPr>
          <w:rFonts w:ascii="Arial" w:hAnsi="Arial" w:cs="Arial"/>
          <w:color w:val="000000" w:themeColor="text1"/>
          <w:sz w:val="22"/>
          <w:szCs w:val="22"/>
        </w:rPr>
      </w:pPr>
    </w:p>
    <w:p w14:paraId="6A907C10" w14:textId="4E4F120F" w:rsidR="000C3538" w:rsidRPr="00345AA4" w:rsidRDefault="000C3538" w:rsidP="00CC57C7">
      <w:pPr>
        <w:pStyle w:val="NoSpacing"/>
        <w:numPr>
          <w:ilvl w:val="2"/>
          <w:numId w:val="1"/>
        </w:numPr>
        <w:ind w:left="1418" w:hanging="518"/>
        <w:jc w:val="both"/>
        <w:rPr>
          <w:rFonts w:ascii="Arial" w:hAnsi="Arial" w:cs="Arial"/>
          <w:bCs/>
          <w:color w:val="000000" w:themeColor="text1"/>
        </w:rPr>
      </w:pPr>
      <w:r w:rsidRPr="00345AA4">
        <w:rPr>
          <w:rFonts w:ascii="Arial" w:hAnsi="Arial" w:cs="Arial"/>
          <w:bCs/>
          <w:color w:val="000000" w:themeColor="text1"/>
        </w:rPr>
        <w:t>The AFPRSBS’ subsidiary realty corporation and its stockholders convey</w:t>
      </w:r>
      <w:r w:rsidR="00BA7A47" w:rsidRPr="00345AA4">
        <w:rPr>
          <w:rFonts w:ascii="Arial" w:hAnsi="Arial" w:cs="Arial"/>
          <w:bCs/>
          <w:color w:val="000000" w:themeColor="text1"/>
        </w:rPr>
        <w:t>,</w:t>
      </w:r>
      <w:r w:rsidRPr="00345AA4">
        <w:rPr>
          <w:rFonts w:ascii="Arial" w:hAnsi="Arial" w:cs="Arial"/>
          <w:bCs/>
          <w:color w:val="000000" w:themeColor="text1"/>
        </w:rPr>
        <w:t xml:space="preserve"> transfer and assign to the brokerage corporation all its shares of stocks and assets consisting primarily of the condominium units.</w:t>
      </w:r>
    </w:p>
    <w:p w14:paraId="43F46248" w14:textId="77777777" w:rsidR="000C3538" w:rsidRPr="00345AA4" w:rsidRDefault="000C3538" w:rsidP="000C3538">
      <w:pPr>
        <w:pStyle w:val="ListParagraph"/>
        <w:tabs>
          <w:tab w:val="left" w:pos="990"/>
        </w:tabs>
        <w:ind w:left="900"/>
        <w:contextualSpacing/>
        <w:jc w:val="both"/>
        <w:rPr>
          <w:rFonts w:ascii="Arial" w:hAnsi="Arial" w:cs="Arial"/>
          <w:color w:val="000000" w:themeColor="text1"/>
          <w:sz w:val="22"/>
          <w:szCs w:val="22"/>
        </w:rPr>
      </w:pPr>
    </w:p>
    <w:p w14:paraId="116B3049" w14:textId="77777777" w:rsidR="000C3538" w:rsidRPr="00345AA4" w:rsidRDefault="000C3538" w:rsidP="00CC57C7">
      <w:pPr>
        <w:pStyle w:val="NoSpacing"/>
        <w:numPr>
          <w:ilvl w:val="2"/>
          <w:numId w:val="1"/>
        </w:numPr>
        <w:ind w:left="1418" w:hanging="518"/>
        <w:jc w:val="both"/>
        <w:rPr>
          <w:rFonts w:ascii="Arial" w:hAnsi="Arial" w:cs="Arial"/>
          <w:bCs/>
          <w:color w:val="000000" w:themeColor="text1"/>
        </w:rPr>
      </w:pPr>
      <w:r w:rsidRPr="00345AA4">
        <w:rPr>
          <w:rFonts w:ascii="Arial" w:hAnsi="Arial" w:cs="Arial"/>
          <w:bCs/>
          <w:color w:val="000000" w:themeColor="text1"/>
        </w:rPr>
        <w:t>It is also stipulated that simultaneous to the actual conveyance, transfer and assignment of shares of stocks to the respective parties, the AFPRSBS’ subsidiary realty corporation shall settle all indebtedness, advances, loans, claims whether monetary or otherwise, which it may have incurred, to any third party and secure the appropriate documents, instruments evidencing a general release from said obligations.</w:t>
      </w:r>
    </w:p>
    <w:p w14:paraId="582828F9" w14:textId="77777777" w:rsidR="000C3538" w:rsidRPr="00345AA4" w:rsidRDefault="000C3538" w:rsidP="000C3538">
      <w:pPr>
        <w:pStyle w:val="ListParagraph"/>
        <w:tabs>
          <w:tab w:val="left" w:pos="990"/>
        </w:tabs>
        <w:ind w:left="900"/>
        <w:contextualSpacing/>
        <w:jc w:val="both"/>
        <w:rPr>
          <w:rFonts w:ascii="Arial" w:hAnsi="Arial" w:cs="Arial"/>
          <w:color w:val="000000" w:themeColor="text1"/>
          <w:sz w:val="22"/>
          <w:szCs w:val="22"/>
        </w:rPr>
      </w:pPr>
    </w:p>
    <w:p w14:paraId="17B8CB1A" w14:textId="39FE1AD2" w:rsidR="000C3538" w:rsidRPr="00345AA4" w:rsidRDefault="000C3538" w:rsidP="00CC57C7">
      <w:pPr>
        <w:pStyle w:val="NoSpacing"/>
        <w:numPr>
          <w:ilvl w:val="2"/>
          <w:numId w:val="1"/>
        </w:numPr>
        <w:ind w:left="1418" w:hanging="518"/>
        <w:jc w:val="both"/>
        <w:rPr>
          <w:rFonts w:ascii="Arial" w:hAnsi="Arial" w:cs="Arial"/>
          <w:bCs/>
          <w:color w:val="000000" w:themeColor="text1"/>
        </w:rPr>
      </w:pPr>
      <w:r w:rsidRPr="00345AA4">
        <w:rPr>
          <w:rFonts w:ascii="Arial" w:hAnsi="Arial" w:cs="Arial"/>
          <w:bCs/>
          <w:color w:val="000000" w:themeColor="text1"/>
        </w:rPr>
        <w:t xml:space="preserve">The brokerage corporation has the exclusive option to buy a certain parcel of land situated at Barangay </w:t>
      </w:r>
      <w:proofErr w:type="spellStart"/>
      <w:r w:rsidRPr="00345AA4">
        <w:rPr>
          <w:rFonts w:ascii="Arial" w:hAnsi="Arial" w:cs="Arial"/>
          <w:bCs/>
          <w:color w:val="000000" w:themeColor="text1"/>
        </w:rPr>
        <w:t>Balang</w:t>
      </w:r>
      <w:proofErr w:type="spellEnd"/>
      <w:r w:rsidRPr="00345AA4">
        <w:rPr>
          <w:rFonts w:ascii="Arial" w:hAnsi="Arial" w:cs="Arial"/>
          <w:bCs/>
          <w:color w:val="000000" w:themeColor="text1"/>
        </w:rPr>
        <w:t xml:space="preserve">, </w:t>
      </w:r>
      <w:proofErr w:type="spellStart"/>
      <w:r w:rsidRPr="00345AA4">
        <w:rPr>
          <w:rFonts w:ascii="Arial" w:hAnsi="Arial" w:cs="Arial"/>
          <w:bCs/>
          <w:color w:val="000000" w:themeColor="text1"/>
        </w:rPr>
        <w:t>Nasugbu</w:t>
      </w:r>
      <w:proofErr w:type="spellEnd"/>
      <w:r w:rsidRPr="00345AA4">
        <w:rPr>
          <w:rFonts w:ascii="Arial" w:hAnsi="Arial" w:cs="Arial"/>
          <w:bCs/>
          <w:color w:val="000000" w:themeColor="text1"/>
        </w:rPr>
        <w:t xml:space="preserve">, </w:t>
      </w:r>
      <w:proofErr w:type="spellStart"/>
      <w:r w:rsidRPr="00345AA4">
        <w:rPr>
          <w:rFonts w:ascii="Arial" w:hAnsi="Arial" w:cs="Arial"/>
          <w:bCs/>
          <w:color w:val="000000" w:themeColor="text1"/>
        </w:rPr>
        <w:t>Batangas</w:t>
      </w:r>
      <w:proofErr w:type="spellEnd"/>
      <w:r w:rsidRPr="00345AA4">
        <w:rPr>
          <w:rFonts w:ascii="Arial" w:hAnsi="Arial" w:cs="Arial"/>
          <w:bCs/>
          <w:color w:val="000000" w:themeColor="text1"/>
        </w:rPr>
        <w:t xml:space="preserve"> consisting of 1,500,000 square meters more or less, covered by </w:t>
      </w:r>
      <w:r w:rsidR="00CC57C7" w:rsidRPr="00345AA4">
        <w:rPr>
          <w:rFonts w:ascii="Arial" w:hAnsi="Arial" w:cs="Arial"/>
          <w:bCs/>
          <w:color w:val="000000" w:themeColor="text1"/>
        </w:rPr>
        <w:t>Transfer Certificate of Title (</w:t>
      </w:r>
      <w:r w:rsidRPr="00345AA4">
        <w:rPr>
          <w:rFonts w:ascii="Arial" w:hAnsi="Arial" w:cs="Arial"/>
          <w:bCs/>
          <w:color w:val="000000" w:themeColor="text1"/>
        </w:rPr>
        <w:t>TCT</w:t>
      </w:r>
      <w:r w:rsidR="00CC57C7" w:rsidRPr="00345AA4">
        <w:rPr>
          <w:rFonts w:ascii="Arial" w:hAnsi="Arial" w:cs="Arial"/>
          <w:bCs/>
          <w:color w:val="000000" w:themeColor="text1"/>
        </w:rPr>
        <w:t>)</w:t>
      </w:r>
      <w:r w:rsidRPr="00345AA4">
        <w:rPr>
          <w:rFonts w:ascii="Arial" w:hAnsi="Arial" w:cs="Arial"/>
          <w:bCs/>
          <w:color w:val="000000" w:themeColor="text1"/>
        </w:rPr>
        <w:t xml:space="preserve"> No. 41389 issued by </w:t>
      </w:r>
      <w:r w:rsidR="00DE33FD" w:rsidRPr="00345AA4">
        <w:rPr>
          <w:rFonts w:ascii="Arial" w:hAnsi="Arial" w:cs="Arial"/>
          <w:bCs/>
          <w:color w:val="000000" w:themeColor="text1"/>
        </w:rPr>
        <w:t xml:space="preserve">the </w:t>
      </w:r>
      <w:r w:rsidR="00CC57C7" w:rsidRPr="00345AA4">
        <w:rPr>
          <w:rFonts w:ascii="Arial" w:hAnsi="Arial" w:cs="Arial"/>
          <w:bCs/>
          <w:color w:val="000000" w:themeColor="text1"/>
        </w:rPr>
        <w:t>R</w:t>
      </w:r>
      <w:r w:rsidR="009B5E7B">
        <w:rPr>
          <w:rFonts w:ascii="Arial" w:hAnsi="Arial" w:cs="Arial"/>
          <w:bCs/>
          <w:color w:val="000000" w:themeColor="text1"/>
        </w:rPr>
        <w:t xml:space="preserve">egistry of </w:t>
      </w:r>
      <w:r w:rsidR="00CC57C7" w:rsidRPr="00345AA4">
        <w:rPr>
          <w:rFonts w:ascii="Arial" w:hAnsi="Arial" w:cs="Arial"/>
          <w:bCs/>
          <w:color w:val="000000" w:themeColor="text1"/>
        </w:rPr>
        <w:t>D</w:t>
      </w:r>
      <w:r w:rsidR="009B5E7B">
        <w:rPr>
          <w:rFonts w:ascii="Arial" w:hAnsi="Arial" w:cs="Arial"/>
          <w:bCs/>
          <w:color w:val="000000" w:themeColor="text1"/>
        </w:rPr>
        <w:t>eeds (RD)</w:t>
      </w:r>
      <w:r w:rsidRPr="00345AA4">
        <w:rPr>
          <w:rFonts w:ascii="Arial" w:hAnsi="Arial" w:cs="Arial"/>
          <w:bCs/>
          <w:color w:val="000000" w:themeColor="text1"/>
        </w:rPr>
        <w:t xml:space="preserve"> of </w:t>
      </w:r>
      <w:proofErr w:type="spellStart"/>
      <w:r w:rsidRPr="00345AA4">
        <w:rPr>
          <w:rFonts w:ascii="Arial" w:hAnsi="Arial" w:cs="Arial"/>
          <w:bCs/>
          <w:color w:val="000000" w:themeColor="text1"/>
        </w:rPr>
        <w:t>Nasugbu</w:t>
      </w:r>
      <w:proofErr w:type="spellEnd"/>
      <w:r w:rsidRPr="00345AA4">
        <w:rPr>
          <w:rFonts w:ascii="Arial" w:hAnsi="Arial" w:cs="Arial"/>
          <w:bCs/>
          <w:color w:val="000000" w:themeColor="text1"/>
        </w:rPr>
        <w:t xml:space="preserve">, </w:t>
      </w:r>
      <w:proofErr w:type="spellStart"/>
      <w:r w:rsidRPr="00345AA4">
        <w:rPr>
          <w:rFonts w:ascii="Arial" w:hAnsi="Arial" w:cs="Arial"/>
          <w:bCs/>
          <w:color w:val="000000" w:themeColor="text1"/>
        </w:rPr>
        <w:t>Batangas</w:t>
      </w:r>
      <w:proofErr w:type="spellEnd"/>
      <w:r w:rsidRPr="00345AA4">
        <w:rPr>
          <w:rFonts w:ascii="Arial" w:hAnsi="Arial" w:cs="Arial"/>
          <w:bCs/>
          <w:color w:val="000000" w:themeColor="text1"/>
        </w:rPr>
        <w:t xml:space="preserve">. </w:t>
      </w:r>
    </w:p>
    <w:p w14:paraId="2754547A" w14:textId="77777777" w:rsidR="000C3538" w:rsidRPr="00345AA4" w:rsidRDefault="000C3538" w:rsidP="000C3538">
      <w:pPr>
        <w:pStyle w:val="ListParagraph"/>
        <w:tabs>
          <w:tab w:val="left" w:pos="990"/>
        </w:tabs>
        <w:ind w:left="900"/>
        <w:contextualSpacing/>
        <w:jc w:val="both"/>
        <w:rPr>
          <w:rFonts w:ascii="Arial" w:hAnsi="Arial" w:cs="Arial"/>
          <w:color w:val="000000" w:themeColor="text1"/>
          <w:sz w:val="22"/>
          <w:szCs w:val="22"/>
        </w:rPr>
      </w:pPr>
    </w:p>
    <w:p w14:paraId="6939905A" w14:textId="4A7499FF" w:rsidR="000C3538" w:rsidRPr="00345AA4" w:rsidRDefault="000C3538" w:rsidP="00CC57C7">
      <w:pPr>
        <w:pStyle w:val="NoSpacing"/>
        <w:numPr>
          <w:ilvl w:val="2"/>
          <w:numId w:val="1"/>
        </w:numPr>
        <w:ind w:left="1418" w:hanging="518"/>
        <w:jc w:val="both"/>
        <w:rPr>
          <w:rFonts w:ascii="Arial" w:hAnsi="Arial" w:cs="Arial"/>
          <w:bCs/>
          <w:color w:val="000000" w:themeColor="text1"/>
        </w:rPr>
      </w:pPr>
      <w:r w:rsidRPr="00345AA4">
        <w:rPr>
          <w:rFonts w:ascii="Arial" w:hAnsi="Arial" w:cs="Arial"/>
          <w:bCs/>
          <w:color w:val="000000" w:themeColor="text1"/>
        </w:rPr>
        <w:t xml:space="preserve">Review of the pertinent documents showed that the brokerage corporation entered into a contract with a developer </w:t>
      </w:r>
      <w:r w:rsidR="00BA7A47" w:rsidRPr="00345AA4">
        <w:rPr>
          <w:rFonts w:ascii="Arial" w:hAnsi="Arial" w:cs="Arial"/>
          <w:bCs/>
          <w:color w:val="000000" w:themeColor="text1"/>
        </w:rPr>
        <w:t>on</w:t>
      </w:r>
      <w:r w:rsidRPr="00345AA4">
        <w:rPr>
          <w:rFonts w:ascii="Arial" w:hAnsi="Arial" w:cs="Arial"/>
          <w:bCs/>
          <w:color w:val="000000" w:themeColor="text1"/>
        </w:rPr>
        <w:t xml:space="preserve"> November 22, 1997, granting the former the exclusive option to buy the subject property in </w:t>
      </w:r>
      <w:proofErr w:type="spellStart"/>
      <w:r w:rsidRPr="00345AA4">
        <w:rPr>
          <w:rFonts w:ascii="Arial" w:hAnsi="Arial" w:cs="Arial"/>
          <w:bCs/>
          <w:color w:val="000000" w:themeColor="text1"/>
        </w:rPr>
        <w:t>Nasugbu</w:t>
      </w:r>
      <w:proofErr w:type="spellEnd"/>
      <w:r w:rsidRPr="00345AA4">
        <w:rPr>
          <w:rFonts w:ascii="Arial" w:hAnsi="Arial" w:cs="Arial"/>
          <w:bCs/>
          <w:color w:val="000000" w:themeColor="text1"/>
        </w:rPr>
        <w:t xml:space="preserve">, </w:t>
      </w:r>
      <w:proofErr w:type="spellStart"/>
      <w:r w:rsidRPr="00345AA4">
        <w:rPr>
          <w:rFonts w:ascii="Arial" w:hAnsi="Arial" w:cs="Arial"/>
          <w:bCs/>
          <w:color w:val="000000" w:themeColor="text1"/>
        </w:rPr>
        <w:t>Batangas</w:t>
      </w:r>
      <w:proofErr w:type="spellEnd"/>
      <w:r w:rsidRPr="00345AA4">
        <w:rPr>
          <w:rFonts w:ascii="Arial" w:hAnsi="Arial" w:cs="Arial"/>
          <w:bCs/>
          <w:color w:val="000000" w:themeColor="text1"/>
        </w:rPr>
        <w:t xml:space="preserve"> and such contract was made an integral part of the MOA.</w:t>
      </w:r>
    </w:p>
    <w:p w14:paraId="6063CA33" w14:textId="77777777" w:rsidR="000C3538" w:rsidRPr="00345AA4" w:rsidRDefault="000C3538" w:rsidP="000C3538">
      <w:pPr>
        <w:pStyle w:val="ListParagraph"/>
        <w:tabs>
          <w:tab w:val="left" w:pos="990"/>
        </w:tabs>
        <w:ind w:left="900"/>
        <w:contextualSpacing/>
        <w:jc w:val="both"/>
        <w:rPr>
          <w:rFonts w:ascii="Arial" w:hAnsi="Arial" w:cs="Arial"/>
          <w:color w:val="000000" w:themeColor="text1"/>
          <w:sz w:val="22"/>
          <w:szCs w:val="22"/>
        </w:rPr>
      </w:pPr>
    </w:p>
    <w:p w14:paraId="6F50E9E1" w14:textId="4C2B08F1" w:rsidR="000C3538" w:rsidRPr="00345AA4" w:rsidRDefault="000C3538" w:rsidP="00CC57C7">
      <w:pPr>
        <w:pStyle w:val="NoSpacing"/>
        <w:numPr>
          <w:ilvl w:val="2"/>
          <w:numId w:val="1"/>
        </w:numPr>
        <w:ind w:left="1418" w:hanging="518"/>
        <w:jc w:val="both"/>
        <w:rPr>
          <w:rFonts w:ascii="Arial" w:hAnsi="Arial" w:cs="Arial"/>
          <w:bCs/>
          <w:color w:val="000000" w:themeColor="text1"/>
        </w:rPr>
      </w:pPr>
      <w:r w:rsidRPr="00345AA4">
        <w:rPr>
          <w:rFonts w:ascii="Arial" w:hAnsi="Arial" w:cs="Arial"/>
          <w:bCs/>
          <w:color w:val="000000" w:themeColor="text1"/>
        </w:rPr>
        <w:t xml:space="preserve">The brokerage corporation shall convey the subject property free and clear of any squatter, tenant or occupant and from any and all structures permanent and otherwise.  The brokerage corporation warrants and </w:t>
      </w:r>
      <w:r w:rsidRPr="00345AA4">
        <w:rPr>
          <w:rFonts w:ascii="Arial" w:hAnsi="Arial" w:cs="Arial"/>
          <w:bCs/>
          <w:color w:val="000000" w:themeColor="text1"/>
        </w:rPr>
        <w:lastRenderedPageBreak/>
        <w:t>guarantees that in its own exclusive account, it shall take full responsibility in the settlement of any and all claims of said tenant</w:t>
      </w:r>
      <w:r w:rsidR="00BA7A47" w:rsidRPr="00345AA4">
        <w:rPr>
          <w:rFonts w:ascii="Arial" w:hAnsi="Arial" w:cs="Arial"/>
          <w:bCs/>
          <w:color w:val="000000" w:themeColor="text1"/>
        </w:rPr>
        <w:t>s</w:t>
      </w:r>
      <w:r w:rsidRPr="00345AA4">
        <w:rPr>
          <w:rFonts w:ascii="Arial" w:hAnsi="Arial" w:cs="Arial"/>
          <w:bCs/>
          <w:color w:val="000000" w:themeColor="text1"/>
        </w:rPr>
        <w:t xml:space="preserve"> or occupants and the orderly relocation of the same which are deemed requisite and necessary for the peaceful surrender of the property.</w:t>
      </w:r>
    </w:p>
    <w:p w14:paraId="0E295766" w14:textId="77777777" w:rsidR="000C3538" w:rsidRPr="00345AA4" w:rsidRDefault="000C3538" w:rsidP="000C3538">
      <w:pPr>
        <w:pStyle w:val="ListParagraph"/>
        <w:tabs>
          <w:tab w:val="left" w:pos="990"/>
        </w:tabs>
        <w:ind w:left="900"/>
        <w:contextualSpacing/>
        <w:jc w:val="both"/>
        <w:rPr>
          <w:rFonts w:ascii="Arial" w:hAnsi="Arial" w:cs="Arial"/>
          <w:color w:val="000000" w:themeColor="text1"/>
          <w:sz w:val="22"/>
          <w:szCs w:val="22"/>
        </w:rPr>
      </w:pPr>
    </w:p>
    <w:p w14:paraId="630AA4DE" w14:textId="5F0D62FA" w:rsidR="000C3538" w:rsidRPr="00345AA4" w:rsidRDefault="000C3538" w:rsidP="000937A5">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bCs/>
          <w:color w:val="000000" w:themeColor="text1"/>
          <w:sz w:val="22"/>
          <w:szCs w:val="22"/>
        </w:rPr>
        <w:t>The</w:t>
      </w:r>
      <w:r w:rsidRPr="00345AA4">
        <w:rPr>
          <w:rFonts w:ascii="Arial" w:hAnsi="Arial" w:cs="Arial"/>
          <w:color w:val="000000" w:themeColor="text1"/>
          <w:sz w:val="22"/>
          <w:szCs w:val="22"/>
        </w:rPr>
        <w:t xml:space="preserve"> alleged MOA signed and entered by both parties was not dated and not notarized by a notary public.  An unnotarized document or instrument is merely a private instrument and cannot bind third parties.  Notarization has a legal impact on the contract as it converts a private document to a public instrument.  Agreements on the contract are enforceable once the document is notarized because it is a strong proof of the document’s authenticity.  Nevertheless, with the wordings of the said MOA, it is apparent that the shares of stocks and assets, consisting primarily of the condominium units of AFPRSBS’ subsidiary realty corporation</w:t>
      </w:r>
      <w:r w:rsidR="00BB6351" w:rsidRPr="00345AA4">
        <w:rPr>
          <w:rFonts w:ascii="Arial" w:hAnsi="Arial" w:cs="Arial"/>
          <w:color w:val="000000" w:themeColor="text1"/>
          <w:sz w:val="22"/>
          <w:szCs w:val="22"/>
        </w:rPr>
        <w:t>,</w:t>
      </w:r>
      <w:r w:rsidRPr="00345AA4">
        <w:rPr>
          <w:rFonts w:ascii="Arial" w:hAnsi="Arial" w:cs="Arial"/>
          <w:color w:val="000000" w:themeColor="text1"/>
          <w:sz w:val="22"/>
          <w:szCs w:val="22"/>
        </w:rPr>
        <w:t xml:space="preserve"> were conveyed and transferred in favor of a brokerage corporation without any consideration since it was established that neither </w:t>
      </w:r>
      <w:r w:rsidR="00E672B4" w:rsidRPr="00345AA4">
        <w:rPr>
          <w:rFonts w:ascii="Arial" w:hAnsi="Arial" w:cs="Arial"/>
          <w:color w:val="000000" w:themeColor="text1"/>
          <w:sz w:val="22"/>
          <w:szCs w:val="22"/>
        </w:rPr>
        <w:t>MDC</w:t>
      </w:r>
      <w:r w:rsidRPr="00345AA4">
        <w:rPr>
          <w:rFonts w:ascii="Arial" w:hAnsi="Arial" w:cs="Arial"/>
          <w:color w:val="000000" w:themeColor="text1"/>
          <w:sz w:val="22"/>
          <w:szCs w:val="22"/>
        </w:rPr>
        <w:t xml:space="preserve"> nor the subject property was not yet formed and acquired, respectively, by the brokerage corporation.  We noted further that </w:t>
      </w:r>
      <w:r w:rsidR="00E672B4" w:rsidRPr="00345AA4">
        <w:rPr>
          <w:rFonts w:ascii="Arial" w:hAnsi="Arial" w:cs="Arial"/>
          <w:color w:val="000000" w:themeColor="text1"/>
          <w:sz w:val="22"/>
          <w:szCs w:val="22"/>
        </w:rPr>
        <w:t>MDC</w:t>
      </w:r>
      <w:r w:rsidRPr="00345AA4">
        <w:rPr>
          <w:rFonts w:ascii="Arial" w:hAnsi="Arial" w:cs="Arial"/>
          <w:color w:val="000000" w:themeColor="text1"/>
          <w:sz w:val="22"/>
          <w:szCs w:val="22"/>
        </w:rPr>
        <w:t xml:space="preserve"> was only incorporated on August 25, 1998.</w:t>
      </w:r>
    </w:p>
    <w:p w14:paraId="2A63B70F" w14:textId="77777777" w:rsidR="000C3538" w:rsidRPr="00345AA4" w:rsidRDefault="000C3538" w:rsidP="000C3538">
      <w:pPr>
        <w:pStyle w:val="ListParagraph"/>
        <w:tabs>
          <w:tab w:val="left" w:pos="990"/>
        </w:tabs>
        <w:ind w:left="900"/>
        <w:contextualSpacing/>
        <w:jc w:val="both"/>
        <w:rPr>
          <w:rFonts w:ascii="Arial" w:hAnsi="Arial" w:cs="Arial"/>
          <w:color w:val="000000" w:themeColor="text1"/>
          <w:sz w:val="22"/>
          <w:szCs w:val="22"/>
        </w:rPr>
      </w:pPr>
    </w:p>
    <w:p w14:paraId="4E728F31" w14:textId="77777777" w:rsidR="000C3538" w:rsidRPr="00345AA4" w:rsidRDefault="000C3538" w:rsidP="000937A5">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bCs/>
          <w:color w:val="000000" w:themeColor="text1"/>
          <w:sz w:val="22"/>
          <w:szCs w:val="22"/>
        </w:rPr>
        <w:t>Our</w:t>
      </w:r>
      <w:r w:rsidRPr="00345AA4">
        <w:rPr>
          <w:rFonts w:ascii="Arial" w:hAnsi="Arial" w:cs="Arial"/>
          <w:color w:val="000000" w:themeColor="text1"/>
          <w:sz w:val="22"/>
          <w:szCs w:val="22"/>
        </w:rPr>
        <w:t xml:space="preserve"> ocular inspection of the subject property disclosed that there are still squatters or occupants and other structures in the vicinity.  Most of them are farmers since the property is typically an agricultural land.  From the foregoing consideration, the brokerage corporation did not comply with prestation in the MOA regarding the payment of any claims and relocation of occupants in the subject property.</w:t>
      </w:r>
    </w:p>
    <w:p w14:paraId="1BEC355A" w14:textId="77777777" w:rsidR="000C3538" w:rsidRPr="00345AA4" w:rsidRDefault="000C3538" w:rsidP="000C3538">
      <w:pPr>
        <w:pStyle w:val="ListParagraph"/>
        <w:tabs>
          <w:tab w:val="left" w:pos="990"/>
        </w:tabs>
        <w:ind w:left="900"/>
        <w:contextualSpacing/>
        <w:jc w:val="both"/>
        <w:rPr>
          <w:rFonts w:ascii="Arial" w:hAnsi="Arial" w:cs="Arial"/>
          <w:color w:val="000000" w:themeColor="text1"/>
          <w:sz w:val="22"/>
          <w:szCs w:val="22"/>
        </w:rPr>
      </w:pPr>
    </w:p>
    <w:p w14:paraId="4FC77C69" w14:textId="1F9AF23B" w:rsidR="000C3538" w:rsidRPr="00345AA4" w:rsidRDefault="000C3538" w:rsidP="000C3538">
      <w:pPr>
        <w:pStyle w:val="ListParagraph"/>
        <w:numPr>
          <w:ilvl w:val="1"/>
          <w:numId w:val="1"/>
        </w:numPr>
        <w:tabs>
          <w:tab w:val="left" w:pos="990"/>
        </w:tabs>
        <w:ind w:left="900" w:hanging="540"/>
        <w:contextualSpacing/>
        <w:jc w:val="both"/>
        <w:rPr>
          <w:rFonts w:ascii="Arial" w:hAnsi="Arial" w:cs="Arial"/>
          <w:bCs/>
          <w:color w:val="000000" w:themeColor="text1"/>
          <w:sz w:val="22"/>
          <w:szCs w:val="22"/>
        </w:rPr>
      </w:pPr>
      <w:r w:rsidRPr="00345AA4">
        <w:rPr>
          <w:rFonts w:ascii="Arial" w:hAnsi="Arial" w:cs="Arial"/>
          <w:bCs/>
          <w:color w:val="000000" w:themeColor="text1"/>
          <w:sz w:val="22"/>
          <w:szCs w:val="22"/>
        </w:rPr>
        <w:t>On March 16, 1999, an addendum to the above</w:t>
      </w:r>
      <w:r w:rsidR="00BB6351" w:rsidRPr="00345AA4">
        <w:rPr>
          <w:rFonts w:ascii="Arial" w:hAnsi="Arial" w:cs="Arial"/>
          <w:bCs/>
          <w:color w:val="000000" w:themeColor="text1"/>
          <w:sz w:val="22"/>
          <w:szCs w:val="22"/>
        </w:rPr>
        <w:t>-</w:t>
      </w:r>
      <w:r w:rsidRPr="00345AA4">
        <w:rPr>
          <w:rFonts w:ascii="Arial" w:hAnsi="Arial" w:cs="Arial"/>
          <w:bCs/>
          <w:color w:val="000000" w:themeColor="text1"/>
          <w:sz w:val="22"/>
          <w:szCs w:val="22"/>
        </w:rPr>
        <w:t xml:space="preserve">mentioned MOA was entered into by the same parties.  It was mentioned therein that the brokerage corporation has already acquired and purchased the subject property from its former owner-developer covered by TCT No. 41389 issued by the </w:t>
      </w:r>
      <w:r w:rsidR="000D5B06" w:rsidRPr="00345AA4">
        <w:rPr>
          <w:rFonts w:ascii="Arial" w:hAnsi="Arial" w:cs="Arial"/>
          <w:bCs/>
          <w:color w:val="000000" w:themeColor="text1"/>
          <w:sz w:val="22"/>
          <w:szCs w:val="22"/>
        </w:rPr>
        <w:t>RD</w:t>
      </w:r>
      <w:r w:rsidRPr="00345AA4">
        <w:rPr>
          <w:rFonts w:ascii="Arial" w:hAnsi="Arial" w:cs="Arial"/>
          <w:bCs/>
          <w:color w:val="000000" w:themeColor="text1"/>
          <w:sz w:val="22"/>
          <w:szCs w:val="22"/>
        </w:rPr>
        <w:t xml:space="preserve"> of </w:t>
      </w:r>
      <w:proofErr w:type="spellStart"/>
      <w:r w:rsidRPr="00345AA4">
        <w:rPr>
          <w:rFonts w:ascii="Arial" w:hAnsi="Arial" w:cs="Arial"/>
          <w:bCs/>
          <w:color w:val="000000" w:themeColor="text1"/>
          <w:sz w:val="22"/>
          <w:szCs w:val="22"/>
        </w:rPr>
        <w:t>Nasugbu</w:t>
      </w:r>
      <w:proofErr w:type="spellEnd"/>
      <w:r w:rsidRPr="00345AA4">
        <w:rPr>
          <w:rFonts w:ascii="Arial" w:hAnsi="Arial" w:cs="Arial"/>
          <w:bCs/>
          <w:color w:val="000000" w:themeColor="text1"/>
          <w:sz w:val="22"/>
          <w:szCs w:val="22"/>
        </w:rPr>
        <w:t xml:space="preserve">.  Allegedly, the foregoing TCT was cancelled and replaced by TCT No. 82447 registered in the name of </w:t>
      </w:r>
      <w:r w:rsidR="003A5021" w:rsidRPr="00345AA4">
        <w:rPr>
          <w:rFonts w:ascii="Arial" w:hAnsi="Arial" w:cs="Arial"/>
          <w:bCs/>
          <w:color w:val="000000" w:themeColor="text1"/>
          <w:sz w:val="22"/>
          <w:szCs w:val="22"/>
        </w:rPr>
        <w:t>MDC</w:t>
      </w:r>
      <w:r w:rsidRPr="00345AA4">
        <w:rPr>
          <w:rFonts w:ascii="Arial" w:hAnsi="Arial" w:cs="Arial"/>
          <w:bCs/>
          <w:color w:val="000000" w:themeColor="text1"/>
          <w:sz w:val="22"/>
          <w:szCs w:val="22"/>
        </w:rPr>
        <w:t xml:space="preserve"> only on August 23, 1999.</w:t>
      </w:r>
    </w:p>
    <w:p w14:paraId="32FCA342" w14:textId="77777777" w:rsidR="000C3538" w:rsidRPr="00345AA4" w:rsidRDefault="000C3538" w:rsidP="000C3538">
      <w:pPr>
        <w:pStyle w:val="ListParagraph"/>
        <w:tabs>
          <w:tab w:val="left" w:pos="990"/>
        </w:tabs>
        <w:ind w:left="360"/>
        <w:contextualSpacing/>
        <w:jc w:val="both"/>
        <w:rPr>
          <w:rFonts w:ascii="Arial" w:hAnsi="Arial" w:cs="Arial"/>
          <w:color w:val="000000" w:themeColor="text1"/>
          <w:sz w:val="22"/>
          <w:szCs w:val="22"/>
        </w:rPr>
      </w:pPr>
    </w:p>
    <w:p w14:paraId="210FF006" w14:textId="2A02E2C3" w:rsidR="000C3538" w:rsidRPr="00345AA4" w:rsidRDefault="000C3538" w:rsidP="000937A5">
      <w:pPr>
        <w:pStyle w:val="ListParagraph"/>
        <w:numPr>
          <w:ilvl w:val="1"/>
          <w:numId w:val="1"/>
        </w:numPr>
        <w:tabs>
          <w:tab w:val="left" w:pos="990"/>
        </w:tabs>
        <w:ind w:left="900" w:hanging="540"/>
        <w:contextualSpacing/>
        <w:jc w:val="both"/>
        <w:rPr>
          <w:rFonts w:ascii="Arial" w:hAnsi="Arial" w:cs="Arial"/>
          <w:bCs/>
          <w:color w:val="000000" w:themeColor="text1"/>
          <w:sz w:val="22"/>
          <w:szCs w:val="22"/>
        </w:rPr>
      </w:pPr>
      <w:r w:rsidRPr="00345AA4">
        <w:rPr>
          <w:rFonts w:ascii="Arial" w:hAnsi="Arial" w:cs="Arial"/>
          <w:bCs/>
          <w:color w:val="000000" w:themeColor="text1"/>
          <w:sz w:val="22"/>
          <w:szCs w:val="22"/>
        </w:rPr>
        <w:t>Upon the execution of the foregoing instrument, the following undertaking</w:t>
      </w:r>
      <w:r w:rsidR="00BA7A47" w:rsidRPr="00345AA4">
        <w:rPr>
          <w:rFonts w:ascii="Arial" w:hAnsi="Arial" w:cs="Arial"/>
          <w:bCs/>
          <w:color w:val="000000" w:themeColor="text1"/>
          <w:sz w:val="22"/>
          <w:szCs w:val="22"/>
        </w:rPr>
        <w:t>s</w:t>
      </w:r>
      <w:r w:rsidRPr="00345AA4">
        <w:rPr>
          <w:rFonts w:ascii="Arial" w:hAnsi="Arial" w:cs="Arial"/>
          <w:bCs/>
          <w:color w:val="000000" w:themeColor="text1"/>
          <w:sz w:val="22"/>
          <w:szCs w:val="22"/>
        </w:rPr>
        <w:t xml:space="preserve"> shall transpire: </w:t>
      </w:r>
    </w:p>
    <w:p w14:paraId="7B77CFDF" w14:textId="77777777" w:rsidR="000C3538" w:rsidRPr="00345AA4" w:rsidRDefault="000C3538" w:rsidP="000C3538">
      <w:pPr>
        <w:pStyle w:val="ListParagraph"/>
        <w:tabs>
          <w:tab w:val="left" w:pos="990"/>
        </w:tabs>
        <w:ind w:left="900"/>
        <w:contextualSpacing/>
        <w:jc w:val="both"/>
        <w:rPr>
          <w:rFonts w:ascii="Arial" w:hAnsi="Arial" w:cs="Arial"/>
          <w:bCs/>
          <w:color w:val="000000" w:themeColor="text1"/>
          <w:sz w:val="22"/>
          <w:szCs w:val="22"/>
        </w:rPr>
      </w:pPr>
    </w:p>
    <w:p w14:paraId="3E6E98F8" w14:textId="323F6A96" w:rsidR="000C3538" w:rsidRPr="00345AA4" w:rsidRDefault="000C3538" w:rsidP="000D5B06">
      <w:pPr>
        <w:pStyle w:val="NoSpacing"/>
        <w:numPr>
          <w:ilvl w:val="2"/>
          <w:numId w:val="1"/>
        </w:numPr>
        <w:ind w:left="1418" w:hanging="518"/>
        <w:jc w:val="both"/>
        <w:rPr>
          <w:rFonts w:ascii="Arial" w:hAnsi="Arial" w:cs="Arial"/>
          <w:color w:val="000000" w:themeColor="text1"/>
        </w:rPr>
      </w:pPr>
      <w:r w:rsidRPr="00345AA4">
        <w:rPr>
          <w:rFonts w:ascii="Arial" w:hAnsi="Arial" w:cs="Arial"/>
          <w:color w:val="000000" w:themeColor="text1"/>
        </w:rPr>
        <w:t>The AFPRSBS’ subsidiary realty corporation shall convey and deliver to the brokerage corporation a secretary’s certificate authorizing the latter to utilize and jointly withdraw with the former as a co-signatory, the “Joint” and “UNISA” accounts with a commercial bank under Joint Savings Account No. 3-197-00621-9 and UNISA Account Nos. 3-197-01335-5 and 3-197-01089-5 for the following purpose</w:t>
      </w:r>
      <w:r w:rsidR="00BB6351" w:rsidRPr="00345AA4">
        <w:rPr>
          <w:rFonts w:ascii="Arial" w:hAnsi="Arial" w:cs="Arial"/>
          <w:color w:val="000000" w:themeColor="text1"/>
        </w:rPr>
        <w:t>s</w:t>
      </w:r>
      <w:r w:rsidRPr="00345AA4">
        <w:rPr>
          <w:rFonts w:ascii="Arial" w:hAnsi="Arial" w:cs="Arial"/>
          <w:color w:val="000000" w:themeColor="text1"/>
        </w:rPr>
        <w:t>:</w:t>
      </w:r>
    </w:p>
    <w:p w14:paraId="33EF3EC8" w14:textId="77777777" w:rsidR="000C3538" w:rsidRPr="00345AA4" w:rsidRDefault="000C3538" w:rsidP="000C3538">
      <w:pPr>
        <w:pStyle w:val="ListParagraph"/>
        <w:tabs>
          <w:tab w:val="left" w:pos="990"/>
        </w:tabs>
        <w:ind w:left="360"/>
        <w:contextualSpacing/>
        <w:jc w:val="both"/>
        <w:rPr>
          <w:rFonts w:ascii="Arial" w:hAnsi="Arial" w:cs="Arial"/>
          <w:color w:val="000000" w:themeColor="text1"/>
          <w:sz w:val="22"/>
          <w:szCs w:val="22"/>
        </w:rPr>
      </w:pPr>
    </w:p>
    <w:p w14:paraId="7C484C94" w14:textId="164B7A02" w:rsidR="000C3538" w:rsidRPr="00345AA4" w:rsidRDefault="000C3538" w:rsidP="000C3538">
      <w:pPr>
        <w:pStyle w:val="ListParagraph"/>
        <w:numPr>
          <w:ilvl w:val="3"/>
          <w:numId w:val="7"/>
        </w:numPr>
        <w:tabs>
          <w:tab w:val="left" w:pos="1134"/>
          <w:tab w:val="left" w:pos="2160"/>
        </w:tabs>
        <w:ind w:left="198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To settle the claims and expenses relative to the clearing of the subject property from any squatter, tenant or occupant, which expenses include but are not limited to the disturbance compensation, legitimate claims of tenants/occupants, professional fees of lawyers, expenses for the disturbances compensation of tenants in the relocation site and such other expenses appurtenant thereto, which are deemed necessary and requisite for the orderly relocation of the tenants/occupants of the subject property and the </w:t>
      </w:r>
      <w:r w:rsidRPr="00345AA4">
        <w:rPr>
          <w:rFonts w:ascii="Arial" w:hAnsi="Arial" w:cs="Arial"/>
          <w:color w:val="000000" w:themeColor="text1"/>
          <w:sz w:val="22"/>
          <w:szCs w:val="22"/>
        </w:rPr>
        <w:lastRenderedPageBreak/>
        <w:t>peaceful surrender of the same to AFPRSBS’ subsidiary realty corporation;</w:t>
      </w:r>
    </w:p>
    <w:p w14:paraId="7CAEC65E" w14:textId="77777777" w:rsidR="000C3538" w:rsidRPr="00345AA4" w:rsidRDefault="000C3538" w:rsidP="000C3538">
      <w:pPr>
        <w:pStyle w:val="ListParagraph"/>
        <w:tabs>
          <w:tab w:val="left" w:pos="990"/>
        </w:tabs>
        <w:ind w:left="360"/>
        <w:contextualSpacing/>
        <w:jc w:val="both"/>
        <w:rPr>
          <w:rFonts w:ascii="Arial" w:hAnsi="Arial" w:cs="Arial"/>
          <w:color w:val="000000" w:themeColor="text1"/>
          <w:sz w:val="22"/>
          <w:szCs w:val="22"/>
        </w:rPr>
      </w:pPr>
    </w:p>
    <w:p w14:paraId="57FD070C" w14:textId="77777777" w:rsidR="000C3538" w:rsidRPr="00345AA4" w:rsidRDefault="000C3538" w:rsidP="000D5B06">
      <w:pPr>
        <w:pStyle w:val="ListParagraph"/>
        <w:numPr>
          <w:ilvl w:val="3"/>
          <w:numId w:val="7"/>
        </w:numPr>
        <w:tabs>
          <w:tab w:val="left" w:pos="1134"/>
          <w:tab w:val="left" w:pos="2160"/>
        </w:tabs>
        <w:ind w:left="198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To secure the appropriate clearance from the </w:t>
      </w:r>
      <w:r w:rsidR="000D5B06" w:rsidRPr="00345AA4">
        <w:rPr>
          <w:rFonts w:ascii="Arial" w:hAnsi="Arial" w:cs="Arial"/>
          <w:color w:val="000000" w:themeColor="text1"/>
          <w:sz w:val="22"/>
          <w:szCs w:val="22"/>
        </w:rPr>
        <w:t>Department of Agrarian Reform (</w:t>
      </w:r>
      <w:r w:rsidRPr="00345AA4">
        <w:rPr>
          <w:rFonts w:ascii="Arial" w:hAnsi="Arial" w:cs="Arial"/>
          <w:color w:val="000000" w:themeColor="text1"/>
          <w:sz w:val="22"/>
          <w:szCs w:val="22"/>
        </w:rPr>
        <w:t>DAR</w:t>
      </w:r>
      <w:r w:rsidR="000D5B06" w:rsidRPr="00345AA4">
        <w:rPr>
          <w:rFonts w:ascii="Arial" w:hAnsi="Arial" w:cs="Arial"/>
          <w:color w:val="000000" w:themeColor="text1"/>
          <w:sz w:val="22"/>
          <w:szCs w:val="22"/>
        </w:rPr>
        <w:t>)</w:t>
      </w:r>
      <w:r w:rsidRPr="00345AA4">
        <w:rPr>
          <w:rFonts w:ascii="Arial" w:hAnsi="Arial" w:cs="Arial"/>
          <w:color w:val="000000" w:themeColor="text1"/>
          <w:sz w:val="22"/>
          <w:szCs w:val="22"/>
        </w:rPr>
        <w:t xml:space="preserve"> or any other government agency, regarding the final order of exemption and/or conversion of the subject property from the coverage of the </w:t>
      </w:r>
      <w:r w:rsidR="000D5B06" w:rsidRPr="00345AA4">
        <w:rPr>
          <w:rFonts w:ascii="Arial" w:hAnsi="Arial" w:cs="Arial"/>
          <w:color w:val="000000" w:themeColor="text1"/>
          <w:sz w:val="22"/>
          <w:szCs w:val="22"/>
        </w:rPr>
        <w:t>Comprehensive Agrarian Reform Law (CARL)</w:t>
      </w:r>
      <w:r w:rsidRPr="00345AA4">
        <w:rPr>
          <w:rFonts w:ascii="Arial" w:hAnsi="Arial" w:cs="Arial"/>
          <w:color w:val="000000" w:themeColor="text1"/>
          <w:sz w:val="22"/>
          <w:szCs w:val="22"/>
        </w:rPr>
        <w:t xml:space="preserve">, including the aforementioned case in the </w:t>
      </w:r>
      <w:r w:rsidR="000D5B06" w:rsidRPr="00345AA4">
        <w:rPr>
          <w:rFonts w:ascii="Arial" w:hAnsi="Arial" w:cs="Arial"/>
          <w:color w:val="000000" w:themeColor="text1"/>
          <w:sz w:val="22"/>
          <w:szCs w:val="22"/>
        </w:rPr>
        <w:t>Court of Appeals (</w:t>
      </w:r>
      <w:r w:rsidRPr="00345AA4">
        <w:rPr>
          <w:rFonts w:ascii="Arial" w:hAnsi="Arial" w:cs="Arial"/>
          <w:color w:val="000000" w:themeColor="text1"/>
          <w:sz w:val="22"/>
          <w:szCs w:val="22"/>
        </w:rPr>
        <w:t>CA</w:t>
      </w:r>
      <w:r w:rsidR="000D5B06" w:rsidRPr="00345AA4">
        <w:rPr>
          <w:rFonts w:ascii="Arial" w:hAnsi="Arial" w:cs="Arial"/>
          <w:color w:val="000000" w:themeColor="text1"/>
          <w:sz w:val="22"/>
          <w:szCs w:val="22"/>
        </w:rPr>
        <w:t>)</w:t>
      </w:r>
      <w:r w:rsidRPr="00345AA4">
        <w:rPr>
          <w:rFonts w:ascii="Arial" w:hAnsi="Arial" w:cs="Arial"/>
          <w:color w:val="000000" w:themeColor="text1"/>
          <w:sz w:val="22"/>
          <w:szCs w:val="22"/>
        </w:rPr>
        <w:t>, and settlements of the lawyer’s fees and any other case which would involve the subject property;</w:t>
      </w:r>
    </w:p>
    <w:p w14:paraId="21043DCA" w14:textId="77777777" w:rsidR="000C3538" w:rsidRPr="00345AA4" w:rsidRDefault="000C3538" w:rsidP="000C3538">
      <w:pPr>
        <w:pStyle w:val="ListParagraph"/>
        <w:tabs>
          <w:tab w:val="left" w:pos="1134"/>
        </w:tabs>
        <w:ind w:left="1985"/>
        <w:contextualSpacing/>
        <w:jc w:val="both"/>
        <w:rPr>
          <w:rFonts w:ascii="Arial" w:hAnsi="Arial" w:cs="Arial"/>
          <w:color w:val="000000" w:themeColor="text1"/>
          <w:sz w:val="22"/>
          <w:szCs w:val="22"/>
        </w:rPr>
      </w:pPr>
    </w:p>
    <w:p w14:paraId="3AC32D79" w14:textId="614CD9F0" w:rsidR="000C3538" w:rsidRPr="00345AA4" w:rsidRDefault="000C3538" w:rsidP="000C3538">
      <w:pPr>
        <w:pStyle w:val="ListParagraph"/>
        <w:numPr>
          <w:ilvl w:val="3"/>
          <w:numId w:val="7"/>
        </w:numPr>
        <w:tabs>
          <w:tab w:val="left" w:pos="1134"/>
          <w:tab w:val="left" w:pos="2160"/>
        </w:tabs>
        <w:ind w:left="198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To settle the taxes, fees and other incidental expenses necessary for the transfer of TCT No. 41389 with the </w:t>
      </w:r>
      <w:r w:rsidR="00CA7638" w:rsidRPr="00345AA4">
        <w:rPr>
          <w:rFonts w:ascii="Arial" w:hAnsi="Arial" w:cs="Arial"/>
          <w:color w:val="000000" w:themeColor="text1"/>
          <w:sz w:val="22"/>
          <w:szCs w:val="22"/>
        </w:rPr>
        <w:t>RD</w:t>
      </w:r>
      <w:r w:rsidRPr="00345AA4">
        <w:rPr>
          <w:rFonts w:ascii="Arial" w:hAnsi="Arial" w:cs="Arial"/>
          <w:color w:val="000000" w:themeColor="text1"/>
          <w:sz w:val="22"/>
          <w:szCs w:val="22"/>
        </w:rPr>
        <w:t xml:space="preserve"> of </w:t>
      </w:r>
      <w:proofErr w:type="spellStart"/>
      <w:r w:rsidRPr="00345AA4">
        <w:rPr>
          <w:rFonts w:ascii="Arial" w:hAnsi="Arial" w:cs="Arial"/>
          <w:color w:val="000000" w:themeColor="text1"/>
          <w:sz w:val="22"/>
          <w:szCs w:val="22"/>
        </w:rPr>
        <w:t>Nasugbu</w:t>
      </w:r>
      <w:proofErr w:type="spellEnd"/>
      <w:r w:rsidRPr="00345AA4">
        <w:rPr>
          <w:rFonts w:ascii="Arial" w:hAnsi="Arial" w:cs="Arial"/>
          <w:color w:val="000000" w:themeColor="text1"/>
          <w:sz w:val="22"/>
          <w:szCs w:val="22"/>
        </w:rPr>
        <w:t xml:space="preserve">, </w:t>
      </w:r>
      <w:proofErr w:type="spellStart"/>
      <w:r w:rsidRPr="00345AA4">
        <w:rPr>
          <w:rFonts w:ascii="Arial" w:hAnsi="Arial" w:cs="Arial"/>
          <w:color w:val="000000" w:themeColor="text1"/>
          <w:sz w:val="22"/>
          <w:szCs w:val="22"/>
        </w:rPr>
        <w:t>Batangas</w:t>
      </w:r>
      <w:proofErr w:type="spellEnd"/>
      <w:r w:rsidRPr="00345AA4">
        <w:rPr>
          <w:rFonts w:ascii="Arial" w:hAnsi="Arial" w:cs="Arial"/>
          <w:color w:val="000000" w:themeColor="text1"/>
          <w:sz w:val="22"/>
          <w:szCs w:val="22"/>
        </w:rPr>
        <w:t xml:space="preserve"> to the registered name of </w:t>
      </w:r>
      <w:r w:rsidR="00E672B4" w:rsidRPr="00345AA4">
        <w:rPr>
          <w:rFonts w:ascii="Arial" w:hAnsi="Arial" w:cs="Arial"/>
          <w:color w:val="000000" w:themeColor="text1"/>
          <w:sz w:val="22"/>
          <w:szCs w:val="22"/>
        </w:rPr>
        <w:t>MDC</w:t>
      </w:r>
      <w:r w:rsidRPr="00345AA4">
        <w:rPr>
          <w:rFonts w:ascii="Arial" w:hAnsi="Arial" w:cs="Arial"/>
          <w:color w:val="000000" w:themeColor="text1"/>
          <w:sz w:val="22"/>
          <w:szCs w:val="22"/>
        </w:rPr>
        <w:t xml:space="preserve"> or should prove deficient in meeting the expenses, the brokerage corporation shall have sole responsibility of shouldering the excess or additional expense herein mentioned; and</w:t>
      </w:r>
    </w:p>
    <w:p w14:paraId="6CB4528C" w14:textId="77777777" w:rsidR="000C3538" w:rsidRPr="00345AA4" w:rsidRDefault="000C3538" w:rsidP="000C3538">
      <w:pPr>
        <w:pStyle w:val="ListParagraph"/>
        <w:tabs>
          <w:tab w:val="left" w:pos="990"/>
        </w:tabs>
        <w:ind w:left="360"/>
        <w:contextualSpacing/>
        <w:jc w:val="both"/>
        <w:rPr>
          <w:rFonts w:ascii="Arial" w:hAnsi="Arial" w:cs="Arial"/>
          <w:color w:val="000000" w:themeColor="text1"/>
          <w:sz w:val="22"/>
          <w:szCs w:val="22"/>
        </w:rPr>
      </w:pPr>
    </w:p>
    <w:p w14:paraId="5CCFABA9" w14:textId="5C51B503" w:rsidR="000C3538" w:rsidRPr="00345AA4" w:rsidRDefault="000C3538" w:rsidP="000C3538">
      <w:pPr>
        <w:pStyle w:val="ListParagraph"/>
        <w:numPr>
          <w:ilvl w:val="3"/>
          <w:numId w:val="7"/>
        </w:numPr>
        <w:tabs>
          <w:tab w:val="left" w:pos="1134"/>
          <w:tab w:val="left" w:pos="2160"/>
        </w:tabs>
        <w:ind w:left="198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Upon fulfillment of the abovementioned paragraphs and upon presentation and receipt of a valid and clean title to the subject property by the brokerage corporation, the AFPRSBS’ subsidiary realty corporation shall cease to become a co-signatory of the foregoing “Joint” and “UNISA” accounts with the commercial bank.  Consequently, the AFPRSBS’ subsidiary realty corporation shall immediately execute whatever documents that </w:t>
      </w:r>
      <w:r w:rsidR="00BA7A47" w:rsidRPr="00345AA4">
        <w:rPr>
          <w:rFonts w:ascii="Arial" w:hAnsi="Arial" w:cs="Arial"/>
          <w:color w:val="000000" w:themeColor="text1"/>
          <w:sz w:val="22"/>
          <w:szCs w:val="22"/>
        </w:rPr>
        <w:t>are</w:t>
      </w:r>
      <w:r w:rsidRPr="00345AA4">
        <w:rPr>
          <w:rFonts w:ascii="Arial" w:hAnsi="Arial" w:cs="Arial"/>
          <w:color w:val="000000" w:themeColor="text1"/>
          <w:sz w:val="22"/>
          <w:szCs w:val="22"/>
        </w:rPr>
        <w:t xml:space="preserve"> necessary to terminate its status as a co-signatory in the said accounts with the commercial bank with the end view of making the brokerage corporation as the sole and exclusive signatory of the said accounts.</w:t>
      </w:r>
    </w:p>
    <w:p w14:paraId="25F95454" w14:textId="77777777" w:rsidR="000C3538" w:rsidRPr="00345AA4" w:rsidRDefault="000C3538" w:rsidP="000C3538">
      <w:pPr>
        <w:pStyle w:val="ListParagraph"/>
        <w:tabs>
          <w:tab w:val="left" w:pos="990"/>
        </w:tabs>
        <w:ind w:left="360"/>
        <w:contextualSpacing/>
        <w:jc w:val="both"/>
        <w:rPr>
          <w:rFonts w:ascii="Arial" w:hAnsi="Arial" w:cs="Arial"/>
          <w:color w:val="000000" w:themeColor="text1"/>
          <w:sz w:val="22"/>
          <w:szCs w:val="22"/>
        </w:rPr>
      </w:pPr>
    </w:p>
    <w:p w14:paraId="6924DD80" w14:textId="3FEE5F7E" w:rsidR="000C3538" w:rsidRPr="00345AA4" w:rsidRDefault="000C3538" w:rsidP="000C3538">
      <w:pPr>
        <w:pStyle w:val="ListParagraph"/>
        <w:ind w:left="14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On the verification of the foregoing bank accounts, the Audit Team requested from the Management any documentary evidence to support the existence of the said account.  However, Management</w:t>
      </w:r>
      <w:r w:rsidR="00DB1FE6" w:rsidRPr="00345AA4">
        <w:rPr>
          <w:rFonts w:ascii="Arial" w:hAnsi="Arial" w:cs="Arial"/>
          <w:color w:val="000000" w:themeColor="text1"/>
          <w:sz w:val="22"/>
          <w:szCs w:val="22"/>
        </w:rPr>
        <w:t xml:space="preserve"> was</w:t>
      </w:r>
      <w:r w:rsidRPr="00345AA4">
        <w:rPr>
          <w:rFonts w:ascii="Arial" w:hAnsi="Arial" w:cs="Arial"/>
          <w:color w:val="000000" w:themeColor="text1"/>
          <w:sz w:val="22"/>
          <w:szCs w:val="22"/>
        </w:rPr>
        <w:t xml:space="preserve"> </w:t>
      </w:r>
      <w:r w:rsidR="00483000" w:rsidRPr="00345AA4">
        <w:rPr>
          <w:rFonts w:ascii="Arial" w:hAnsi="Arial" w:cs="Arial"/>
          <w:color w:val="000000" w:themeColor="text1"/>
          <w:sz w:val="22"/>
          <w:szCs w:val="22"/>
        </w:rPr>
        <w:t>unable</w:t>
      </w:r>
      <w:r w:rsidRPr="00345AA4">
        <w:rPr>
          <w:rFonts w:ascii="Arial" w:hAnsi="Arial" w:cs="Arial"/>
          <w:color w:val="000000" w:themeColor="text1"/>
          <w:sz w:val="22"/>
          <w:szCs w:val="22"/>
        </w:rPr>
        <w:t xml:space="preserve"> to submit the requested documents due to lack of documentations and improper turnover of documents from previous officers-in-charge.  Further, </w:t>
      </w:r>
      <w:r w:rsidR="00F45F8D" w:rsidRPr="00345AA4">
        <w:rPr>
          <w:rFonts w:ascii="Arial" w:hAnsi="Arial" w:cs="Arial"/>
          <w:color w:val="000000" w:themeColor="text1"/>
          <w:sz w:val="22"/>
          <w:szCs w:val="22"/>
        </w:rPr>
        <w:t xml:space="preserve">the </w:t>
      </w:r>
      <w:r w:rsidRPr="00345AA4">
        <w:rPr>
          <w:rFonts w:ascii="Arial" w:hAnsi="Arial" w:cs="Arial"/>
          <w:color w:val="000000" w:themeColor="text1"/>
          <w:sz w:val="22"/>
          <w:szCs w:val="22"/>
        </w:rPr>
        <w:t xml:space="preserve">present Management alleged that they have no personal knowledge of the said bank accounts nor </w:t>
      </w:r>
      <w:r w:rsidR="00F45F8D" w:rsidRPr="00345AA4">
        <w:rPr>
          <w:rFonts w:ascii="Arial" w:hAnsi="Arial" w:cs="Arial"/>
          <w:color w:val="000000" w:themeColor="text1"/>
          <w:sz w:val="22"/>
          <w:szCs w:val="22"/>
        </w:rPr>
        <w:t xml:space="preserve">have they </w:t>
      </w:r>
      <w:r w:rsidRPr="00345AA4">
        <w:rPr>
          <w:rFonts w:ascii="Arial" w:hAnsi="Arial" w:cs="Arial"/>
          <w:color w:val="000000" w:themeColor="text1"/>
          <w:sz w:val="22"/>
          <w:szCs w:val="22"/>
        </w:rPr>
        <w:t>encounter</w:t>
      </w:r>
      <w:r w:rsidR="00F45F8D" w:rsidRPr="00345AA4">
        <w:rPr>
          <w:rFonts w:ascii="Arial" w:hAnsi="Arial" w:cs="Arial"/>
          <w:color w:val="000000" w:themeColor="text1"/>
          <w:sz w:val="22"/>
          <w:szCs w:val="22"/>
        </w:rPr>
        <w:t>ed</w:t>
      </w:r>
      <w:r w:rsidRPr="00345AA4">
        <w:rPr>
          <w:rFonts w:ascii="Arial" w:hAnsi="Arial" w:cs="Arial"/>
          <w:color w:val="000000" w:themeColor="text1"/>
          <w:sz w:val="22"/>
          <w:szCs w:val="22"/>
        </w:rPr>
        <w:t xml:space="preserve"> any trail of their existence other than being mentioned in the addendum of the MOA.</w:t>
      </w:r>
    </w:p>
    <w:p w14:paraId="4652602D" w14:textId="77777777" w:rsidR="000C3538" w:rsidRPr="00345AA4" w:rsidRDefault="000C3538" w:rsidP="000C3538">
      <w:pPr>
        <w:pStyle w:val="ListParagraph"/>
        <w:tabs>
          <w:tab w:val="left" w:pos="990"/>
        </w:tabs>
        <w:ind w:left="360"/>
        <w:contextualSpacing/>
        <w:jc w:val="both"/>
        <w:rPr>
          <w:rFonts w:ascii="Arial" w:hAnsi="Arial" w:cs="Arial"/>
          <w:color w:val="000000" w:themeColor="text1"/>
          <w:sz w:val="22"/>
          <w:szCs w:val="22"/>
        </w:rPr>
      </w:pPr>
    </w:p>
    <w:p w14:paraId="61406EAB" w14:textId="77777777" w:rsidR="000C3538" w:rsidRPr="00345AA4" w:rsidRDefault="000C3538" w:rsidP="000D5B06">
      <w:pPr>
        <w:pStyle w:val="NoSpacing"/>
        <w:numPr>
          <w:ilvl w:val="2"/>
          <w:numId w:val="1"/>
        </w:numPr>
        <w:ind w:left="1418" w:hanging="518"/>
        <w:jc w:val="both"/>
        <w:rPr>
          <w:rFonts w:ascii="Arial" w:hAnsi="Arial" w:cs="Arial"/>
          <w:color w:val="000000" w:themeColor="text1"/>
        </w:rPr>
      </w:pPr>
      <w:r w:rsidRPr="00345AA4">
        <w:rPr>
          <w:rFonts w:ascii="Arial" w:hAnsi="Arial" w:cs="Arial"/>
          <w:color w:val="000000" w:themeColor="text1"/>
        </w:rPr>
        <w:t>The undertaking of the AFPRSBS’ subsidiary realty corporation as provided in the Addendum to the MOA include but not limited to the delivery of following documents on April 30, 1999:</w:t>
      </w:r>
    </w:p>
    <w:p w14:paraId="7FE28B88" w14:textId="77777777" w:rsidR="000C3538" w:rsidRPr="00345AA4" w:rsidRDefault="000B1AB2" w:rsidP="000C3538">
      <w:pPr>
        <w:pStyle w:val="ListParagraph"/>
        <w:tabs>
          <w:tab w:val="left" w:pos="990"/>
        </w:tabs>
        <w:ind w:left="36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ab/>
      </w:r>
      <w:r w:rsidRPr="00345AA4">
        <w:rPr>
          <w:rFonts w:ascii="Arial" w:hAnsi="Arial" w:cs="Arial"/>
          <w:color w:val="000000" w:themeColor="text1"/>
          <w:sz w:val="22"/>
          <w:szCs w:val="22"/>
        </w:rPr>
        <w:tab/>
      </w:r>
      <w:r w:rsidRPr="00345AA4">
        <w:rPr>
          <w:rFonts w:ascii="Arial" w:hAnsi="Arial" w:cs="Arial"/>
          <w:color w:val="000000" w:themeColor="text1"/>
          <w:sz w:val="22"/>
          <w:szCs w:val="22"/>
        </w:rPr>
        <w:tab/>
      </w:r>
    </w:p>
    <w:p w14:paraId="310FD273" w14:textId="77777777" w:rsidR="000C3538" w:rsidRPr="00345AA4" w:rsidRDefault="000C3538" w:rsidP="000C3538">
      <w:pPr>
        <w:pStyle w:val="ListParagraph"/>
        <w:numPr>
          <w:ilvl w:val="0"/>
          <w:numId w:val="8"/>
        </w:numPr>
        <w:tabs>
          <w:tab w:val="left" w:pos="1134"/>
        </w:tabs>
        <w:contextualSpacing/>
        <w:jc w:val="both"/>
        <w:rPr>
          <w:rFonts w:ascii="Arial" w:hAnsi="Arial" w:cs="Arial"/>
          <w:vanish/>
          <w:color w:val="000000" w:themeColor="text1"/>
          <w:sz w:val="22"/>
          <w:szCs w:val="22"/>
        </w:rPr>
      </w:pPr>
    </w:p>
    <w:p w14:paraId="47094AF0" w14:textId="77777777" w:rsidR="000C3538" w:rsidRPr="00345AA4" w:rsidRDefault="000C3538" w:rsidP="000C3538">
      <w:pPr>
        <w:pStyle w:val="ListParagraph"/>
        <w:numPr>
          <w:ilvl w:val="0"/>
          <w:numId w:val="8"/>
        </w:numPr>
        <w:tabs>
          <w:tab w:val="left" w:pos="1134"/>
        </w:tabs>
        <w:contextualSpacing/>
        <w:jc w:val="both"/>
        <w:rPr>
          <w:rFonts w:ascii="Arial" w:hAnsi="Arial" w:cs="Arial"/>
          <w:vanish/>
          <w:color w:val="000000" w:themeColor="text1"/>
          <w:sz w:val="22"/>
          <w:szCs w:val="22"/>
        </w:rPr>
      </w:pPr>
    </w:p>
    <w:p w14:paraId="4A8CA5C4" w14:textId="77777777" w:rsidR="000C3538" w:rsidRPr="00345AA4" w:rsidRDefault="000C3538" w:rsidP="000C3538">
      <w:pPr>
        <w:pStyle w:val="ListParagraph"/>
        <w:numPr>
          <w:ilvl w:val="1"/>
          <w:numId w:val="8"/>
        </w:numPr>
        <w:tabs>
          <w:tab w:val="left" w:pos="1134"/>
        </w:tabs>
        <w:contextualSpacing/>
        <w:jc w:val="both"/>
        <w:rPr>
          <w:rFonts w:ascii="Arial" w:hAnsi="Arial" w:cs="Arial"/>
          <w:vanish/>
          <w:color w:val="000000" w:themeColor="text1"/>
          <w:sz w:val="22"/>
          <w:szCs w:val="22"/>
        </w:rPr>
      </w:pPr>
    </w:p>
    <w:p w14:paraId="10C01C1C" w14:textId="77777777" w:rsidR="000C3538" w:rsidRPr="00345AA4" w:rsidRDefault="000C3538" w:rsidP="000C3538">
      <w:pPr>
        <w:pStyle w:val="ListParagraph"/>
        <w:numPr>
          <w:ilvl w:val="2"/>
          <w:numId w:val="8"/>
        </w:numPr>
        <w:tabs>
          <w:tab w:val="left" w:pos="1134"/>
        </w:tabs>
        <w:contextualSpacing/>
        <w:jc w:val="both"/>
        <w:rPr>
          <w:rFonts w:ascii="Arial" w:hAnsi="Arial" w:cs="Arial"/>
          <w:vanish/>
          <w:color w:val="000000" w:themeColor="text1"/>
          <w:sz w:val="22"/>
          <w:szCs w:val="22"/>
        </w:rPr>
      </w:pPr>
    </w:p>
    <w:p w14:paraId="350311B9" w14:textId="77777777" w:rsidR="000C3538" w:rsidRPr="00345AA4" w:rsidRDefault="000C3538" w:rsidP="000C3538">
      <w:pPr>
        <w:pStyle w:val="ListParagraph"/>
        <w:numPr>
          <w:ilvl w:val="2"/>
          <w:numId w:val="8"/>
        </w:numPr>
        <w:tabs>
          <w:tab w:val="left" w:pos="1134"/>
        </w:tabs>
        <w:contextualSpacing/>
        <w:jc w:val="both"/>
        <w:rPr>
          <w:rFonts w:ascii="Arial" w:hAnsi="Arial" w:cs="Arial"/>
          <w:vanish/>
          <w:color w:val="000000" w:themeColor="text1"/>
          <w:sz w:val="22"/>
          <w:szCs w:val="22"/>
        </w:rPr>
      </w:pPr>
    </w:p>
    <w:p w14:paraId="51CBBED9" w14:textId="6B7C49DA" w:rsidR="000C3538" w:rsidRPr="00345AA4" w:rsidRDefault="000C3538" w:rsidP="000C3538">
      <w:pPr>
        <w:pStyle w:val="ListParagraph"/>
        <w:numPr>
          <w:ilvl w:val="3"/>
          <w:numId w:val="8"/>
        </w:numPr>
        <w:tabs>
          <w:tab w:val="left" w:pos="1134"/>
        </w:tabs>
        <w:ind w:left="198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Stock certificates of the AFPRSBS’ subsidiary realty corporation in the amount of P1.5 million</w:t>
      </w:r>
      <w:r w:rsidR="00BA7A47" w:rsidRPr="00345AA4">
        <w:rPr>
          <w:rFonts w:ascii="Arial" w:hAnsi="Arial" w:cs="Arial"/>
          <w:color w:val="000000" w:themeColor="text1"/>
          <w:sz w:val="22"/>
          <w:szCs w:val="22"/>
        </w:rPr>
        <w:t>,</w:t>
      </w:r>
      <w:r w:rsidRPr="00345AA4">
        <w:rPr>
          <w:rFonts w:ascii="Arial" w:hAnsi="Arial" w:cs="Arial"/>
          <w:color w:val="000000" w:themeColor="text1"/>
          <w:sz w:val="22"/>
          <w:szCs w:val="22"/>
        </w:rPr>
        <w:t xml:space="preserve"> all of which must be paid up, and duly endorsed by the stockholders;</w:t>
      </w:r>
    </w:p>
    <w:p w14:paraId="1065601B" w14:textId="77777777" w:rsidR="000C3538" w:rsidRPr="00345AA4" w:rsidRDefault="000C3538" w:rsidP="000C3538">
      <w:pPr>
        <w:pStyle w:val="ListParagraph"/>
        <w:tabs>
          <w:tab w:val="left" w:pos="990"/>
        </w:tabs>
        <w:ind w:left="360"/>
        <w:contextualSpacing/>
        <w:jc w:val="both"/>
        <w:rPr>
          <w:rFonts w:ascii="Arial" w:hAnsi="Arial" w:cs="Arial"/>
          <w:color w:val="000000" w:themeColor="text1"/>
          <w:sz w:val="22"/>
          <w:szCs w:val="22"/>
        </w:rPr>
      </w:pPr>
    </w:p>
    <w:p w14:paraId="1C24940C" w14:textId="3E05E44F" w:rsidR="000C3538" w:rsidRPr="00345AA4" w:rsidRDefault="000C3538" w:rsidP="000C3538">
      <w:pPr>
        <w:pStyle w:val="ListParagraph"/>
        <w:numPr>
          <w:ilvl w:val="3"/>
          <w:numId w:val="8"/>
        </w:numPr>
        <w:tabs>
          <w:tab w:val="left" w:pos="1134"/>
        </w:tabs>
        <w:ind w:left="198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B</w:t>
      </w:r>
      <w:r w:rsidR="00F05760">
        <w:rPr>
          <w:rFonts w:ascii="Arial" w:hAnsi="Arial" w:cs="Arial"/>
          <w:color w:val="000000" w:themeColor="text1"/>
          <w:sz w:val="22"/>
          <w:szCs w:val="22"/>
        </w:rPr>
        <w:t>oard Resolution (BR)</w:t>
      </w:r>
      <w:r w:rsidRPr="00345AA4">
        <w:rPr>
          <w:rFonts w:ascii="Arial" w:hAnsi="Arial" w:cs="Arial"/>
          <w:color w:val="000000" w:themeColor="text1"/>
          <w:sz w:val="22"/>
          <w:szCs w:val="22"/>
        </w:rPr>
        <w:t xml:space="preserve"> and/or approval sheet of AFPRSBS approving and authorizing the transfer of its subsidiary realty corporation’s shares to the brokerage corporation;</w:t>
      </w:r>
    </w:p>
    <w:p w14:paraId="42505897" w14:textId="77777777" w:rsidR="000C3538" w:rsidRPr="00345AA4" w:rsidRDefault="000C3538" w:rsidP="000C3538">
      <w:pPr>
        <w:pStyle w:val="ListParagraph"/>
        <w:tabs>
          <w:tab w:val="left" w:pos="990"/>
        </w:tabs>
        <w:ind w:left="360"/>
        <w:contextualSpacing/>
        <w:jc w:val="both"/>
        <w:rPr>
          <w:rFonts w:ascii="Arial" w:hAnsi="Arial" w:cs="Arial"/>
          <w:color w:val="000000" w:themeColor="text1"/>
          <w:sz w:val="22"/>
          <w:szCs w:val="22"/>
        </w:rPr>
      </w:pPr>
    </w:p>
    <w:p w14:paraId="1F637698" w14:textId="77777777" w:rsidR="000C3538" w:rsidRPr="00345AA4" w:rsidRDefault="00483000" w:rsidP="00483000">
      <w:pPr>
        <w:pStyle w:val="ListParagraph"/>
        <w:numPr>
          <w:ilvl w:val="3"/>
          <w:numId w:val="8"/>
        </w:numPr>
        <w:tabs>
          <w:tab w:val="left" w:pos="1134"/>
        </w:tabs>
        <w:ind w:left="198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lastRenderedPageBreak/>
        <w:t>Condominium Certificate of Titles (</w:t>
      </w:r>
      <w:r w:rsidR="000C3538" w:rsidRPr="00345AA4">
        <w:rPr>
          <w:rFonts w:ascii="Arial" w:hAnsi="Arial" w:cs="Arial"/>
          <w:color w:val="000000" w:themeColor="text1"/>
          <w:sz w:val="22"/>
          <w:szCs w:val="22"/>
        </w:rPr>
        <w:t>CCT</w:t>
      </w:r>
      <w:r w:rsidRPr="00345AA4">
        <w:rPr>
          <w:rFonts w:ascii="Arial" w:hAnsi="Arial" w:cs="Arial"/>
          <w:color w:val="000000" w:themeColor="text1"/>
          <w:sz w:val="22"/>
          <w:szCs w:val="22"/>
        </w:rPr>
        <w:t>)</w:t>
      </w:r>
      <w:r w:rsidR="000C3538" w:rsidRPr="00345AA4">
        <w:rPr>
          <w:rFonts w:ascii="Arial" w:hAnsi="Arial" w:cs="Arial"/>
          <w:color w:val="000000" w:themeColor="text1"/>
          <w:sz w:val="22"/>
          <w:szCs w:val="22"/>
        </w:rPr>
        <w:t xml:space="preserve"> of the 120 units involved in the swap as per MOA;</w:t>
      </w:r>
    </w:p>
    <w:p w14:paraId="45C9619C" w14:textId="77777777" w:rsidR="000C3538" w:rsidRPr="00345AA4" w:rsidRDefault="000C3538" w:rsidP="000C3538">
      <w:pPr>
        <w:pStyle w:val="ListParagraph"/>
        <w:tabs>
          <w:tab w:val="left" w:pos="990"/>
        </w:tabs>
        <w:ind w:left="360"/>
        <w:contextualSpacing/>
        <w:jc w:val="both"/>
        <w:rPr>
          <w:rFonts w:ascii="Arial" w:hAnsi="Arial" w:cs="Arial"/>
          <w:color w:val="000000" w:themeColor="text1"/>
          <w:sz w:val="22"/>
          <w:szCs w:val="22"/>
        </w:rPr>
      </w:pPr>
    </w:p>
    <w:p w14:paraId="59B286F2" w14:textId="77777777" w:rsidR="000C3538" w:rsidRPr="00345AA4" w:rsidRDefault="000C3538" w:rsidP="000C3538">
      <w:pPr>
        <w:pStyle w:val="ListParagraph"/>
        <w:numPr>
          <w:ilvl w:val="3"/>
          <w:numId w:val="8"/>
        </w:numPr>
        <w:tabs>
          <w:tab w:val="left" w:pos="1134"/>
        </w:tabs>
        <w:ind w:left="198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Original AOI and By-Laws of the AFPRSBS’ subsidiary realty corporation and the duly amended AOI extending the corporate term of the AFPRSBS’ subsidiary realty corporation with a certificate from the SEC evidencing the approval of the said amendment; and</w:t>
      </w:r>
    </w:p>
    <w:p w14:paraId="30EFD39F" w14:textId="77777777" w:rsidR="000C3538" w:rsidRPr="00345AA4" w:rsidRDefault="000C3538" w:rsidP="000C3538">
      <w:pPr>
        <w:pStyle w:val="ListParagraph"/>
        <w:tabs>
          <w:tab w:val="left" w:pos="990"/>
        </w:tabs>
        <w:ind w:left="360"/>
        <w:contextualSpacing/>
        <w:jc w:val="both"/>
        <w:rPr>
          <w:rFonts w:ascii="Arial" w:hAnsi="Arial" w:cs="Arial"/>
          <w:color w:val="000000" w:themeColor="text1"/>
          <w:sz w:val="22"/>
          <w:szCs w:val="22"/>
        </w:rPr>
      </w:pPr>
    </w:p>
    <w:p w14:paraId="7B964F34" w14:textId="1E028EE3" w:rsidR="000C3538" w:rsidRPr="00345AA4" w:rsidRDefault="000C3538" w:rsidP="000C3538">
      <w:pPr>
        <w:pStyle w:val="ListParagraph"/>
        <w:numPr>
          <w:ilvl w:val="3"/>
          <w:numId w:val="8"/>
        </w:numPr>
        <w:tabs>
          <w:tab w:val="left" w:pos="1134"/>
        </w:tabs>
        <w:ind w:left="198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The AFPRSBS’ subsidiary realty corporation shall undertake to convey and deliver to the brokerage corporation on April 30, 1999 </w:t>
      </w:r>
      <w:r w:rsidR="00BA7A47" w:rsidRPr="00345AA4">
        <w:rPr>
          <w:rFonts w:ascii="Arial" w:hAnsi="Arial" w:cs="Arial"/>
          <w:color w:val="000000" w:themeColor="text1"/>
          <w:sz w:val="22"/>
          <w:szCs w:val="22"/>
        </w:rPr>
        <w:t xml:space="preserve">the </w:t>
      </w:r>
      <w:r w:rsidRPr="00345AA4">
        <w:rPr>
          <w:rFonts w:ascii="Arial" w:hAnsi="Arial" w:cs="Arial"/>
          <w:color w:val="000000" w:themeColor="text1"/>
          <w:sz w:val="22"/>
          <w:szCs w:val="22"/>
        </w:rPr>
        <w:t>relevant documents including an undertaking executed by AFPRSBS that it shall assume all unsettled liabilities and indebtedness of the AFPRSBS’ subsidiary realty corporation inclusive of unpaid real estate taxes until the first quarter of 1999.  However, the taxes, fees and other charges assessed by reason of the sale of any of the 120 condominium units included in the MOA shall not be included in the undertaking.</w:t>
      </w:r>
    </w:p>
    <w:p w14:paraId="506972EE" w14:textId="77777777" w:rsidR="000C3538" w:rsidRPr="00345AA4" w:rsidRDefault="000C3538" w:rsidP="000C3538">
      <w:pPr>
        <w:pStyle w:val="ListParagraph"/>
        <w:tabs>
          <w:tab w:val="left" w:pos="990"/>
        </w:tabs>
        <w:ind w:left="360"/>
        <w:contextualSpacing/>
        <w:jc w:val="both"/>
        <w:rPr>
          <w:rFonts w:ascii="Arial" w:hAnsi="Arial" w:cs="Arial"/>
          <w:color w:val="000000" w:themeColor="text1"/>
          <w:sz w:val="22"/>
          <w:szCs w:val="22"/>
        </w:rPr>
      </w:pPr>
    </w:p>
    <w:p w14:paraId="786AE3CF" w14:textId="63306E88" w:rsidR="000C3538" w:rsidRPr="00345AA4" w:rsidRDefault="000C3538" w:rsidP="000D5B06">
      <w:pPr>
        <w:pStyle w:val="NoSpacing"/>
        <w:numPr>
          <w:ilvl w:val="2"/>
          <w:numId w:val="1"/>
        </w:numPr>
        <w:ind w:left="1418" w:hanging="518"/>
        <w:jc w:val="both"/>
        <w:rPr>
          <w:rFonts w:ascii="Arial" w:hAnsi="Arial" w:cs="Arial"/>
          <w:color w:val="000000" w:themeColor="text1"/>
        </w:rPr>
      </w:pPr>
      <w:r w:rsidRPr="00345AA4">
        <w:rPr>
          <w:rFonts w:ascii="Arial" w:hAnsi="Arial" w:cs="Arial"/>
          <w:color w:val="000000" w:themeColor="text1"/>
        </w:rPr>
        <w:t>On the other hand, the undertaking</w:t>
      </w:r>
      <w:r w:rsidR="00BA7A47" w:rsidRPr="00345AA4">
        <w:rPr>
          <w:rFonts w:ascii="Arial" w:hAnsi="Arial" w:cs="Arial"/>
          <w:color w:val="000000" w:themeColor="text1"/>
        </w:rPr>
        <w:t>s</w:t>
      </w:r>
      <w:r w:rsidRPr="00345AA4">
        <w:rPr>
          <w:rFonts w:ascii="Arial" w:hAnsi="Arial" w:cs="Arial"/>
          <w:color w:val="000000" w:themeColor="text1"/>
        </w:rPr>
        <w:t xml:space="preserve"> of the brokerage corporation includes but not limited to the following:</w:t>
      </w:r>
    </w:p>
    <w:p w14:paraId="37B263C0" w14:textId="77777777" w:rsidR="000C3538" w:rsidRPr="00345AA4" w:rsidRDefault="000C3538" w:rsidP="000C3538">
      <w:pPr>
        <w:pStyle w:val="ListParagraph"/>
        <w:tabs>
          <w:tab w:val="left" w:pos="990"/>
        </w:tabs>
        <w:ind w:left="360"/>
        <w:contextualSpacing/>
        <w:jc w:val="both"/>
        <w:rPr>
          <w:rFonts w:ascii="Arial" w:hAnsi="Arial" w:cs="Arial"/>
          <w:color w:val="000000" w:themeColor="text1"/>
          <w:sz w:val="22"/>
          <w:szCs w:val="22"/>
        </w:rPr>
      </w:pPr>
    </w:p>
    <w:p w14:paraId="51A997CA" w14:textId="77777777" w:rsidR="000C3538" w:rsidRPr="00345AA4" w:rsidRDefault="000C3538" w:rsidP="000C3538">
      <w:pPr>
        <w:pStyle w:val="ListParagraph"/>
        <w:numPr>
          <w:ilvl w:val="0"/>
          <w:numId w:val="8"/>
        </w:numPr>
        <w:tabs>
          <w:tab w:val="left" w:pos="1134"/>
        </w:tabs>
        <w:contextualSpacing/>
        <w:jc w:val="both"/>
        <w:rPr>
          <w:rFonts w:ascii="Arial" w:hAnsi="Arial" w:cs="Arial"/>
          <w:vanish/>
          <w:color w:val="000000" w:themeColor="text1"/>
          <w:sz w:val="22"/>
          <w:szCs w:val="22"/>
        </w:rPr>
      </w:pPr>
    </w:p>
    <w:p w14:paraId="7230EE75" w14:textId="77777777" w:rsidR="000C3538" w:rsidRPr="00345AA4" w:rsidRDefault="000C3538" w:rsidP="000C3538">
      <w:pPr>
        <w:pStyle w:val="ListParagraph"/>
        <w:numPr>
          <w:ilvl w:val="1"/>
          <w:numId w:val="8"/>
        </w:numPr>
        <w:tabs>
          <w:tab w:val="left" w:pos="1134"/>
        </w:tabs>
        <w:contextualSpacing/>
        <w:jc w:val="both"/>
        <w:rPr>
          <w:rFonts w:ascii="Arial" w:hAnsi="Arial" w:cs="Arial"/>
          <w:vanish/>
          <w:color w:val="000000" w:themeColor="text1"/>
          <w:sz w:val="22"/>
          <w:szCs w:val="22"/>
        </w:rPr>
      </w:pPr>
    </w:p>
    <w:p w14:paraId="5A38E2AF" w14:textId="77777777" w:rsidR="000C3538" w:rsidRPr="00345AA4" w:rsidRDefault="000C3538" w:rsidP="000C3538">
      <w:pPr>
        <w:pStyle w:val="ListParagraph"/>
        <w:numPr>
          <w:ilvl w:val="2"/>
          <w:numId w:val="8"/>
        </w:numPr>
        <w:tabs>
          <w:tab w:val="left" w:pos="1134"/>
        </w:tabs>
        <w:contextualSpacing/>
        <w:jc w:val="both"/>
        <w:rPr>
          <w:rFonts w:ascii="Arial" w:hAnsi="Arial" w:cs="Arial"/>
          <w:vanish/>
          <w:color w:val="000000" w:themeColor="text1"/>
          <w:sz w:val="22"/>
          <w:szCs w:val="22"/>
        </w:rPr>
      </w:pPr>
    </w:p>
    <w:p w14:paraId="535D27DE" w14:textId="77777777" w:rsidR="000C3538" w:rsidRPr="00345AA4" w:rsidRDefault="000C3538" w:rsidP="000C3538">
      <w:pPr>
        <w:pStyle w:val="ListParagraph"/>
        <w:numPr>
          <w:ilvl w:val="2"/>
          <w:numId w:val="8"/>
        </w:numPr>
        <w:tabs>
          <w:tab w:val="left" w:pos="1134"/>
        </w:tabs>
        <w:contextualSpacing/>
        <w:jc w:val="both"/>
        <w:rPr>
          <w:rFonts w:ascii="Arial" w:hAnsi="Arial" w:cs="Arial"/>
          <w:vanish/>
          <w:color w:val="000000" w:themeColor="text1"/>
          <w:sz w:val="22"/>
          <w:szCs w:val="22"/>
        </w:rPr>
      </w:pPr>
    </w:p>
    <w:p w14:paraId="37CF56C0" w14:textId="77777777" w:rsidR="000C3538" w:rsidRPr="00345AA4" w:rsidRDefault="000C3538" w:rsidP="000C3538">
      <w:pPr>
        <w:pStyle w:val="ListParagraph"/>
        <w:numPr>
          <w:ilvl w:val="2"/>
          <w:numId w:val="8"/>
        </w:numPr>
        <w:tabs>
          <w:tab w:val="left" w:pos="1134"/>
        </w:tabs>
        <w:contextualSpacing/>
        <w:jc w:val="both"/>
        <w:rPr>
          <w:rFonts w:ascii="Arial" w:hAnsi="Arial" w:cs="Arial"/>
          <w:vanish/>
          <w:color w:val="000000" w:themeColor="text1"/>
          <w:sz w:val="22"/>
          <w:szCs w:val="22"/>
        </w:rPr>
      </w:pPr>
    </w:p>
    <w:p w14:paraId="283FDB31" w14:textId="2CDE9A4B" w:rsidR="000C3538" w:rsidRPr="00345AA4" w:rsidRDefault="000C3538" w:rsidP="000C3538">
      <w:pPr>
        <w:pStyle w:val="ListParagraph"/>
        <w:numPr>
          <w:ilvl w:val="3"/>
          <w:numId w:val="8"/>
        </w:numPr>
        <w:tabs>
          <w:tab w:val="left" w:pos="1134"/>
        </w:tabs>
        <w:ind w:left="198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The brokerage corporation shall cause the registration of the subject property in the name of </w:t>
      </w:r>
      <w:r w:rsidR="00642676" w:rsidRPr="00345AA4">
        <w:rPr>
          <w:rFonts w:ascii="Arial" w:hAnsi="Arial" w:cs="Arial"/>
          <w:color w:val="000000" w:themeColor="text1"/>
          <w:sz w:val="22"/>
          <w:szCs w:val="22"/>
        </w:rPr>
        <w:t>MDC</w:t>
      </w:r>
      <w:r w:rsidRPr="00345AA4">
        <w:rPr>
          <w:rFonts w:ascii="Arial" w:hAnsi="Arial" w:cs="Arial"/>
          <w:color w:val="000000" w:themeColor="text1"/>
          <w:sz w:val="22"/>
          <w:szCs w:val="22"/>
        </w:rPr>
        <w:t xml:space="preserve"> and the expenses incurred in connection with the foregoing purpose which shall include but not be limited to the payment of </w:t>
      </w:r>
      <w:r w:rsidR="00642676" w:rsidRPr="00345AA4">
        <w:rPr>
          <w:rFonts w:ascii="Arial" w:hAnsi="Arial" w:cs="Arial"/>
          <w:color w:val="000000" w:themeColor="text1"/>
          <w:sz w:val="22"/>
          <w:szCs w:val="22"/>
        </w:rPr>
        <w:t>capital gains tax (</w:t>
      </w:r>
      <w:r w:rsidR="00483000" w:rsidRPr="00345AA4">
        <w:rPr>
          <w:rFonts w:ascii="Arial" w:hAnsi="Arial" w:cs="Arial"/>
          <w:color w:val="000000" w:themeColor="text1"/>
          <w:sz w:val="22"/>
          <w:szCs w:val="22"/>
        </w:rPr>
        <w:t>CGT</w:t>
      </w:r>
      <w:r w:rsidR="00642676" w:rsidRPr="00345AA4">
        <w:rPr>
          <w:rFonts w:ascii="Arial" w:hAnsi="Arial" w:cs="Arial"/>
          <w:color w:val="000000" w:themeColor="text1"/>
          <w:sz w:val="22"/>
          <w:szCs w:val="22"/>
        </w:rPr>
        <w:t>)</w:t>
      </w:r>
      <w:r w:rsidRPr="00345AA4">
        <w:rPr>
          <w:rFonts w:ascii="Arial" w:hAnsi="Arial" w:cs="Arial"/>
          <w:color w:val="000000" w:themeColor="text1"/>
          <w:sz w:val="22"/>
          <w:szCs w:val="22"/>
        </w:rPr>
        <w:t>, documentary stamp tax</w:t>
      </w:r>
      <w:r w:rsidR="00483000" w:rsidRPr="00345AA4">
        <w:rPr>
          <w:rFonts w:ascii="Arial" w:hAnsi="Arial" w:cs="Arial"/>
          <w:color w:val="000000" w:themeColor="text1"/>
          <w:sz w:val="22"/>
          <w:szCs w:val="22"/>
        </w:rPr>
        <w:t xml:space="preserve"> (DST)</w:t>
      </w:r>
      <w:r w:rsidRPr="00345AA4">
        <w:rPr>
          <w:rFonts w:ascii="Arial" w:hAnsi="Arial" w:cs="Arial"/>
          <w:color w:val="000000" w:themeColor="text1"/>
          <w:sz w:val="22"/>
          <w:szCs w:val="22"/>
        </w:rPr>
        <w:t xml:space="preserve">, registration fee and other expenses related to the perfection of the registration and transfer of the title of the subject property in favor of the AFPRSBS’ subsidiary realty corporation or its assignee, shall be taken from the “Joint” and “UNISA” accounts, provided that in case of depletion or deficiency of the said accounts, the aforesaid expenses shall </w:t>
      </w:r>
      <w:r w:rsidR="004C1C0C" w:rsidRPr="00345AA4">
        <w:rPr>
          <w:rFonts w:ascii="Arial" w:hAnsi="Arial" w:cs="Arial"/>
          <w:color w:val="000000" w:themeColor="text1"/>
          <w:sz w:val="22"/>
          <w:szCs w:val="22"/>
        </w:rPr>
        <w:t xml:space="preserve">be </w:t>
      </w:r>
      <w:r w:rsidRPr="00345AA4">
        <w:rPr>
          <w:rFonts w:ascii="Arial" w:hAnsi="Arial" w:cs="Arial"/>
          <w:color w:val="000000" w:themeColor="text1"/>
          <w:sz w:val="22"/>
          <w:szCs w:val="22"/>
        </w:rPr>
        <w:t>borne by the brokerage corporation alone;</w:t>
      </w:r>
    </w:p>
    <w:p w14:paraId="34C8BFAB" w14:textId="77777777" w:rsidR="000C3538" w:rsidRPr="00345AA4" w:rsidRDefault="000C3538" w:rsidP="000C3538">
      <w:pPr>
        <w:pStyle w:val="ListParagraph"/>
        <w:tabs>
          <w:tab w:val="left" w:pos="990"/>
        </w:tabs>
        <w:ind w:left="360"/>
        <w:contextualSpacing/>
        <w:jc w:val="both"/>
        <w:rPr>
          <w:rFonts w:ascii="Arial" w:hAnsi="Arial" w:cs="Arial"/>
          <w:color w:val="000000" w:themeColor="text1"/>
          <w:sz w:val="22"/>
          <w:szCs w:val="22"/>
        </w:rPr>
      </w:pPr>
    </w:p>
    <w:p w14:paraId="146DC6EF" w14:textId="7A8612C5" w:rsidR="000C3538" w:rsidRPr="00345AA4" w:rsidRDefault="000C3538" w:rsidP="000C3538">
      <w:pPr>
        <w:pStyle w:val="ListParagraph"/>
        <w:numPr>
          <w:ilvl w:val="3"/>
          <w:numId w:val="8"/>
        </w:numPr>
        <w:tabs>
          <w:tab w:val="left" w:pos="1134"/>
        </w:tabs>
        <w:ind w:left="198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It shall increase the authorized capital stock of </w:t>
      </w:r>
      <w:r w:rsidR="00642676" w:rsidRPr="00345AA4">
        <w:rPr>
          <w:rFonts w:ascii="Arial" w:hAnsi="Arial" w:cs="Arial"/>
          <w:color w:val="000000" w:themeColor="text1"/>
          <w:sz w:val="22"/>
          <w:szCs w:val="22"/>
        </w:rPr>
        <w:t>MDC</w:t>
      </w:r>
      <w:r w:rsidRPr="00345AA4">
        <w:rPr>
          <w:rFonts w:ascii="Arial" w:hAnsi="Arial" w:cs="Arial"/>
          <w:color w:val="000000" w:themeColor="text1"/>
          <w:sz w:val="22"/>
          <w:szCs w:val="22"/>
        </w:rPr>
        <w:t xml:space="preserve"> from current P100 million to P150 million all of which shall be paid-up, by April 30, 1999;</w:t>
      </w:r>
    </w:p>
    <w:p w14:paraId="5275810F" w14:textId="77777777" w:rsidR="000C3538" w:rsidRPr="00345AA4" w:rsidRDefault="000C3538" w:rsidP="000C3538">
      <w:pPr>
        <w:pStyle w:val="ListParagraph"/>
        <w:tabs>
          <w:tab w:val="left" w:pos="990"/>
        </w:tabs>
        <w:ind w:left="1985"/>
        <w:contextualSpacing/>
        <w:jc w:val="both"/>
        <w:rPr>
          <w:rFonts w:ascii="Arial" w:hAnsi="Arial" w:cs="Arial"/>
          <w:color w:val="000000" w:themeColor="text1"/>
          <w:sz w:val="22"/>
          <w:szCs w:val="22"/>
        </w:rPr>
      </w:pPr>
    </w:p>
    <w:p w14:paraId="00E50C2C" w14:textId="580C520B" w:rsidR="000C3538" w:rsidRPr="00345AA4" w:rsidRDefault="000C3538" w:rsidP="000C3538">
      <w:pPr>
        <w:pStyle w:val="ListParagraph"/>
        <w:numPr>
          <w:ilvl w:val="3"/>
          <w:numId w:val="8"/>
        </w:numPr>
        <w:tabs>
          <w:tab w:val="left" w:pos="1134"/>
        </w:tabs>
        <w:ind w:left="198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It shall convey and deliver to the AFPRSBS’ subsidiary realty corporation on April 30, 1999 the stock certificates of </w:t>
      </w:r>
      <w:r w:rsidR="00642676" w:rsidRPr="00345AA4">
        <w:rPr>
          <w:rFonts w:ascii="Arial" w:hAnsi="Arial" w:cs="Arial"/>
          <w:color w:val="000000" w:themeColor="text1"/>
          <w:sz w:val="22"/>
          <w:szCs w:val="22"/>
        </w:rPr>
        <w:t>MDC</w:t>
      </w:r>
      <w:r w:rsidRPr="00345AA4">
        <w:rPr>
          <w:rFonts w:ascii="Arial" w:hAnsi="Arial" w:cs="Arial"/>
          <w:color w:val="000000" w:themeColor="text1"/>
          <w:sz w:val="22"/>
          <w:szCs w:val="22"/>
        </w:rPr>
        <w:t xml:space="preserve"> worth P150 million and secretary’s certificate of the developer, containing the board resolution authorizing and approving the sale of the subject property in favor of </w:t>
      </w:r>
      <w:r w:rsidR="00642676" w:rsidRPr="00345AA4">
        <w:rPr>
          <w:rFonts w:ascii="Arial" w:hAnsi="Arial" w:cs="Arial"/>
          <w:color w:val="000000" w:themeColor="text1"/>
          <w:sz w:val="22"/>
          <w:szCs w:val="22"/>
        </w:rPr>
        <w:t>MDC</w:t>
      </w:r>
      <w:r w:rsidRPr="00345AA4">
        <w:rPr>
          <w:rFonts w:ascii="Arial" w:hAnsi="Arial" w:cs="Arial"/>
          <w:color w:val="000000" w:themeColor="text1"/>
          <w:sz w:val="22"/>
          <w:szCs w:val="22"/>
        </w:rPr>
        <w:t>;</w:t>
      </w:r>
    </w:p>
    <w:p w14:paraId="6E10A0CA" w14:textId="77777777" w:rsidR="000C3538" w:rsidRPr="00345AA4" w:rsidRDefault="000C3538" w:rsidP="000C3538">
      <w:pPr>
        <w:pStyle w:val="ListParagraph"/>
        <w:tabs>
          <w:tab w:val="left" w:pos="990"/>
        </w:tabs>
        <w:ind w:left="360"/>
        <w:contextualSpacing/>
        <w:jc w:val="both"/>
        <w:rPr>
          <w:rFonts w:ascii="Arial" w:hAnsi="Arial" w:cs="Arial"/>
          <w:color w:val="000000" w:themeColor="text1"/>
          <w:sz w:val="22"/>
          <w:szCs w:val="22"/>
        </w:rPr>
      </w:pPr>
    </w:p>
    <w:p w14:paraId="0EF5570E" w14:textId="6BB45778" w:rsidR="000C3538" w:rsidRPr="00345AA4" w:rsidRDefault="000C3538" w:rsidP="000C3538">
      <w:pPr>
        <w:pStyle w:val="ListParagraph"/>
        <w:numPr>
          <w:ilvl w:val="3"/>
          <w:numId w:val="8"/>
        </w:numPr>
        <w:tabs>
          <w:tab w:val="left" w:pos="1134"/>
        </w:tabs>
        <w:ind w:left="198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Secretary’s certificate certifying that a </w:t>
      </w:r>
      <w:r w:rsidR="002824C5" w:rsidRPr="00345AA4">
        <w:rPr>
          <w:rFonts w:ascii="Arial" w:hAnsi="Arial" w:cs="Arial"/>
          <w:color w:val="000000" w:themeColor="text1"/>
          <w:sz w:val="22"/>
          <w:szCs w:val="22"/>
        </w:rPr>
        <w:t>BR</w:t>
      </w:r>
      <w:r w:rsidRPr="00345AA4">
        <w:rPr>
          <w:rFonts w:ascii="Arial" w:hAnsi="Arial" w:cs="Arial"/>
          <w:color w:val="000000" w:themeColor="text1"/>
          <w:sz w:val="22"/>
          <w:szCs w:val="22"/>
        </w:rPr>
        <w:t xml:space="preserve"> was issued approving the assignment of each and all shares of stocks of the brokerage corporation in </w:t>
      </w:r>
      <w:r w:rsidR="00642676" w:rsidRPr="00345AA4">
        <w:rPr>
          <w:rFonts w:ascii="Arial" w:hAnsi="Arial" w:cs="Arial"/>
          <w:color w:val="000000" w:themeColor="text1"/>
          <w:sz w:val="22"/>
          <w:szCs w:val="22"/>
        </w:rPr>
        <w:t>MDC</w:t>
      </w:r>
      <w:r w:rsidRPr="00345AA4">
        <w:rPr>
          <w:rFonts w:ascii="Arial" w:hAnsi="Arial" w:cs="Arial"/>
          <w:color w:val="000000" w:themeColor="text1"/>
          <w:sz w:val="22"/>
          <w:szCs w:val="22"/>
        </w:rPr>
        <w:t xml:space="preserve"> in favor of the AFPRSBS’ subsidiary realty corporation or its assignee; and</w:t>
      </w:r>
    </w:p>
    <w:p w14:paraId="751961DD" w14:textId="77777777" w:rsidR="000C3538" w:rsidRPr="00345AA4" w:rsidRDefault="000C3538" w:rsidP="000C3538">
      <w:pPr>
        <w:pStyle w:val="ListParagraph"/>
        <w:tabs>
          <w:tab w:val="left" w:pos="990"/>
        </w:tabs>
        <w:ind w:left="360"/>
        <w:contextualSpacing/>
        <w:jc w:val="both"/>
        <w:rPr>
          <w:rFonts w:ascii="Arial" w:hAnsi="Arial" w:cs="Arial"/>
          <w:color w:val="000000" w:themeColor="text1"/>
          <w:sz w:val="22"/>
          <w:szCs w:val="22"/>
        </w:rPr>
      </w:pPr>
    </w:p>
    <w:p w14:paraId="69CC5AD0" w14:textId="008C90E2" w:rsidR="000C3538" w:rsidRPr="00345AA4" w:rsidRDefault="000C3538" w:rsidP="000C3538">
      <w:pPr>
        <w:pStyle w:val="ListParagraph"/>
        <w:numPr>
          <w:ilvl w:val="3"/>
          <w:numId w:val="8"/>
        </w:numPr>
        <w:tabs>
          <w:tab w:val="left" w:pos="1134"/>
        </w:tabs>
        <w:ind w:left="198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Undertaking executed by the brokerage corporation that it shall assume all unsettled liabilities and indebtedness of </w:t>
      </w:r>
      <w:r w:rsidR="00642676" w:rsidRPr="00345AA4">
        <w:rPr>
          <w:rFonts w:ascii="Arial" w:hAnsi="Arial" w:cs="Arial"/>
          <w:color w:val="000000" w:themeColor="text1"/>
          <w:sz w:val="22"/>
          <w:szCs w:val="22"/>
        </w:rPr>
        <w:t>MDC</w:t>
      </w:r>
      <w:r w:rsidRPr="00345AA4">
        <w:rPr>
          <w:rFonts w:ascii="Arial" w:hAnsi="Arial" w:cs="Arial"/>
          <w:color w:val="000000" w:themeColor="text1"/>
          <w:sz w:val="22"/>
          <w:szCs w:val="22"/>
        </w:rPr>
        <w:t xml:space="preserve"> incurred </w:t>
      </w:r>
      <w:r w:rsidRPr="00345AA4">
        <w:rPr>
          <w:rFonts w:ascii="Arial" w:hAnsi="Arial" w:cs="Arial"/>
          <w:color w:val="000000" w:themeColor="text1"/>
          <w:sz w:val="22"/>
          <w:szCs w:val="22"/>
        </w:rPr>
        <w:lastRenderedPageBreak/>
        <w:t>prior to the actual final transfer and conveyance of the shares of stock</w:t>
      </w:r>
      <w:r w:rsidR="00BA7A47" w:rsidRPr="00345AA4">
        <w:rPr>
          <w:rFonts w:ascii="Arial" w:hAnsi="Arial" w:cs="Arial"/>
          <w:color w:val="000000" w:themeColor="text1"/>
          <w:sz w:val="22"/>
          <w:szCs w:val="22"/>
        </w:rPr>
        <w:t>s</w:t>
      </w:r>
      <w:r w:rsidRPr="00345AA4">
        <w:rPr>
          <w:rFonts w:ascii="Arial" w:hAnsi="Arial" w:cs="Arial"/>
          <w:color w:val="000000" w:themeColor="text1"/>
          <w:sz w:val="22"/>
          <w:szCs w:val="22"/>
        </w:rPr>
        <w:t xml:space="preserve"> of the brokerage corporation.</w:t>
      </w:r>
    </w:p>
    <w:p w14:paraId="5FC4BD65" w14:textId="77777777" w:rsidR="000C3538" w:rsidRPr="00345AA4" w:rsidRDefault="000C3538" w:rsidP="000C3538">
      <w:pPr>
        <w:pStyle w:val="BodyText"/>
        <w:tabs>
          <w:tab w:val="left" w:pos="0"/>
        </w:tabs>
        <w:ind w:right="29"/>
        <w:rPr>
          <w:rFonts w:ascii="Arial" w:hAnsi="Arial" w:cs="Arial"/>
          <w:color w:val="000000" w:themeColor="text1"/>
          <w:sz w:val="22"/>
          <w:szCs w:val="22"/>
        </w:rPr>
      </w:pPr>
    </w:p>
    <w:p w14:paraId="19A2B1BF" w14:textId="77777777" w:rsidR="000C3538" w:rsidRPr="00345AA4" w:rsidRDefault="000C3538" w:rsidP="000C3538">
      <w:pPr>
        <w:pStyle w:val="ListParagraph"/>
        <w:numPr>
          <w:ilvl w:val="1"/>
          <w:numId w:val="1"/>
        </w:numPr>
        <w:tabs>
          <w:tab w:val="left" w:pos="990"/>
        </w:tabs>
        <w:ind w:left="900" w:hanging="540"/>
        <w:contextualSpacing/>
        <w:jc w:val="both"/>
        <w:rPr>
          <w:rFonts w:ascii="Arial" w:hAnsi="Arial" w:cs="Arial"/>
          <w:bCs/>
          <w:color w:val="000000" w:themeColor="text1"/>
          <w:sz w:val="22"/>
          <w:szCs w:val="22"/>
        </w:rPr>
      </w:pPr>
      <w:r w:rsidRPr="00345AA4">
        <w:rPr>
          <w:rFonts w:ascii="Arial" w:hAnsi="Arial" w:cs="Arial"/>
          <w:bCs/>
          <w:color w:val="000000" w:themeColor="text1"/>
          <w:sz w:val="22"/>
          <w:szCs w:val="22"/>
        </w:rPr>
        <w:t xml:space="preserve">On September 10, 1999, a deed of assignment was executed by the AFPRSBS’ subsidiary realty corporation and the brokerage corporation with regard to the submission of corporate records and other relevant documents by both parties in view of the implementation of the MOA between them. </w:t>
      </w:r>
    </w:p>
    <w:p w14:paraId="1189AF00" w14:textId="77777777" w:rsidR="000C3538" w:rsidRPr="00345AA4" w:rsidRDefault="000C3538" w:rsidP="000C3538">
      <w:pPr>
        <w:pStyle w:val="ListParagraph"/>
        <w:tabs>
          <w:tab w:val="left" w:pos="990"/>
        </w:tabs>
        <w:ind w:left="360"/>
        <w:contextualSpacing/>
        <w:jc w:val="both"/>
        <w:rPr>
          <w:rFonts w:ascii="Arial" w:hAnsi="Arial" w:cs="Arial"/>
          <w:b/>
          <w:color w:val="000000" w:themeColor="text1"/>
          <w:sz w:val="22"/>
          <w:szCs w:val="22"/>
        </w:rPr>
      </w:pPr>
    </w:p>
    <w:p w14:paraId="6A0B58D5" w14:textId="2B9ECC00" w:rsidR="000C3538" w:rsidRPr="00345AA4" w:rsidRDefault="000C3538" w:rsidP="001728EA">
      <w:pPr>
        <w:pStyle w:val="ListParagraph"/>
        <w:numPr>
          <w:ilvl w:val="1"/>
          <w:numId w:val="1"/>
        </w:numPr>
        <w:tabs>
          <w:tab w:val="left" w:pos="990"/>
        </w:tabs>
        <w:ind w:left="900" w:hanging="540"/>
        <w:contextualSpacing/>
        <w:jc w:val="both"/>
        <w:rPr>
          <w:rFonts w:ascii="Arial" w:hAnsi="Arial" w:cs="Arial"/>
          <w:bCs/>
          <w:color w:val="000000" w:themeColor="text1"/>
          <w:sz w:val="22"/>
          <w:szCs w:val="22"/>
        </w:rPr>
      </w:pPr>
      <w:r w:rsidRPr="00345AA4">
        <w:rPr>
          <w:rFonts w:ascii="Arial" w:hAnsi="Arial" w:cs="Arial"/>
          <w:bCs/>
          <w:color w:val="000000" w:themeColor="text1"/>
          <w:sz w:val="22"/>
          <w:szCs w:val="22"/>
        </w:rPr>
        <w:t xml:space="preserve">We noted that AFPRSBS, the parent company, should have been the proper party of the MOA and the deed of assignment executed by the AFPRSBS’ subsidiary realty corporation and the brokerage corporation.  The contract involved exchange of corporate assets and control over the respective subsidiary corporations with the end view of surrendering the full ownership of </w:t>
      </w:r>
      <w:r w:rsidR="00642676" w:rsidRPr="00345AA4">
        <w:rPr>
          <w:rFonts w:ascii="Arial" w:hAnsi="Arial" w:cs="Arial"/>
          <w:bCs/>
          <w:color w:val="000000" w:themeColor="text1"/>
          <w:sz w:val="22"/>
          <w:szCs w:val="22"/>
        </w:rPr>
        <w:t>MDC</w:t>
      </w:r>
      <w:r w:rsidRPr="00345AA4">
        <w:rPr>
          <w:rFonts w:ascii="Arial" w:hAnsi="Arial" w:cs="Arial"/>
          <w:bCs/>
          <w:color w:val="000000" w:themeColor="text1"/>
          <w:sz w:val="22"/>
          <w:szCs w:val="22"/>
        </w:rPr>
        <w:t xml:space="preserve"> and AFPRSBS’ subsidiary realty corporation to AFPRSBS and the brokerage corporation, respectively, the parent companies.  As a remedy of the defect thereof, a contract was entered by both Parent Corporation</w:t>
      </w:r>
      <w:r w:rsidR="004C1C0C" w:rsidRPr="00345AA4">
        <w:rPr>
          <w:rFonts w:ascii="Arial" w:hAnsi="Arial" w:cs="Arial"/>
          <w:bCs/>
          <w:color w:val="000000" w:themeColor="text1"/>
          <w:sz w:val="22"/>
          <w:szCs w:val="22"/>
        </w:rPr>
        <w:t>s</w:t>
      </w:r>
      <w:r w:rsidRPr="00345AA4">
        <w:rPr>
          <w:rFonts w:ascii="Arial" w:hAnsi="Arial" w:cs="Arial"/>
          <w:bCs/>
          <w:color w:val="000000" w:themeColor="text1"/>
          <w:sz w:val="22"/>
          <w:szCs w:val="22"/>
        </w:rPr>
        <w:t xml:space="preserve"> subsequently.</w:t>
      </w:r>
    </w:p>
    <w:p w14:paraId="505BC84F" w14:textId="77777777" w:rsidR="000C3538" w:rsidRPr="00345AA4" w:rsidRDefault="000C3538" w:rsidP="000C3538">
      <w:pPr>
        <w:pStyle w:val="ListParagraph"/>
        <w:tabs>
          <w:tab w:val="left" w:pos="990"/>
        </w:tabs>
        <w:ind w:left="900"/>
        <w:contextualSpacing/>
        <w:jc w:val="both"/>
        <w:rPr>
          <w:rFonts w:ascii="Arial" w:hAnsi="Arial" w:cs="Arial"/>
          <w:bCs/>
          <w:color w:val="000000" w:themeColor="text1"/>
          <w:sz w:val="22"/>
          <w:szCs w:val="22"/>
        </w:rPr>
      </w:pPr>
    </w:p>
    <w:p w14:paraId="6C204BDF" w14:textId="5590A09E" w:rsidR="000C3538" w:rsidRPr="00345AA4" w:rsidRDefault="000C3538" w:rsidP="000C3538">
      <w:pPr>
        <w:pStyle w:val="ListParagraph"/>
        <w:numPr>
          <w:ilvl w:val="1"/>
          <w:numId w:val="1"/>
        </w:numPr>
        <w:tabs>
          <w:tab w:val="left" w:pos="990"/>
        </w:tabs>
        <w:ind w:left="900" w:hanging="540"/>
        <w:contextualSpacing/>
        <w:jc w:val="both"/>
        <w:rPr>
          <w:rFonts w:ascii="Arial" w:hAnsi="Arial" w:cs="Arial"/>
          <w:bCs/>
          <w:color w:val="000000" w:themeColor="text1"/>
          <w:sz w:val="22"/>
          <w:szCs w:val="22"/>
        </w:rPr>
      </w:pPr>
      <w:r w:rsidRPr="00345AA4">
        <w:rPr>
          <w:rFonts w:ascii="Arial" w:hAnsi="Arial" w:cs="Arial"/>
          <w:bCs/>
          <w:color w:val="000000" w:themeColor="text1"/>
          <w:sz w:val="22"/>
          <w:szCs w:val="22"/>
        </w:rPr>
        <w:t xml:space="preserve">On May 11, 2000, a deed of confirmation was entered into by AFPRSBS and the brokerage corporation wherein both parties agreed </w:t>
      </w:r>
      <w:r w:rsidR="004C1C0C" w:rsidRPr="00345AA4">
        <w:rPr>
          <w:rFonts w:ascii="Arial" w:hAnsi="Arial" w:cs="Arial"/>
          <w:bCs/>
          <w:color w:val="000000" w:themeColor="text1"/>
          <w:sz w:val="22"/>
          <w:szCs w:val="22"/>
        </w:rPr>
        <w:t xml:space="preserve">on </w:t>
      </w:r>
      <w:r w:rsidRPr="00345AA4">
        <w:rPr>
          <w:rFonts w:ascii="Arial" w:hAnsi="Arial" w:cs="Arial"/>
          <w:bCs/>
          <w:color w:val="000000" w:themeColor="text1"/>
          <w:sz w:val="22"/>
          <w:szCs w:val="22"/>
        </w:rPr>
        <w:t>the following:</w:t>
      </w:r>
    </w:p>
    <w:p w14:paraId="2E0BADAA" w14:textId="77777777" w:rsidR="000C3538" w:rsidRPr="00345AA4" w:rsidRDefault="000C3538" w:rsidP="000C3538">
      <w:pPr>
        <w:tabs>
          <w:tab w:val="left" w:pos="0"/>
        </w:tabs>
        <w:spacing w:after="0" w:line="240" w:lineRule="auto"/>
        <w:ind w:right="29"/>
        <w:jc w:val="both"/>
        <w:rPr>
          <w:rFonts w:ascii="Arial" w:hAnsi="Arial" w:cs="Arial"/>
          <w:color w:val="000000" w:themeColor="text1"/>
        </w:rPr>
      </w:pPr>
    </w:p>
    <w:p w14:paraId="11120BC8" w14:textId="0452D912" w:rsidR="000C3538" w:rsidRPr="00345AA4" w:rsidRDefault="000C3538" w:rsidP="003F61A2">
      <w:pPr>
        <w:pStyle w:val="NoSpacing"/>
        <w:numPr>
          <w:ilvl w:val="2"/>
          <w:numId w:val="1"/>
        </w:numPr>
        <w:ind w:left="1418" w:hanging="518"/>
        <w:jc w:val="both"/>
        <w:rPr>
          <w:rFonts w:ascii="Arial" w:hAnsi="Arial" w:cs="Arial"/>
          <w:color w:val="000000" w:themeColor="text1"/>
        </w:rPr>
      </w:pPr>
      <w:r w:rsidRPr="00345AA4">
        <w:rPr>
          <w:rFonts w:ascii="Arial" w:hAnsi="Arial" w:cs="Arial"/>
          <w:color w:val="000000" w:themeColor="text1"/>
        </w:rPr>
        <w:t>That in the Deed of Assignment executed by the parties, it was inadvertently left unspecified that the essential element of the intention of the Parties, as of the date of the Deed of Assignment, is the mutual assumption of liabilities that would result in a total and complete setting-off and writing-off of any and all the liabilities existing as of said Deed of Assignment for both the AFPRSBS’ subsidiary realty corporation</w:t>
      </w:r>
      <w:r w:rsidR="00BA7A47" w:rsidRPr="00345AA4">
        <w:rPr>
          <w:rFonts w:ascii="Arial" w:hAnsi="Arial" w:cs="Arial"/>
          <w:color w:val="000000" w:themeColor="text1"/>
        </w:rPr>
        <w:t xml:space="preserve"> and</w:t>
      </w:r>
      <w:r w:rsidRPr="00345AA4">
        <w:rPr>
          <w:rFonts w:ascii="Arial" w:hAnsi="Arial" w:cs="Arial"/>
          <w:color w:val="000000" w:themeColor="text1"/>
        </w:rPr>
        <w:t xml:space="preserve"> </w:t>
      </w:r>
      <w:r w:rsidR="00C7315A" w:rsidRPr="00345AA4">
        <w:rPr>
          <w:rFonts w:ascii="Arial" w:hAnsi="Arial" w:cs="Arial"/>
          <w:color w:val="000000" w:themeColor="text1"/>
        </w:rPr>
        <w:t>MDC</w:t>
      </w:r>
      <w:r w:rsidRPr="00345AA4">
        <w:rPr>
          <w:rFonts w:ascii="Arial" w:hAnsi="Arial" w:cs="Arial"/>
          <w:color w:val="000000" w:themeColor="text1"/>
        </w:rPr>
        <w:t xml:space="preserve">.  Hence, as direct and automatic result of the corporate exchange or swap, AFPRSBS, being the controlling stockholder of its subsidiary realty corporation, shall waive any and all existing debts and/or liabilities of the latter to AFPRSBS.  Likewise, the brokerage corporation, being the controlling stockholder of </w:t>
      </w:r>
      <w:r w:rsidR="00C7315A" w:rsidRPr="00345AA4">
        <w:rPr>
          <w:rFonts w:ascii="Arial" w:hAnsi="Arial" w:cs="Arial"/>
          <w:color w:val="000000" w:themeColor="text1"/>
        </w:rPr>
        <w:t>MDC</w:t>
      </w:r>
      <w:r w:rsidRPr="00345AA4">
        <w:rPr>
          <w:rFonts w:ascii="Arial" w:hAnsi="Arial" w:cs="Arial"/>
          <w:color w:val="000000" w:themeColor="text1"/>
        </w:rPr>
        <w:t>, shall waive any and all existing debts and liabilities of the latter to the former.</w:t>
      </w:r>
    </w:p>
    <w:p w14:paraId="7C5AB3E5" w14:textId="77777777" w:rsidR="000C3538" w:rsidRPr="00345AA4" w:rsidRDefault="000C3538" w:rsidP="000C3538">
      <w:pPr>
        <w:tabs>
          <w:tab w:val="left" w:pos="0"/>
        </w:tabs>
        <w:spacing w:after="0" w:line="240" w:lineRule="auto"/>
        <w:ind w:right="29"/>
        <w:jc w:val="both"/>
        <w:rPr>
          <w:rFonts w:ascii="Arial" w:hAnsi="Arial" w:cs="Arial"/>
          <w:color w:val="000000" w:themeColor="text1"/>
        </w:rPr>
      </w:pPr>
    </w:p>
    <w:p w14:paraId="3EB459E5" w14:textId="77777777" w:rsidR="000C3538" w:rsidRPr="00345AA4" w:rsidRDefault="000C3538" w:rsidP="003F61A2">
      <w:pPr>
        <w:pStyle w:val="NoSpacing"/>
        <w:numPr>
          <w:ilvl w:val="2"/>
          <w:numId w:val="1"/>
        </w:numPr>
        <w:ind w:left="1418" w:hanging="518"/>
        <w:jc w:val="both"/>
        <w:rPr>
          <w:rFonts w:ascii="Arial" w:hAnsi="Arial" w:cs="Arial"/>
          <w:color w:val="000000" w:themeColor="text1"/>
        </w:rPr>
      </w:pPr>
      <w:r w:rsidRPr="00345AA4">
        <w:rPr>
          <w:rFonts w:ascii="Arial" w:hAnsi="Arial" w:cs="Arial"/>
          <w:color w:val="000000" w:themeColor="text1"/>
        </w:rPr>
        <w:t>In the implementation of the corporate exchange of both parties, it was and it is the intention of the parties the following:</w:t>
      </w:r>
    </w:p>
    <w:p w14:paraId="27E969DA" w14:textId="77777777" w:rsidR="000C3538" w:rsidRPr="00345AA4" w:rsidRDefault="000C3538" w:rsidP="000C3538">
      <w:pPr>
        <w:tabs>
          <w:tab w:val="left" w:pos="0"/>
        </w:tabs>
        <w:spacing w:after="0" w:line="240" w:lineRule="auto"/>
        <w:ind w:right="29"/>
        <w:jc w:val="both"/>
        <w:rPr>
          <w:rFonts w:ascii="Arial" w:hAnsi="Arial" w:cs="Arial"/>
          <w:color w:val="000000" w:themeColor="text1"/>
        </w:rPr>
      </w:pPr>
    </w:p>
    <w:p w14:paraId="408EAADC" w14:textId="77777777" w:rsidR="000C3538" w:rsidRPr="00345AA4" w:rsidRDefault="000C3538" w:rsidP="000C3538">
      <w:pPr>
        <w:pStyle w:val="ListParagraph"/>
        <w:numPr>
          <w:ilvl w:val="0"/>
          <w:numId w:val="5"/>
        </w:numPr>
        <w:tabs>
          <w:tab w:val="left" w:pos="0"/>
        </w:tabs>
        <w:ind w:left="1985" w:right="29" w:hanging="390"/>
        <w:jc w:val="both"/>
        <w:rPr>
          <w:rFonts w:ascii="Arial" w:hAnsi="Arial" w:cs="Arial"/>
          <w:vanish/>
          <w:color w:val="000000" w:themeColor="text1"/>
          <w:sz w:val="22"/>
          <w:szCs w:val="22"/>
        </w:rPr>
      </w:pPr>
    </w:p>
    <w:p w14:paraId="3C3D8B85" w14:textId="77777777" w:rsidR="00BC3A6C" w:rsidRPr="00345AA4" w:rsidRDefault="00BC3A6C" w:rsidP="00BC3A6C">
      <w:pPr>
        <w:pStyle w:val="ListParagraph"/>
        <w:numPr>
          <w:ilvl w:val="0"/>
          <w:numId w:val="19"/>
        </w:numPr>
        <w:tabs>
          <w:tab w:val="left" w:pos="1134"/>
        </w:tabs>
        <w:contextualSpacing/>
        <w:jc w:val="both"/>
        <w:rPr>
          <w:rFonts w:ascii="Arial" w:hAnsi="Arial" w:cs="Arial"/>
          <w:vanish/>
          <w:color w:val="000000" w:themeColor="text1"/>
        </w:rPr>
      </w:pPr>
    </w:p>
    <w:p w14:paraId="201E3FBD" w14:textId="77777777" w:rsidR="00BC3A6C" w:rsidRPr="00345AA4" w:rsidRDefault="00BC3A6C" w:rsidP="00BC3A6C">
      <w:pPr>
        <w:pStyle w:val="ListParagraph"/>
        <w:numPr>
          <w:ilvl w:val="0"/>
          <w:numId w:val="19"/>
        </w:numPr>
        <w:tabs>
          <w:tab w:val="left" w:pos="1134"/>
        </w:tabs>
        <w:contextualSpacing/>
        <w:jc w:val="both"/>
        <w:rPr>
          <w:rFonts w:ascii="Arial" w:hAnsi="Arial" w:cs="Arial"/>
          <w:vanish/>
          <w:color w:val="000000" w:themeColor="text1"/>
        </w:rPr>
      </w:pPr>
    </w:p>
    <w:p w14:paraId="43800802" w14:textId="77777777" w:rsidR="00BC3A6C" w:rsidRPr="00345AA4" w:rsidRDefault="00BC3A6C" w:rsidP="00BC3A6C">
      <w:pPr>
        <w:pStyle w:val="ListParagraph"/>
        <w:numPr>
          <w:ilvl w:val="1"/>
          <w:numId w:val="19"/>
        </w:numPr>
        <w:tabs>
          <w:tab w:val="left" w:pos="1134"/>
        </w:tabs>
        <w:contextualSpacing/>
        <w:jc w:val="both"/>
        <w:rPr>
          <w:rFonts w:ascii="Arial" w:hAnsi="Arial" w:cs="Arial"/>
          <w:vanish/>
          <w:color w:val="000000" w:themeColor="text1"/>
        </w:rPr>
      </w:pPr>
    </w:p>
    <w:p w14:paraId="21C0001B" w14:textId="77777777" w:rsidR="00BC3A6C" w:rsidRPr="00345AA4" w:rsidRDefault="00BC3A6C" w:rsidP="00BC3A6C">
      <w:pPr>
        <w:pStyle w:val="ListParagraph"/>
        <w:numPr>
          <w:ilvl w:val="2"/>
          <w:numId w:val="19"/>
        </w:numPr>
        <w:tabs>
          <w:tab w:val="left" w:pos="1134"/>
        </w:tabs>
        <w:contextualSpacing/>
        <w:jc w:val="both"/>
        <w:rPr>
          <w:rFonts w:ascii="Arial" w:hAnsi="Arial" w:cs="Arial"/>
          <w:vanish/>
          <w:color w:val="000000" w:themeColor="text1"/>
        </w:rPr>
      </w:pPr>
    </w:p>
    <w:p w14:paraId="5DD0DB4E" w14:textId="77777777" w:rsidR="00BC3A6C" w:rsidRPr="00345AA4" w:rsidRDefault="00BC3A6C" w:rsidP="00BC3A6C">
      <w:pPr>
        <w:pStyle w:val="ListParagraph"/>
        <w:numPr>
          <w:ilvl w:val="2"/>
          <w:numId w:val="19"/>
        </w:numPr>
        <w:tabs>
          <w:tab w:val="left" w:pos="1134"/>
        </w:tabs>
        <w:contextualSpacing/>
        <w:jc w:val="both"/>
        <w:rPr>
          <w:rFonts w:ascii="Arial" w:hAnsi="Arial" w:cs="Arial"/>
          <w:vanish/>
          <w:color w:val="000000" w:themeColor="text1"/>
        </w:rPr>
      </w:pPr>
    </w:p>
    <w:p w14:paraId="307A34D3" w14:textId="795E453D" w:rsidR="00DB1FE6" w:rsidRPr="00345AA4" w:rsidRDefault="000C3538" w:rsidP="00BC3A6C">
      <w:pPr>
        <w:pStyle w:val="ListParagraph"/>
        <w:numPr>
          <w:ilvl w:val="3"/>
          <w:numId w:val="19"/>
        </w:numPr>
        <w:tabs>
          <w:tab w:val="left" w:pos="1134"/>
        </w:tabs>
        <w:ind w:left="198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Without any debt or claim or obligation of whatsoever kind and nature in favor of any person or entity, the AFPRSBS effectively took and received total ownership</w:t>
      </w:r>
      <w:r w:rsidR="00C7315A" w:rsidRPr="00345AA4">
        <w:rPr>
          <w:rFonts w:ascii="Arial" w:hAnsi="Arial" w:cs="Arial"/>
          <w:color w:val="000000" w:themeColor="text1"/>
          <w:sz w:val="22"/>
          <w:szCs w:val="22"/>
        </w:rPr>
        <w:t xml:space="preserve"> </w:t>
      </w:r>
      <w:r w:rsidRPr="00345AA4">
        <w:rPr>
          <w:rFonts w:ascii="Arial" w:hAnsi="Arial" w:cs="Arial"/>
          <w:color w:val="000000" w:themeColor="text1"/>
          <w:sz w:val="22"/>
          <w:szCs w:val="22"/>
        </w:rPr>
        <w:t xml:space="preserve">over </w:t>
      </w:r>
      <w:r w:rsidR="003A5021" w:rsidRPr="00345AA4">
        <w:rPr>
          <w:rFonts w:ascii="Arial" w:hAnsi="Arial" w:cs="Arial"/>
          <w:color w:val="000000" w:themeColor="text1"/>
          <w:sz w:val="22"/>
          <w:szCs w:val="22"/>
        </w:rPr>
        <w:t>MDC</w:t>
      </w:r>
      <w:r w:rsidRPr="00345AA4">
        <w:rPr>
          <w:rFonts w:ascii="Arial" w:hAnsi="Arial" w:cs="Arial"/>
          <w:color w:val="000000" w:themeColor="text1"/>
          <w:sz w:val="22"/>
          <w:szCs w:val="22"/>
        </w:rPr>
        <w:t>, including full and perpetual title in fee s</w:t>
      </w:r>
      <w:r w:rsidR="004B50A9" w:rsidRPr="00345AA4">
        <w:rPr>
          <w:rFonts w:ascii="Arial" w:hAnsi="Arial" w:cs="Arial"/>
          <w:color w:val="000000" w:themeColor="text1"/>
          <w:sz w:val="22"/>
          <w:szCs w:val="22"/>
        </w:rPr>
        <w:t>imple over the subject property;</w:t>
      </w:r>
    </w:p>
    <w:p w14:paraId="5B49554C" w14:textId="77777777" w:rsidR="00BC3A6C" w:rsidRPr="00345AA4" w:rsidRDefault="00BC3A6C" w:rsidP="00BC3A6C">
      <w:pPr>
        <w:pStyle w:val="ListParagraph"/>
        <w:tabs>
          <w:tab w:val="left" w:pos="1134"/>
        </w:tabs>
        <w:ind w:left="1980"/>
        <w:contextualSpacing/>
        <w:jc w:val="both"/>
        <w:rPr>
          <w:rFonts w:ascii="Arial" w:hAnsi="Arial" w:cs="Arial"/>
          <w:color w:val="000000" w:themeColor="text1"/>
          <w:sz w:val="22"/>
          <w:szCs w:val="22"/>
        </w:rPr>
      </w:pPr>
    </w:p>
    <w:p w14:paraId="275A2BDD" w14:textId="77777777" w:rsidR="00BC3A6C" w:rsidRPr="00345AA4" w:rsidRDefault="000C3538" w:rsidP="00BC3A6C">
      <w:pPr>
        <w:pStyle w:val="ListParagraph"/>
        <w:numPr>
          <w:ilvl w:val="3"/>
          <w:numId w:val="19"/>
        </w:numPr>
        <w:tabs>
          <w:tab w:val="left" w:pos="1134"/>
        </w:tabs>
        <w:ind w:left="198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Without any debt claim or obligation of whatsoever kind and nature in favor of any person or entity, the brokerage corporation took and received total ownership of the AFPRSBS’ subsidiary realty corporation; and </w:t>
      </w:r>
    </w:p>
    <w:p w14:paraId="49517C4D" w14:textId="77777777" w:rsidR="00BC3A6C" w:rsidRPr="00345AA4" w:rsidRDefault="00BC3A6C" w:rsidP="00BC3A6C">
      <w:pPr>
        <w:pStyle w:val="ListParagraph"/>
        <w:tabs>
          <w:tab w:val="left" w:pos="1134"/>
        </w:tabs>
        <w:ind w:left="1980"/>
        <w:contextualSpacing/>
        <w:jc w:val="both"/>
        <w:rPr>
          <w:rFonts w:ascii="Arial" w:hAnsi="Arial" w:cs="Arial"/>
          <w:color w:val="000000" w:themeColor="text1"/>
          <w:sz w:val="22"/>
          <w:szCs w:val="22"/>
        </w:rPr>
      </w:pPr>
    </w:p>
    <w:p w14:paraId="561A6698" w14:textId="77777777" w:rsidR="000C3538" w:rsidRPr="00345AA4" w:rsidRDefault="000C3538" w:rsidP="00BC3A6C">
      <w:pPr>
        <w:pStyle w:val="ListParagraph"/>
        <w:numPr>
          <w:ilvl w:val="3"/>
          <w:numId w:val="19"/>
        </w:numPr>
        <w:tabs>
          <w:tab w:val="left" w:pos="1134"/>
        </w:tabs>
        <w:ind w:left="198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Any and all liabilities of the two corporations/entities exchanged between AFPRSBS and the brokerage corporation are hereby declared mutually set-off such that there are no other debts or claims or obligations of whatsoever kind and nature in favor of any </w:t>
      </w:r>
      <w:r w:rsidRPr="00345AA4">
        <w:rPr>
          <w:rFonts w:ascii="Arial" w:hAnsi="Arial" w:cs="Arial"/>
          <w:color w:val="000000" w:themeColor="text1"/>
          <w:sz w:val="22"/>
          <w:szCs w:val="22"/>
        </w:rPr>
        <w:lastRenderedPageBreak/>
        <w:t>other person or entity; and by these presents the parties forever quitclaim and render each other mutually free therefrom.</w:t>
      </w:r>
    </w:p>
    <w:p w14:paraId="4DDEC024" w14:textId="77777777" w:rsidR="00BC3A6C" w:rsidRPr="00345AA4" w:rsidRDefault="00BC3A6C" w:rsidP="00BC3A6C">
      <w:pPr>
        <w:pStyle w:val="ListParagraph"/>
        <w:tabs>
          <w:tab w:val="left" w:pos="1134"/>
        </w:tabs>
        <w:ind w:left="1980"/>
        <w:contextualSpacing/>
        <w:jc w:val="both"/>
        <w:rPr>
          <w:rFonts w:ascii="Arial" w:hAnsi="Arial" w:cs="Arial"/>
          <w:color w:val="000000" w:themeColor="text1"/>
        </w:rPr>
      </w:pPr>
    </w:p>
    <w:p w14:paraId="757E06A2" w14:textId="30933879" w:rsidR="000C3538" w:rsidRPr="00345AA4" w:rsidRDefault="000C3538" w:rsidP="001728EA">
      <w:pPr>
        <w:pStyle w:val="ListParagraph"/>
        <w:numPr>
          <w:ilvl w:val="1"/>
          <w:numId w:val="1"/>
        </w:numPr>
        <w:tabs>
          <w:tab w:val="left" w:pos="990"/>
        </w:tabs>
        <w:ind w:left="900" w:hanging="540"/>
        <w:contextualSpacing/>
        <w:jc w:val="both"/>
        <w:rPr>
          <w:rFonts w:ascii="Arial" w:hAnsi="Arial" w:cs="Arial"/>
          <w:bCs/>
          <w:color w:val="000000" w:themeColor="text1"/>
          <w:sz w:val="22"/>
          <w:szCs w:val="22"/>
        </w:rPr>
      </w:pPr>
      <w:r w:rsidRPr="00345AA4">
        <w:rPr>
          <w:rFonts w:ascii="Arial" w:hAnsi="Arial" w:cs="Arial"/>
          <w:bCs/>
          <w:color w:val="000000" w:themeColor="text1"/>
          <w:sz w:val="22"/>
          <w:szCs w:val="22"/>
        </w:rPr>
        <w:t>We noted further that the intention of the contracting parties is to free themselves from any liabilit</w:t>
      </w:r>
      <w:r w:rsidR="0045363D" w:rsidRPr="00345AA4">
        <w:rPr>
          <w:rFonts w:ascii="Arial" w:hAnsi="Arial" w:cs="Arial"/>
          <w:bCs/>
          <w:color w:val="000000" w:themeColor="text1"/>
          <w:sz w:val="22"/>
          <w:szCs w:val="22"/>
        </w:rPr>
        <w:t>y</w:t>
      </w:r>
      <w:r w:rsidRPr="00345AA4">
        <w:rPr>
          <w:rFonts w:ascii="Arial" w:hAnsi="Arial" w:cs="Arial"/>
          <w:bCs/>
          <w:color w:val="000000" w:themeColor="text1"/>
          <w:sz w:val="22"/>
          <w:szCs w:val="22"/>
        </w:rPr>
        <w:t xml:space="preserve"> of </w:t>
      </w:r>
      <w:r w:rsidR="00C7315A" w:rsidRPr="00345AA4">
        <w:rPr>
          <w:rFonts w:ascii="Arial" w:hAnsi="Arial" w:cs="Arial"/>
          <w:bCs/>
          <w:color w:val="000000" w:themeColor="text1"/>
          <w:sz w:val="22"/>
          <w:szCs w:val="22"/>
        </w:rPr>
        <w:t>MDC</w:t>
      </w:r>
      <w:r w:rsidRPr="00345AA4">
        <w:rPr>
          <w:rFonts w:ascii="Arial" w:hAnsi="Arial" w:cs="Arial"/>
          <w:bCs/>
          <w:color w:val="000000" w:themeColor="text1"/>
          <w:sz w:val="22"/>
          <w:szCs w:val="22"/>
        </w:rPr>
        <w:t xml:space="preserve"> and AFPRSBS’ subsidiary realty corporation upon the execution of the corporate swap.  Otherwise stated, the brokerage corporation shall not absorb any outstanding monetary liabilities of AFPRSBS’ subsidiary realty corporation’s payable to AFPRSBS.  Review of the </w:t>
      </w:r>
      <w:r w:rsidR="0045363D" w:rsidRPr="00345AA4">
        <w:rPr>
          <w:rFonts w:ascii="Arial" w:hAnsi="Arial" w:cs="Arial"/>
          <w:bCs/>
          <w:color w:val="000000" w:themeColor="text1"/>
          <w:sz w:val="22"/>
          <w:szCs w:val="22"/>
        </w:rPr>
        <w:t>FS</w:t>
      </w:r>
      <w:r w:rsidRPr="00345AA4">
        <w:rPr>
          <w:rFonts w:ascii="Arial" w:hAnsi="Arial" w:cs="Arial"/>
          <w:bCs/>
          <w:color w:val="000000" w:themeColor="text1"/>
          <w:sz w:val="22"/>
          <w:szCs w:val="22"/>
        </w:rPr>
        <w:t xml:space="preserve"> of AFPRSBS’ subsidiary realty corporation disclosed the comparative amount of liabilities and </w:t>
      </w:r>
      <w:r w:rsidR="009A4F8B" w:rsidRPr="00345AA4">
        <w:rPr>
          <w:rFonts w:ascii="Arial" w:hAnsi="Arial" w:cs="Arial"/>
          <w:bCs/>
          <w:color w:val="000000" w:themeColor="text1"/>
          <w:sz w:val="22"/>
          <w:szCs w:val="22"/>
        </w:rPr>
        <w:t>Additional paid-in-capital (</w:t>
      </w:r>
      <w:r w:rsidRPr="00345AA4">
        <w:rPr>
          <w:rFonts w:ascii="Arial" w:hAnsi="Arial" w:cs="Arial"/>
          <w:bCs/>
          <w:color w:val="000000" w:themeColor="text1"/>
          <w:sz w:val="22"/>
          <w:szCs w:val="22"/>
        </w:rPr>
        <w:t>APIC</w:t>
      </w:r>
      <w:r w:rsidR="009A4F8B" w:rsidRPr="00345AA4">
        <w:rPr>
          <w:rFonts w:ascii="Arial" w:hAnsi="Arial" w:cs="Arial"/>
          <w:bCs/>
          <w:color w:val="000000" w:themeColor="text1"/>
          <w:sz w:val="22"/>
          <w:szCs w:val="22"/>
        </w:rPr>
        <w:t>)</w:t>
      </w:r>
      <w:r w:rsidRPr="00345AA4">
        <w:rPr>
          <w:rFonts w:ascii="Arial" w:hAnsi="Arial" w:cs="Arial"/>
          <w:bCs/>
          <w:color w:val="000000" w:themeColor="text1"/>
          <w:sz w:val="22"/>
          <w:szCs w:val="22"/>
        </w:rPr>
        <w:t xml:space="preserve"> recorded as of date as follows:</w:t>
      </w:r>
    </w:p>
    <w:p w14:paraId="7ED161B8" w14:textId="77777777" w:rsidR="000C3538" w:rsidRPr="00345AA4" w:rsidRDefault="000C3538" w:rsidP="000C3538">
      <w:pPr>
        <w:pStyle w:val="ListParagraph"/>
        <w:tabs>
          <w:tab w:val="left" w:pos="990"/>
        </w:tabs>
        <w:ind w:left="900"/>
        <w:contextualSpacing/>
        <w:jc w:val="both"/>
        <w:rPr>
          <w:rFonts w:ascii="Arial" w:hAnsi="Arial" w:cs="Arial"/>
          <w:bCs/>
          <w:color w:val="000000" w:themeColor="text1"/>
          <w:sz w:val="22"/>
          <w:szCs w:val="22"/>
        </w:rPr>
      </w:pPr>
    </w:p>
    <w:tbl>
      <w:tblPr>
        <w:tblStyle w:val="TableGrid"/>
        <w:tblW w:w="0" w:type="auto"/>
        <w:tblInd w:w="10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1710"/>
        <w:gridCol w:w="1710"/>
        <w:gridCol w:w="1710"/>
      </w:tblGrid>
      <w:tr w:rsidR="00345AA4" w:rsidRPr="00345AA4" w14:paraId="479D54AD" w14:textId="77777777" w:rsidTr="002C39EB">
        <w:tc>
          <w:tcPr>
            <w:tcW w:w="2610" w:type="dxa"/>
            <w:tcBorders>
              <w:top w:val="single" w:sz="4" w:space="0" w:color="auto"/>
              <w:bottom w:val="single" w:sz="4" w:space="0" w:color="auto"/>
            </w:tcBorders>
          </w:tcPr>
          <w:p w14:paraId="419ECD33" w14:textId="77777777" w:rsidR="000C3538" w:rsidRPr="00345AA4" w:rsidRDefault="000C3538" w:rsidP="00375E56">
            <w:pPr>
              <w:pStyle w:val="ListParagraph"/>
              <w:tabs>
                <w:tab w:val="left" w:pos="990"/>
              </w:tabs>
              <w:ind w:left="0"/>
              <w:contextualSpacing/>
              <w:jc w:val="center"/>
              <w:rPr>
                <w:rFonts w:ascii="Arial" w:hAnsi="Arial" w:cs="Arial"/>
                <w:b/>
                <w:bCs/>
                <w:color w:val="000000" w:themeColor="text1"/>
                <w:sz w:val="20"/>
                <w:szCs w:val="20"/>
              </w:rPr>
            </w:pPr>
            <w:r w:rsidRPr="00345AA4">
              <w:rPr>
                <w:rFonts w:ascii="Arial" w:hAnsi="Arial" w:cs="Arial"/>
                <w:b/>
                <w:bCs/>
                <w:color w:val="000000" w:themeColor="text1"/>
                <w:sz w:val="20"/>
                <w:szCs w:val="20"/>
              </w:rPr>
              <w:t>Account name</w:t>
            </w:r>
          </w:p>
        </w:tc>
        <w:tc>
          <w:tcPr>
            <w:tcW w:w="1710" w:type="dxa"/>
            <w:tcBorders>
              <w:top w:val="single" w:sz="4" w:space="0" w:color="auto"/>
              <w:bottom w:val="single" w:sz="4" w:space="0" w:color="auto"/>
            </w:tcBorders>
          </w:tcPr>
          <w:p w14:paraId="0432F306" w14:textId="77777777" w:rsidR="000C3538" w:rsidRPr="00345AA4" w:rsidRDefault="000C3538" w:rsidP="00375E56">
            <w:pPr>
              <w:pStyle w:val="ListParagraph"/>
              <w:tabs>
                <w:tab w:val="left" w:pos="990"/>
              </w:tabs>
              <w:ind w:left="0"/>
              <w:contextualSpacing/>
              <w:jc w:val="center"/>
              <w:rPr>
                <w:rFonts w:ascii="Arial" w:hAnsi="Arial" w:cs="Arial"/>
                <w:b/>
                <w:bCs/>
                <w:color w:val="000000" w:themeColor="text1"/>
                <w:sz w:val="20"/>
                <w:szCs w:val="20"/>
              </w:rPr>
            </w:pPr>
            <w:r w:rsidRPr="00345AA4">
              <w:rPr>
                <w:rFonts w:ascii="Arial" w:hAnsi="Arial" w:cs="Arial"/>
                <w:b/>
                <w:bCs/>
                <w:color w:val="000000" w:themeColor="text1"/>
                <w:sz w:val="20"/>
                <w:szCs w:val="20"/>
              </w:rPr>
              <w:t>CY 1999</w:t>
            </w:r>
          </w:p>
        </w:tc>
        <w:tc>
          <w:tcPr>
            <w:tcW w:w="1710" w:type="dxa"/>
            <w:tcBorders>
              <w:top w:val="single" w:sz="4" w:space="0" w:color="auto"/>
              <w:bottom w:val="single" w:sz="4" w:space="0" w:color="auto"/>
            </w:tcBorders>
          </w:tcPr>
          <w:p w14:paraId="31A1EA53" w14:textId="77777777" w:rsidR="000C3538" w:rsidRPr="00345AA4" w:rsidRDefault="000C3538" w:rsidP="00375E56">
            <w:pPr>
              <w:pStyle w:val="ListParagraph"/>
              <w:tabs>
                <w:tab w:val="left" w:pos="990"/>
              </w:tabs>
              <w:ind w:left="0"/>
              <w:contextualSpacing/>
              <w:jc w:val="center"/>
              <w:rPr>
                <w:rFonts w:ascii="Arial" w:hAnsi="Arial" w:cs="Arial"/>
                <w:b/>
                <w:bCs/>
                <w:color w:val="000000" w:themeColor="text1"/>
                <w:sz w:val="20"/>
                <w:szCs w:val="20"/>
              </w:rPr>
            </w:pPr>
            <w:r w:rsidRPr="00345AA4">
              <w:rPr>
                <w:rFonts w:ascii="Arial" w:hAnsi="Arial" w:cs="Arial"/>
                <w:b/>
                <w:bCs/>
                <w:color w:val="000000" w:themeColor="text1"/>
                <w:sz w:val="20"/>
                <w:szCs w:val="20"/>
              </w:rPr>
              <w:t>CY 1998</w:t>
            </w:r>
          </w:p>
        </w:tc>
        <w:tc>
          <w:tcPr>
            <w:tcW w:w="1710" w:type="dxa"/>
            <w:tcBorders>
              <w:top w:val="single" w:sz="4" w:space="0" w:color="auto"/>
              <w:bottom w:val="single" w:sz="4" w:space="0" w:color="auto"/>
            </w:tcBorders>
          </w:tcPr>
          <w:p w14:paraId="2BA72E06" w14:textId="77777777" w:rsidR="000C3538" w:rsidRPr="00345AA4" w:rsidRDefault="000C3538" w:rsidP="00375E56">
            <w:pPr>
              <w:pStyle w:val="ListParagraph"/>
              <w:tabs>
                <w:tab w:val="left" w:pos="990"/>
              </w:tabs>
              <w:ind w:left="0"/>
              <w:contextualSpacing/>
              <w:jc w:val="center"/>
              <w:rPr>
                <w:rFonts w:ascii="Arial" w:hAnsi="Arial" w:cs="Arial"/>
                <w:b/>
                <w:bCs/>
                <w:color w:val="000000" w:themeColor="text1"/>
                <w:sz w:val="20"/>
                <w:szCs w:val="20"/>
              </w:rPr>
            </w:pPr>
            <w:r w:rsidRPr="00345AA4">
              <w:rPr>
                <w:rFonts w:ascii="Arial" w:hAnsi="Arial" w:cs="Arial"/>
                <w:b/>
                <w:bCs/>
                <w:color w:val="000000" w:themeColor="text1"/>
                <w:sz w:val="20"/>
                <w:szCs w:val="20"/>
              </w:rPr>
              <w:t>CY 1997</w:t>
            </w:r>
          </w:p>
        </w:tc>
      </w:tr>
      <w:tr w:rsidR="00345AA4" w:rsidRPr="00345AA4" w14:paraId="6F719644" w14:textId="77777777" w:rsidTr="002C39EB">
        <w:tc>
          <w:tcPr>
            <w:tcW w:w="2610" w:type="dxa"/>
            <w:tcBorders>
              <w:top w:val="single" w:sz="4" w:space="0" w:color="auto"/>
            </w:tcBorders>
          </w:tcPr>
          <w:p w14:paraId="79C64909" w14:textId="77777777" w:rsidR="000C3538" w:rsidRPr="00345AA4" w:rsidRDefault="000C3538" w:rsidP="00375E56">
            <w:pPr>
              <w:pStyle w:val="ListParagraph"/>
              <w:tabs>
                <w:tab w:val="left" w:pos="990"/>
              </w:tabs>
              <w:ind w:left="0"/>
              <w:contextualSpacing/>
              <w:rPr>
                <w:rFonts w:ascii="Arial" w:hAnsi="Arial" w:cs="Arial"/>
                <w:bCs/>
                <w:color w:val="000000" w:themeColor="text1"/>
                <w:sz w:val="20"/>
                <w:szCs w:val="20"/>
              </w:rPr>
            </w:pPr>
            <w:r w:rsidRPr="00345AA4">
              <w:rPr>
                <w:rFonts w:ascii="Arial" w:hAnsi="Arial" w:cs="Arial"/>
                <w:bCs/>
                <w:color w:val="000000" w:themeColor="text1"/>
                <w:sz w:val="20"/>
                <w:szCs w:val="20"/>
              </w:rPr>
              <w:t>Notes payable</w:t>
            </w:r>
          </w:p>
        </w:tc>
        <w:tc>
          <w:tcPr>
            <w:tcW w:w="1710" w:type="dxa"/>
            <w:tcBorders>
              <w:top w:val="single" w:sz="4" w:space="0" w:color="auto"/>
            </w:tcBorders>
          </w:tcPr>
          <w:p w14:paraId="46ECD674" w14:textId="016CD2AF" w:rsidR="000C3538" w:rsidRPr="00345AA4" w:rsidRDefault="00BC3A6C" w:rsidP="00375E56">
            <w:pPr>
              <w:pStyle w:val="ListParagraph"/>
              <w:tabs>
                <w:tab w:val="left" w:pos="990"/>
              </w:tabs>
              <w:ind w:left="0"/>
              <w:contextualSpacing/>
              <w:jc w:val="right"/>
              <w:rPr>
                <w:rFonts w:ascii="Arial" w:hAnsi="Arial" w:cs="Arial"/>
                <w:bCs/>
                <w:color w:val="000000" w:themeColor="text1"/>
                <w:sz w:val="20"/>
                <w:szCs w:val="20"/>
              </w:rPr>
            </w:pPr>
            <w:r w:rsidRPr="00345AA4">
              <w:rPr>
                <w:rFonts w:ascii="Arial" w:hAnsi="Arial" w:cs="Arial"/>
                <w:bCs/>
                <w:color w:val="000000" w:themeColor="text1"/>
                <w:sz w:val="20"/>
                <w:szCs w:val="20"/>
              </w:rPr>
              <w:t xml:space="preserve">P                     </w:t>
            </w:r>
            <w:r w:rsidR="00C7315A" w:rsidRPr="00345AA4">
              <w:rPr>
                <w:rFonts w:ascii="Arial" w:hAnsi="Arial" w:cs="Arial"/>
                <w:bCs/>
                <w:color w:val="000000" w:themeColor="text1"/>
                <w:sz w:val="20"/>
                <w:szCs w:val="20"/>
              </w:rPr>
              <w:t>0</w:t>
            </w:r>
          </w:p>
        </w:tc>
        <w:tc>
          <w:tcPr>
            <w:tcW w:w="1710" w:type="dxa"/>
            <w:tcBorders>
              <w:top w:val="single" w:sz="4" w:space="0" w:color="auto"/>
            </w:tcBorders>
          </w:tcPr>
          <w:p w14:paraId="06EC0778" w14:textId="77777777" w:rsidR="000C3538" w:rsidRPr="00345AA4" w:rsidRDefault="000C3538" w:rsidP="00375E56">
            <w:pPr>
              <w:pStyle w:val="ListParagraph"/>
              <w:tabs>
                <w:tab w:val="left" w:pos="990"/>
              </w:tabs>
              <w:ind w:left="0"/>
              <w:contextualSpacing/>
              <w:jc w:val="right"/>
              <w:rPr>
                <w:rFonts w:ascii="Arial" w:hAnsi="Arial" w:cs="Arial"/>
                <w:bCs/>
                <w:color w:val="000000" w:themeColor="text1"/>
                <w:sz w:val="20"/>
                <w:szCs w:val="20"/>
              </w:rPr>
            </w:pPr>
            <w:r w:rsidRPr="00345AA4">
              <w:rPr>
                <w:rFonts w:ascii="Arial" w:hAnsi="Arial" w:cs="Arial"/>
                <w:color w:val="000000" w:themeColor="text1"/>
                <w:sz w:val="20"/>
                <w:szCs w:val="20"/>
              </w:rPr>
              <w:t>P</w:t>
            </w:r>
            <w:r w:rsidR="00BC3A6C" w:rsidRPr="00345AA4">
              <w:rPr>
                <w:rFonts w:ascii="Arial" w:hAnsi="Arial" w:cs="Arial"/>
                <w:color w:val="000000" w:themeColor="text1"/>
                <w:sz w:val="20"/>
                <w:szCs w:val="20"/>
              </w:rPr>
              <w:t xml:space="preserve">   </w:t>
            </w:r>
            <w:r w:rsidRPr="00345AA4">
              <w:rPr>
                <w:rFonts w:ascii="Arial" w:hAnsi="Arial" w:cs="Arial"/>
                <w:color w:val="000000" w:themeColor="text1"/>
                <w:sz w:val="20"/>
                <w:szCs w:val="20"/>
              </w:rPr>
              <w:t>868,976,847</w:t>
            </w:r>
          </w:p>
        </w:tc>
        <w:tc>
          <w:tcPr>
            <w:tcW w:w="1710" w:type="dxa"/>
            <w:tcBorders>
              <w:top w:val="single" w:sz="4" w:space="0" w:color="auto"/>
            </w:tcBorders>
          </w:tcPr>
          <w:p w14:paraId="27E74C94" w14:textId="77777777" w:rsidR="000C3538" w:rsidRPr="00345AA4" w:rsidRDefault="000C3538" w:rsidP="00375E56">
            <w:pPr>
              <w:pStyle w:val="ListParagraph"/>
              <w:tabs>
                <w:tab w:val="left" w:pos="990"/>
              </w:tabs>
              <w:ind w:left="0"/>
              <w:contextualSpacing/>
              <w:jc w:val="right"/>
              <w:rPr>
                <w:rFonts w:ascii="Arial" w:hAnsi="Arial" w:cs="Arial"/>
                <w:bCs/>
                <w:color w:val="000000" w:themeColor="text1"/>
                <w:sz w:val="20"/>
                <w:szCs w:val="20"/>
              </w:rPr>
            </w:pPr>
            <w:r w:rsidRPr="00345AA4">
              <w:rPr>
                <w:rFonts w:ascii="Arial" w:hAnsi="Arial" w:cs="Arial"/>
                <w:color w:val="000000" w:themeColor="text1"/>
                <w:sz w:val="20"/>
                <w:szCs w:val="20"/>
              </w:rPr>
              <w:t>P</w:t>
            </w:r>
            <w:r w:rsidR="00BC3A6C" w:rsidRPr="00345AA4">
              <w:rPr>
                <w:rFonts w:ascii="Arial" w:hAnsi="Arial" w:cs="Arial"/>
                <w:color w:val="000000" w:themeColor="text1"/>
                <w:sz w:val="20"/>
                <w:szCs w:val="20"/>
              </w:rPr>
              <w:t xml:space="preserve">   </w:t>
            </w:r>
            <w:r w:rsidRPr="00345AA4">
              <w:rPr>
                <w:rFonts w:ascii="Arial" w:hAnsi="Arial" w:cs="Arial"/>
                <w:color w:val="000000" w:themeColor="text1"/>
                <w:sz w:val="20"/>
                <w:szCs w:val="20"/>
              </w:rPr>
              <w:t>934,000,000</w:t>
            </w:r>
          </w:p>
        </w:tc>
      </w:tr>
      <w:tr w:rsidR="00345AA4" w:rsidRPr="00345AA4" w14:paraId="233C240C" w14:textId="77777777" w:rsidTr="002C39EB">
        <w:tc>
          <w:tcPr>
            <w:tcW w:w="2610" w:type="dxa"/>
          </w:tcPr>
          <w:p w14:paraId="739E99FF" w14:textId="77777777" w:rsidR="000C3538" w:rsidRPr="00345AA4" w:rsidRDefault="000C3538" w:rsidP="00375E56">
            <w:pPr>
              <w:pStyle w:val="ListParagraph"/>
              <w:tabs>
                <w:tab w:val="left" w:pos="990"/>
              </w:tabs>
              <w:ind w:left="0"/>
              <w:contextualSpacing/>
              <w:rPr>
                <w:rFonts w:ascii="Arial" w:hAnsi="Arial" w:cs="Arial"/>
                <w:bCs/>
                <w:color w:val="000000" w:themeColor="text1"/>
                <w:sz w:val="20"/>
                <w:szCs w:val="20"/>
              </w:rPr>
            </w:pPr>
            <w:r w:rsidRPr="00345AA4">
              <w:rPr>
                <w:rFonts w:ascii="Arial" w:hAnsi="Arial" w:cs="Arial"/>
                <w:color w:val="000000" w:themeColor="text1"/>
                <w:sz w:val="20"/>
                <w:szCs w:val="20"/>
              </w:rPr>
              <w:t>Capital stock</w:t>
            </w:r>
          </w:p>
        </w:tc>
        <w:tc>
          <w:tcPr>
            <w:tcW w:w="1710" w:type="dxa"/>
          </w:tcPr>
          <w:p w14:paraId="2686D009" w14:textId="77777777" w:rsidR="000C3538" w:rsidRPr="00345AA4" w:rsidRDefault="000C3538" w:rsidP="00375E56">
            <w:pPr>
              <w:pStyle w:val="ListParagraph"/>
              <w:tabs>
                <w:tab w:val="left" w:pos="990"/>
              </w:tabs>
              <w:ind w:left="0"/>
              <w:contextualSpacing/>
              <w:jc w:val="right"/>
              <w:rPr>
                <w:rFonts w:ascii="Arial" w:hAnsi="Arial" w:cs="Arial"/>
                <w:bCs/>
                <w:color w:val="000000" w:themeColor="text1"/>
                <w:sz w:val="20"/>
                <w:szCs w:val="20"/>
              </w:rPr>
            </w:pPr>
            <w:r w:rsidRPr="00345AA4">
              <w:rPr>
                <w:rFonts w:ascii="Arial" w:hAnsi="Arial" w:cs="Arial"/>
                <w:color w:val="000000" w:themeColor="text1"/>
                <w:sz w:val="20"/>
                <w:szCs w:val="20"/>
              </w:rPr>
              <w:t>150,000,000</w:t>
            </w:r>
          </w:p>
        </w:tc>
        <w:tc>
          <w:tcPr>
            <w:tcW w:w="1710" w:type="dxa"/>
          </w:tcPr>
          <w:p w14:paraId="1CE7C19D" w14:textId="77777777" w:rsidR="000C3538" w:rsidRPr="00345AA4" w:rsidRDefault="000C3538" w:rsidP="00375E56">
            <w:pPr>
              <w:pStyle w:val="ListParagraph"/>
              <w:tabs>
                <w:tab w:val="left" w:pos="990"/>
              </w:tabs>
              <w:ind w:left="0"/>
              <w:contextualSpacing/>
              <w:jc w:val="right"/>
              <w:rPr>
                <w:rFonts w:ascii="Arial" w:hAnsi="Arial" w:cs="Arial"/>
                <w:color w:val="000000" w:themeColor="text1"/>
                <w:sz w:val="20"/>
                <w:szCs w:val="20"/>
              </w:rPr>
            </w:pPr>
            <w:r w:rsidRPr="00345AA4">
              <w:rPr>
                <w:rFonts w:ascii="Arial" w:hAnsi="Arial" w:cs="Arial"/>
                <w:color w:val="000000" w:themeColor="text1"/>
                <w:sz w:val="20"/>
                <w:szCs w:val="20"/>
              </w:rPr>
              <w:t>150,000,000</w:t>
            </w:r>
          </w:p>
        </w:tc>
        <w:tc>
          <w:tcPr>
            <w:tcW w:w="1710" w:type="dxa"/>
          </w:tcPr>
          <w:p w14:paraId="01FB5D6F" w14:textId="77777777" w:rsidR="000C3538" w:rsidRPr="00345AA4" w:rsidRDefault="000C3538" w:rsidP="00375E56">
            <w:pPr>
              <w:pStyle w:val="ListParagraph"/>
              <w:tabs>
                <w:tab w:val="left" w:pos="990"/>
              </w:tabs>
              <w:ind w:left="0"/>
              <w:contextualSpacing/>
              <w:jc w:val="right"/>
              <w:rPr>
                <w:rFonts w:ascii="Arial" w:hAnsi="Arial" w:cs="Arial"/>
                <w:color w:val="000000" w:themeColor="text1"/>
                <w:sz w:val="20"/>
                <w:szCs w:val="20"/>
              </w:rPr>
            </w:pPr>
            <w:r w:rsidRPr="00345AA4">
              <w:rPr>
                <w:rFonts w:ascii="Arial" w:hAnsi="Arial" w:cs="Arial"/>
                <w:color w:val="000000" w:themeColor="text1"/>
                <w:sz w:val="20"/>
                <w:szCs w:val="20"/>
              </w:rPr>
              <w:t>150,000,000</w:t>
            </w:r>
          </w:p>
        </w:tc>
      </w:tr>
      <w:tr w:rsidR="00345AA4" w:rsidRPr="00345AA4" w14:paraId="5F737E7D" w14:textId="77777777" w:rsidTr="002C39EB">
        <w:tc>
          <w:tcPr>
            <w:tcW w:w="2610" w:type="dxa"/>
            <w:tcBorders>
              <w:bottom w:val="single" w:sz="4" w:space="0" w:color="auto"/>
            </w:tcBorders>
          </w:tcPr>
          <w:p w14:paraId="553FA718" w14:textId="77777777" w:rsidR="000C3538" w:rsidRPr="00345AA4" w:rsidRDefault="000A38E7" w:rsidP="00375E56">
            <w:pPr>
              <w:pStyle w:val="ListParagraph"/>
              <w:tabs>
                <w:tab w:val="left" w:pos="990"/>
              </w:tabs>
              <w:ind w:left="0"/>
              <w:contextualSpacing/>
              <w:rPr>
                <w:rFonts w:ascii="Arial" w:hAnsi="Arial" w:cs="Arial"/>
                <w:color w:val="000000" w:themeColor="text1"/>
                <w:sz w:val="20"/>
                <w:szCs w:val="20"/>
              </w:rPr>
            </w:pPr>
            <w:r w:rsidRPr="00345AA4">
              <w:rPr>
                <w:rFonts w:ascii="Arial" w:hAnsi="Arial" w:cs="Arial"/>
                <w:color w:val="000000" w:themeColor="text1"/>
                <w:sz w:val="20"/>
                <w:szCs w:val="20"/>
              </w:rPr>
              <w:t>APIC</w:t>
            </w:r>
          </w:p>
        </w:tc>
        <w:tc>
          <w:tcPr>
            <w:tcW w:w="1710" w:type="dxa"/>
            <w:tcBorders>
              <w:bottom w:val="single" w:sz="4" w:space="0" w:color="auto"/>
            </w:tcBorders>
          </w:tcPr>
          <w:p w14:paraId="05FA202F" w14:textId="77777777" w:rsidR="000C3538" w:rsidRPr="00345AA4" w:rsidRDefault="000C3538" w:rsidP="00375E56">
            <w:pPr>
              <w:pStyle w:val="ListParagraph"/>
              <w:tabs>
                <w:tab w:val="left" w:pos="990"/>
              </w:tabs>
              <w:ind w:left="0"/>
              <w:contextualSpacing/>
              <w:jc w:val="right"/>
              <w:rPr>
                <w:rFonts w:ascii="Arial" w:hAnsi="Arial" w:cs="Arial"/>
                <w:color w:val="000000" w:themeColor="text1"/>
                <w:sz w:val="20"/>
                <w:szCs w:val="20"/>
              </w:rPr>
            </w:pPr>
            <w:r w:rsidRPr="00345AA4">
              <w:rPr>
                <w:rFonts w:ascii="Arial" w:hAnsi="Arial" w:cs="Arial"/>
                <w:color w:val="000000" w:themeColor="text1"/>
                <w:sz w:val="20"/>
                <w:szCs w:val="20"/>
              </w:rPr>
              <w:t>868,976,847</w:t>
            </w:r>
          </w:p>
        </w:tc>
        <w:tc>
          <w:tcPr>
            <w:tcW w:w="1710" w:type="dxa"/>
            <w:tcBorders>
              <w:bottom w:val="single" w:sz="4" w:space="0" w:color="auto"/>
            </w:tcBorders>
          </w:tcPr>
          <w:p w14:paraId="67B16418" w14:textId="46DB3DF1" w:rsidR="000C3538" w:rsidRPr="00345AA4" w:rsidRDefault="00C7315A" w:rsidP="00375E56">
            <w:pPr>
              <w:pStyle w:val="ListParagraph"/>
              <w:tabs>
                <w:tab w:val="left" w:pos="990"/>
              </w:tabs>
              <w:ind w:left="0"/>
              <w:contextualSpacing/>
              <w:jc w:val="right"/>
              <w:rPr>
                <w:rFonts w:ascii="Arial" w:hAnsi="Arial" w:cs="Arial"/>
                <w:color w:val="000000" w:themeColor="text1"/>
                <w:sz w:val="20"/>
                <w:szCs w:val="20"/>
              </w:rPr>
            </w:pPr>
            <w:r w:rsidRPr="00345AA4">
              <w:rPr>
                <w:rFonts w:ascii="Arial" w:hAnsi="Arial" w:cs="Arial"/>
                <w:color w:val="000000" w:themeColor="text1"/>
                <w:sz w:val="20"/>
                <w:szCs w:val="20"/>
              </w:rPr>
              <w:t>0</w:t>
            </w:r>
          </w:p>
        </w:tc>
        <w:tc>
          <w:tcPr>
            <w:tcW w:w="1710" w:type="dxa"/>
            <w:tcBorders>
              <w:bottom w:val="single" w:sz="4" w:space="0" w:color="auto"/>
            </w:tcBorders>
          </w:tcPr>
          <w:p w14:paraId="1B59CF54" w14:textId="63E4337F" w:rsidR="000C3538" w:rsidRPr="00345AA4" w:rsidRDefault="00C7315A" w:rsidP="00375E56">
            <w:pPr>
              <w:pStyle w:val="ListParagraph"/>
              <w:tabs>
                <w:tab w:val="left" w:pos="990"/>
              </w:tabs>
              <w:ind w:left="0"/>
              <w:contextualSpacing/>
              <w:jc w:val="right"/>
              <w:rPr>
                <w:rFonts w:ascii="Arial" w:hAnsi="Arial" w:cs="Arial"/>
                <w:color w:val="000000" w:themeColor="text1"/>
                <w:sz w:val="20"/>
                <w:szCs w:val="20"/>
              </w:rPr>
            </w:pPr>
            <w:r w:rsidRPr="00345AA4">
              <w:rPr>
                <w:rFonts w:ascii="Arial" w:hAnsi="Arial" w:cs="Arial"/>
                <w:color w:val="000000" w:themeColor="text1"/>
                <w:sz w:val="20"/>
                <w:szCs w:val="20"/>
              </w:rPr>
              <w:t>0</w:t>
            </w:r>
          </w:p>
        </w:tc>
      </w:tr>
      <w:tr w:rsidR="00A85B97" w:rsidRPr="00345AA4" w14:paraId="13F8D82D" w14:textId="77777777" w:rsidTr="002C39EB">
        <w:tc>
          <w:tcPr>
            <w:tcW w:w="2610" w:type="dxa"/>
            <w:tcBorders>
              <w:top w:val="single" w:sz="4" w:space="0" w:color="auto"/>
              <w:bottom w:val="double" w:sz="4" w:space="0" w:color="auto"/>
            </w:tcBorders>
          </w:tcPr>
          <w:p w14:paraId="6CC86B5B" w14:textId="77777777" w:rsidR="000C3538" w:rsidRPr="00345AA4" w:rsidRDefault="000C3538" w:rsidP="00375E56">
            <w:pPr>
              <w:pStyle w:val="ListParagraph"/>
              <w:tabs>
                <w:tab w:val="left" w:pos="990"/>
              </w:tabs>
              <w:ind w:left="0"/>
              <w:contextualSpacing/>
              <w:rPr>
                <w:rFonts w:ascii="Arial" w:hAnsi="Arial" w:cs="Arial"/>
                <w:color w:val="000000" w:themeColor="text1"/>
                <w:sz w:val="20"/>
                <w:szCs w:val="20"/>
              </w:rPr>
            </w:pPr>
            <w:r w:rsidRPr="00345AA4">
              <w:rPr>
                <w:rFonts w:ascii="Arial" w:hAnsi="Arial" w:cs="Arial"/>
                <w:b/>
                <w:bCs/>
                <w:color w:val="000000" w:themeColor="text1"/>
                <w:sz w:val="20"/>
                <w:szCs w:val="20"/>
              </w:rPr>
              <w:t>Total</w:t>
            </w:r>
          </w:p>
        </w:tc>
        <w:tc>
          <w:tcPr>
            <w:tcW w:w="1710" w:type="dxa"/>
            <w:tcBorders>
              <w:top w:val="single" w:sz="4" w:space="0" w:color="auto"/>
              <w:bottom w:val="double" w:sz="4" w:space="0" w:color="auto"/>
            </w:tcBorders>
          </w:tcPr>
          <w:p w14:paraId="5FCB7C1D" w14:textId="77777777" w:rsidR="000C3538" w:rsidRPr="00345AA4" w:rsidRDefault="000C3538" w:rsidP="00375E56">
            <w:pPr>
              <w:pStyle w:val="ListParagraph"/>
              <w:tabs>
                <w:tab w:val="left" w:pos="990"/>
              </w:tabs>
              <w:ind w:left="0"/>
              <w:contextualSpacing/>
              <w:jc w:val="right"/>
              <w:rPr>
                <w:rFonts w:ascii="Arial" w:hAnsi="Arial" w:cs="Arial"/>
                <w:color w:val="000000" w:themeColor="text1"/>
                <w:sz w:val="20"/>
                <w:szCs w:val="20"/>
              </w:rPr>
            </w:pPr>
            <w:r w:rsidRPr="00345AA4">
              <w:rPr>
                <w:rFonts w:ascii="Arial" w:hAnsi="Arial" w:cs="Arial"/>
                <w:b/>
                <w:color w:val="000000" w:themeColor="text1"/>
                <w:sz w:val="20"/>
                <w:szCs w:val="20"/>
              </w:rPr>
              <w:t>P1,018,976,847</w:t>
            </w:r>
          </w:p>
        </w:tc>
        <w:tc>
          <w:tcPr>
            <w:tcW w:w="1710" w:type="dxa"/>
            <w:tcBorders>
              <w:top w:val="single" w:sz="4" w:space="0" w:color="auto"/>
              <w:bottom w:val="double" w:sz="4" w:space="0" w:color="auto"/>
            </w:tcBorders>
          </w:tcPr>
          <w:p w14:paraId="1C6560B2" w14:textId="77777777" w:rsidR="000C3538" w:rsidRPr="00345AA4" w:rsidRDefault="000C3538" w:rsidP="00375E56">
            <w:pPr>
              <w:pStyle w:val="ListParagraph"/>
              <w:tabs>
                <w:tab w:val="left" w:pos="990"/>
              </w:tabs>
              <w:ind w:left="0"/>
              <w:contextualSpacing/>
              <w:jc w:val="right"/>
              <w:rPr>
                <w:rFonts w:ascii="Arial" w:hAnsi="Arial" w:cs="Arial"/>
                <w:color w:val="000000" w:themeColor="text1"/>
                <w:sz w:val="20"/>
                <w:szCs w:val="20"/>
              </w:rPr>
            </w:pPr>
            <w:r w:rsidRPr="00345AA4">
              <w:rPr>
                <w:rFonts w:ascii="Arial" w:hAnsi="Arial" w:cs="Arial"/>
                <w:b/>
                <w:color w:val="000000" w:themeColor="text1"/>
                <w:sz w:val="20"/>
                <w:szCs w:val="20"/>
              </w:rPr>
              <w:t>P1,018,976,847</w:t>
            </w:r>
          </w:p>
        </w:tc>
        <w:tc>
          <w:tcPr>
            <w:tcW w:w="1710" w:type="dxa"/>
            <w:tcBorders>
              <w:top w:val="single" w:sz="4" w:space="0" w:color="auto"/>
              <w:bottom w:val="double" w:sz="4" w:space="0" w:color="auto"/>
            </w:tcBorders>
          </w:tcPr>
          <w:p w14:paraId="783B3F50" w14:textId="77777777" w:rsidR="000C3538" w:rsidRPr="00345AA4" w:rsidRDefault="000C3538" w:rsidP="00375E56">
            <w:pPr>
              <w:pStyle w:val="ListParagraph"/>
              <w:tabs>
                <w:tab w:val="left" w:pos="990"/>
              </w:tabs>
              <w:ind w:left="0"/>
              <w:contextualSpacing/>
              <w:jc w:val="right"/>
              <w:rPr>
                <w:rFonts w:ascii="Arial" w:hAnsi="Arial" w:cs="Arial"/>
                <w:color w:val="000000" w:themeColor="text1"/>
                <w:sz w:val="20"/>
                <w:szCs w:val="20"/>
              </w:rPr>
            </w:pPr>
            <w:r w:rsidRPr="00345AA4">
              <w:rPr>
                <w:rFonts w:ascii="Arial" w:hAnsi="Arial" w:cs="Arial"/>
                <w:b/>
                <w:color w:val="000000" w:themeColor="text1"/>
                <w:sz w:val="20"/>
                <w:szCs w:val="20"/>
              </w:rPr>
              <w:t>P1,084,000,000</w:t>
            </w:r>
          </w:p>
        </w:tc>
      </w:tr>
    </w:tbl>
    <w:p w14:paraId="4C89F06B" w14:textId="77777777" w:rsidR="000C3538" w:rsidRPr="00345AA4" w:rsidRDefault="000C3538" w:rsidP="000C3538">
      <w:pPr>
        <w:pStyle w:val="ListParagraph"/>
        <w:tabs>
          <w:tab w:val="left" w:pos="990"/>
        </w:tabs>
        <w:ind w:left="900"/>
        <w:contextualSpacing/>
        <w:jc w:val="both"/>
        <w:rPr>
          <w:rFonts w:ascii="Arial" w:hAnsi="Arial" w:cs="Arial"/>
          <w:bCs/>
          <w:color w:val="000000" w:themeColor="text1"/>
          <w:sz w:val="22"/>
          <w:szCs w:val="22"/>
        </w:rPr>
      </w:pPr>
    </w:p>
    <w:p w14:paraId="62D909F1" w14:textId="29A0962A" w:rsidR="000C3538" w:rsidRPr="00345AA4" w:rsidRDefault="000C3538" w:rsidP="001728EA">
      <w:pPr>
        <w:pStyle w:val="ListParagraph"/>
        <w:numPr>
          <w:ilvl w:val="1"/>
          <w:numId w:val="1"/>
        </w:numPr>
        <w:tabs>
          <w:tab w:val="left" w:pos="990"/>
        </w:tabs>
        <w:ind w:left="900" w:hanging="540"/>
        <w:contextualSpacing/>
        <w:jc w:val="both"/>
        <w:rPr>
          <w:rFonts w:ascii="Arial" w:hAnsi="Arial" w:cs="Arial"/>
          <w:bCs/>
          <w:color w:val="000000" w:themeColor="text1"/>
          <w:sz w:val="22"/>
          <w:szCs w:val="22"/>
        </w:rPr>
      </w:pPr>
      <w:r w:rsidRPr="00345AA4">
        <w:rPr>
          <w:rFonts w:ascii="Arial" w:hAnsi="Arial" w:cs="Arial"/>
          <w:bCs/>
          <w:color w:val="000000" w:themeColor="text1"/>
          <w:sz w:val="22"/>
          <w:szCs w:val="22"/>
        </w:rPr>
        <w:t xml:space="preserve">Further review of the CY 1999 </w:t>
      </w:r>
      <w:r w:rsidR="0045363D" w:rsidRPr="00345AA4">
        <w:rPr>
          <w:rFonts w:ascii="Arial" w:hAnsi="Arial" w:cs="Arial"/>
          <w:bCs/>
          <w:color w:val="000000" w:themeColor="text1"/>
          <w:sz w:val="22"/>
          <w:szCs w:val="22"/>
        </w:rPr>
        <w:t>FS</w:t>
      </w:r>
      <w:r w:rsidRPr="00345AA4">
        <w:rPr>
          <w:rFonts w:ascii="Arial" w:hAnsi="Arial" w:cs="Arial"/>
          <w:bCs/>
          <w:color w:val="000000" w:themeColor="text1"/>
          <w:sz w:val="22"/>
          <w:szCs w:val="22"/>
        </w:rPr>
        <w:t xml:space="preserve"> of AFPRSBS’ subsidiary realty corporation disclosed that the notes payable amounting to P868.977 million was transferred to APIC account prior to the swap transaction which is not in accordance to the usual recognition of the said account.  The APIC is recognized when investors pay beyond or above the stated par value through the issuance of shares.  Per AFPRSBS’ records, on the contrary, the </w:t>
      </w:r>
      <w:r w:rsidR="00447B23" w:rsidRPr="00345AA4">
        <w:rPr>
          <w:rFonts w:ascii="Arial" w:hAnsi="Arial" w:cs="Arial"/>
          <w:bCs/>
          <w:color w:val="000000" w:themeColor="text1"/>
          <w:sz w:val="22"/>
          <w:szCs w:val="22"/>
        </w:rPr>
        <w:t xml:space="preserve">SL </w:t>
      </w:r>
      <w:r w:rsidRPr="00345AA4">
        <w:rPr>
          <w:rFonts w:ascii="Arial" w:hAnsi="Arial" w:cs="Arial"/>
          <w:bCs/>
          <w:color w:val="000000" w:themeColor="text1"/>
          <w:sz w:val="22"/>
          <w:szCs w:val="22"/>
        </w:rPr>
        <w:t xml:space="preserve">of advances to CSTI account showed an amount of P868.282 million, net of adjustments, were recorded per </w:t>
      </w:r>
      <w:r w:rsidR="009A4F8B" w:rsidRPr="00345AA4">
        <w:rPr>
          <w:rFonts w:ascii="Arial" w:hAnsi="Arial" w:cs="Arial"/>
          <w:bCs/>
          <w:color w:val="000000" w:themeColor="text1"/>
          <w:sz w:val="22"/>
          <w:szCs w:val="22"/>
        </w:rPr>
        <w:t>Journal Voucher (</w:t>
      </w:r>
      <w:r w:rsidRPr="00345AA4">
        <w:rPr>
          <w:rFonts w:ascii="Arial" w:hAnsi="Arial" w:cs="Arial"/>
          <w:bCs/>
          <w:color w:val="000000" w:themeColor="text1"/>
          <w:sz w:val="22"/>
          <w:szCs w:val="22"/>
        </w:rPr>
        <w:t>JV</w:t>
      </w:r>
      <w:r w:rsidR="009A4F8B" w:rsidRPr="00345AA4">
        <w:rPr>
          <w:rFonts w:ascii="Arial" w:hAnsi="Arial" w:cs="Arial"/>
          <w:bCs/>
          <w:color w:val="000000" w:themeColor="text1"/>
          <w:sz w:val="22"/>
          <w:szCs w:val="22"/>
        </w:rPr>
        <w:t>)</w:t>
      </w:r>
      <w:r w:rsidRPr="00345AA4">
        <w:rPr>
          <w:rFonts w:ascii="Arial" w:hAnsi="Arial" w:cs="Arial"/>
          <w:bCs/>
          <w:color w:val="000000" w:themeColor="text1"/>
          <w:sz w:val="22"/>
          <w:szCs w:val="22"/>
        </w:rPr>
        <w:t xml:space="preserve"> Nos. 2015515 and 2017494 due to transfer of equity interest to </w:t>
      </w:r>
      <w:r w:rsidR="00C7315A" w:rsidRPr="00345AA4">
        <w:rPr>
          <w:rFonts w:ascii="Arial" w:hAnsi="Arial" w:cs="Arial"/>
          <w:bCs/>
          <w:color w:val="000000" w:themeColor="text1"/>
          <w:sz w:val="22"/>
          <w:szCs w:val="22"/>
        </w:rPr>
        <w:t>MDC</w:t>
      </w:r>
      <w:r w:rsidRPr="00345AA4">
        <w:rPr>
          <w:rFonts w:ascii="Arial" w:hAnsi="Arial" w:cs="Arial"/>
          <w:bCs/>
          <w:color w:val="000000" w:themeColor="text1"/>
          <w:sz w:val="22"/>
          <w:szCs w:val="22"/>
        </w:rPr>
        <w:t>.  Hence, AFPRSBS ceded not only the value of 120 condominium units of AFPRSBS’ subsidiary realty corporation but also its receivables from its subsidiary amount</w:t>
      </w:r>
      <w:r w:rsidR="008A7B98" w:rsidRPr="00345AA4">
        <w:rPr>
          <w:rFonts w:ascii="Arial" w:hAnsi="Arial" w:cs="Arial"/>
          <w:bCs/>
          <w:color w:val="000000" w:themeColor="text1"/>
          <w:sz w:val="22"/>
          <w:szCs w:val="22"/>
        </w:rPr>
        <w:t>ing to</w:t>
      </w:r>
      <w:r w:rsidRPr="00345AA4">
        <w:rPr>
          <w:rFonts w:ascii="Arial" w:hAnsi="Arial" w:cs="Arial"/>
          <w:bCs/>
          <w:color w:val="000000" w:themeColor="text1"/>
          <w:sz w:val="22"/>
          <w:szCs w:val="22"/>
        </w:rPr>
        <w:t xml:space="preserve"> P868.977 million.</w:t>
      </w:r>
    </w:p>
    <w:p w14:paraId="3B5F50EC" w14:textId="77777777" w:rsidR="000C3538" w:rsidRPr="00345AA4" w:rsidRDefault="000C3538" w:rsidP="00975DCC">
      <w:pPr>
        <w:pStyle w:val="ListParagraph"/>
        <w:tabs>
          <w:tab w:val="left" w:pos="990"/>
        </w:tabs>
        <w:ind w:left="900"/>
        <w:contextualSpacing/>
        <w:jc w:val="center"/>
        <w:rPr>
          <w:rFonts w:ascii="Arial" w:hAnsi="Arial" w:cs="Arial"/>
          <w:bCs/>
          <w:color w:val="000000" w:themeColor="text1"/>
          <w:sz w:val="22"/>
          <w:szCs w:val="22"/>
        </w:rPr>
      </w:pPr>
    </w:p>
    <w:p w14:paraId="52B03690" w14:textId="764B1BF8" w:rsidR="000C3538" w:rsidRPr="00345AA4" w:rsidRDefault="000C3538" w:rsidP="001728EA">
      <w:pPr>
        <w:pStyle w:val="ListParagraph"/>
        <w:numPr>
          <w:ilvl w:val="1"/>
          <w:numId w:val="1"/>
        </w:numPr>
        <w:tabs>
          <w:tab w:val="left" w:pos="990"/>
        </w:tabs>
        <w:ind w:left="900" w:hanging="540"/>
        <w:contextualSpacing/>
        <w:jc w:val="both"/>
        <w:rPr>
          <w:rFonts w:ascii="Arial" w:hAnsi="Arial" w:cs="Arial"/>
          <w:bCs/>
          <w:color w:val="000000" w:themeColor="text1"/>
          <w:sz w:val="22"/>
          <w:szCs w:val="22"/>
        </w:rPr>
      </w:pPr>
      <w:r w:rsidRPr="00345AA4">
        <w:rPr>
          <w:rFonts w:ascii="Arial" w:hAnsi="Arial" w:cs="Arial"/>
          <w:bCs/>
          <w:color w:val="000000" w:themeColor="text1"/>
          <w:sz w:val="22"/>
          <w:szCs w:val="22"/>
        </w:rPr>
        <w:t>The Audit Team requested from Management</w:t>
      </w:r>
      <w:r w:rsidR="00BA7A47" w:rsidRPr="00345AA4">
        <w:rPr>
          <w:rFonts w:ascii="Arial" w:hAnsi="Arial" w:cs="Arial"/>
          <w:bCs/>
          <w:color w:val="000000" w:themeColor="text1"/>
          <w:sz w:val="22"/>
          <w:szCs w:val="22"/>
        </w:rPr>
        <w:t xml:space="preserve"> the</w:t>
      </w:r>
      <w:r w:rsidRPr="00345AA4">
        <w:rPr>
          <w:rFonts w:ascii="Arial" w:hAnsi="Arial" w:cs="Arial"/>
          <w:bCs/>
          <w:color w:val="000000" w:themeColor="text1"/>
          <w:sz w:val="22"/>
          <w:szCs w:val="22"/>
        </w:rPr>
        <w:t xml:space="preserve"> copy of </w:t>
      </w:r>
      <w:r w:rsidR="004C1C0C" w:rsidRPr="00345AA4">
        <w:rPr>
          <w:rFonts w:ascii="Arial" w:hAnsi="Arial" w:cs="Arial"/>
          <w:bCs/>
          <w:color w:val="000000" w:themeColor="text1"/>
          <w:sz w:val="22"/>
          <w:szCs w:val="22"/>
        </w:rPr>
        <w:t>BR</w:t>
      </w:r>
      <w:r w:rsidRPr="00345AA4">
        <w:rPr>
          <w:rFonts w:ascii="Arial" w:hAnsi="Arial" w:cs="Arial"/>
          <w:bCs/>
          <w:color w:val="000000" w:themeColor="text1"/>
          <w:sz w:val="22"/>
          <w:szCs w:val="22"/>
        </w:rPr>
        <w:t xml:space="preserve"> or other supporting documents relative to the settlement and condonation of AFPRSBS’ receivable from its subsidiary realty corporation prior to the effectivity of the corporate swap.  However, Management failed to provide the Audit Team the requested documents due to lack of documentation of the financial records pertaining to the said corporate swap.</w:t>
      </w:r>
    </w:p>
    <w:p w14:paraId="4D2A216E" w14:textId="77777777" w:rsidR="000C3538" w:rsidRPr="00345AA4" w:rsidRDefault="000C3538" w:rsidP="000C3538">
      <w:pPr>
        <w:pStyle w:val="ListParagraph"/>
        <w:tabs>
          <w:tab w:val="left" w:pos="990"/>
        </w:tabs>
        <w:ind w:left="900"/>
        <w:contextualSpacing/>
        <w:jc w:val="both"/>
        <w:rPr>
          <w:rFonts w:ascii="Arial" w:hAnsi="Arial" w:cs="Arial"/>
          <w:b/>
          <w:color w:val="000000" w:themeColor="text1"/>
          <w:sz w:val="22"/>
          <w:szCs w:val="22"/>
        </w:rPr>
      </w:pPr>
    </w:p>
    <w:p w14:paraId="6451611C" w14:textId="10AD8DAC" w:rsidR="000C3538" w:rsidRPr="00345AA4" w:rsidRDefault="000C3538" w:rsidP="000C3538">
      <w:pPr>
        <w:pStyle w:val="ListParagraph"/>
        <w:numPr>
          <w:ilvl w:val="1"/>
          <w:numId w:val="1"/>
        </w:numPr>
        <w:tabs>
          <w:tab w:val="left" w:pos="990"/>
        </w:tabs>
        <w:ind w:left="900" w:hanging="540"/>
        <w:contextualSpacing/>
        <w:jc w:val="both"/>
        <w:rPr>
          <w:rFonts w:ascii="Arial" w:hAnsi="Arial" w:cs="Arial"/>
          <w:bCs/>
          <w:color w:val="000000" w:themeColor="text1"/>
          <w:sz w:val="22"/>
          <w:szCs w:val="22"/>
        </w:rPr>
      </w:pPr>
      <w:r w:rsidRPr="00345AA4">
        <w:rPr>
          <w:rFonts w:ascii="Arial" w:hAnsi="Arial" w:cs="Arial"/>
          <w:bCs/>
          <w:color w:val="000000" w:themeColor="text1"/>
          <w:sz w:val="22"/>
          <w:szCs w:val="22"/>
        </w:rPr>
        <w:t xml:space="preserve">Based on the appraisal reports submitted, the comparison of the value ceded and the consideration received by AFPRSBS at the time of the corporate swap of its subsidiary realty corporation and </w:t>
      </w:r>
      <w:r w:rsidR="00C7315A" w:rsidRPr="00345AA4">
        <w:rPr>
          <w:rFonts w:ascii="Arial" w:hAnsi="Arial" w:cs="Arial"/>
          <w:bCs/>
          <w:color w:val="000000" w:themeColor="text1"/>
          <w:sz w:val="22"/>
          <w:szCs w:val="22"/>
        </w:rPr>
        <w:t>MDC</w:t>
      </w:r>
      <w:r w:rsidRPr="00345AA4">
        <w:rPr>
          <w:rFonts w:ascii="Arial" w:hAnsi="Arial" w:cs="Arial"/>
          <w:bCs/>
          <w:color w:val="000000" w:themeColor="text1"/>
          <w:sz w:val="22"/>
          <w:szCs w:val="22"/>
        </w:rPr>
        <w:t xml:space="preserve"> disclosed a difference of P284.237 million unfavorable to the System.  Details are as follows:</w:t>
      </w:r>
    </w:p>
    <w:p w14:paraId="21075B72" w14:textId="77777777" w:rsidR="000C3538" w:rsidRPr="00345AA4" w:rsidRDefault="000C3538" w:rsidP="000C3538">
      <w:pPr>
        <w:pStyle w:val="ListParagraph"/>
        <w:tabs>
          <w:tab w:val="left" w:pos="0"/>
        </w:tabs>
        <w:ind w:left="0" w:right="29"/>
        <w:jc w:val="both"/>
        <w:rPr>
          <w:rFonts w:ascii="Arial" w:hAnsi="Arial" w:cs="Arial"/>
          <w:color w:val="000000" w:themeColor="text1"/>
          <w:sz w:val="22"/>
          <w:szCs w:val="22"/>
        </w:rPr>
      </w:pPr>
    </w:p>
    <w:tbl>
      <w:tblPr>
        <w:tblStyle w:val="TableGrid"/>
        <w:tblW w:w="774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5"/>
        <w:gridCol w:w="2025"/>
        <w:gridCol w:w="1890"/>
        <w:gridCol w:w="1800"/>
      </w:tblGrid>
      <w:tr w:rsidR="00345AA4" w:rsidRPr="00345AA4" w14:paraId="292A128A" w14:textId="77777777" w:rsidTr="002C39EB">
        <w:trPr>
          <w:trHeight w:val="230"/>
          <w:tblHeader/>
        </w:trPr>
        <w:tc>
          <w:tcPr>
            <w:tcW w:w="4050" w:type="dxa"/>
            <w:gridSpan w:val="2"/>
            <w:tcBorders>
              <w:top w:val="single" w:sz="4" w:space="0" w:color="auto"/>
              <w:bottom w:val="single" w:sz="4" w:space="0" w:color="auto"/>
            </w:tcBorders>
            <w:vAlign w:val="center"/>
          </w:tcPr>
          <w:p w14:paraId="324BE9F3" w14:textId="77777777" w:rsidR="000C3538" w:rsidRPr="00345AA4" w:rsidRDefault="000C3538" w:rsidP="00375E56">
            <w:pPr>
              <w:pStyle w:val="ListParagraph"/>
              <w:tabs>
                <w:tab w:val="left" w:pos="0"/>
              </w:tabs>
              <w:ind w:left="0" w:right="29"/>
              <w:jc w:val="center"/>
              <w:rPr>
                <w:rFonts w:ascii="Arial" w:hAnsi="Arial" w:cs="Arial"/>
                <w:b/>
                <w:color w:val="000000" w:themeColor="text1"/>
                <w:sz w:val="22"/>
                <w:szCs w:val="22"/>
              </w:rPr>
            </w:pPr>
            <w:r w:rsidRPr="00345AA4">
              <w:rPr>
                <w:rFonts w:ascii="Arial" w:hAnsi="Arial" w:cs="Arial"/>
                <w:b/>
                <w:color w:val="000000" w:themeColor="text1"/>
                <w:sz w:val="22"/>
                <w:szCs w:val="22"/>
              </w:rPr>
              <w:t xml:space="preserve">Conveyance of AFPRSBS’ subsidiary realty corporation </w:t>
            </w:r>
          </w:p>
        </w:tc>
        <w:tc>
          <w:tcPr>
            <w:tcW w:w="3690" w:type="dxa"/>
            <w:gridSpan w:val="2"/>
            <w:tcBorders>
              <w:top w:val="single" w:sz="4" w:space="0" w:color="auto"/>
              <w:bottom w:val="single" w:sz="4" w:space="0" w:color="auto"/>
            </w:tcBorders>
            <w:vAlign w:val="center"/>
          </w:tcPr>
          <w:p w14:paraId="255AD856" w14:textId="6D20ACBD" w:rsidR="000C3538" w:rsidRPr="00345AA4" w:rsidRDefault="000C3538" w:rsidP="00C7315A">
            <w:pPr>
              <w:pStyle w:val="ListParagraph"/>
              <w:tabs>
                <w:tab w:val="left" w:pos="0"/>
              </w:tabs>
              <w:ind w:left="0" w:right="29"/>
              <w:jc w:val="center"/>
              <w:rPr>
                <w:rFonts w:ascii="Arial" w:hAnsi="Arial" w:cs="Arial"/>
                <w:b/>
                <w:color w:val="000000" w:themeColor="text1"/>
                <w:sz w:val="22"/>
                <w:szCs w:val="22"/>
              </w:rPr>
            </w:pPr>
            <w:r w:rsidRPr="00345AA4">
              <w:rPr>
                <w:rFonts w:ascii="Arial" w:hAnsi="Arial" w:cs="Arial"/>
                <w:b/>
                <w:color w:val="000000" w:themeColor="text1"/>
                <w:sz w:val="22"/>
                <w:szCs w:val="22"/>
              </w:rPr>
              <w:t xml:space="preserve">Acquisition of </w:t>
            </w:r>
            <w:r w:rsidR="00C7315A" w:rsidRPr="00345AA4">
              <w:rPr>
                <w:rFonts w:ascii="Arial" w:hAnsi="Arial" w:cs="Arial"/>
                <w:b/>
                <w:color w:val="000000" w:themeColor="text1"/>
                <w:sz w:val="22"/>
                <w:szCs w:val="22"/>
              </w:rPr>
              <w:t>MDC</w:t>
            </w:r>
          </w:p>
        </w:tc>
      </w:tr>
      <w:tr w:rsidR="00345AA4" w:rsidRPr="00345AA4" w14:paraId="7D107D72" w14:textId="77777777" w:rsidTr="002C39EB">
        <w:trPr>
          <w:trHeight w:val="473"/>
          <w:tblHeader/>
        </w:trPr>
        <w:tc>
          <w:tcPr>
            <w:tcW w:w="2025" w:type="dxa"/>
            <w:tcBorders>
              <w:top w:val="single" w:sz="4" w:space="0" w:color="auto"/>
              <w:bottom w:val="single" w:sz="4" w:space="0" w:color="auto"/>
            </w:tcBorders>
            <w:vAlign w:val="center"/>
          </w:tcPr>
          <w:p w14:paraId="4E1613EB" w14:textId="77777777" w:rsidR="000C3538" w:rsidRPr="00345AA4" w:rsidRDefault="000C3538" w:rsidP="00375E56">
            <w:pPr>
              <w:pStyle w:val="ListParagraph"/>
              <w:tabs>
                <w:tab w:val="left" w:pos="0"/>
              </w:tabs>
              <w:ind w:left="0" w:right="29"/>
              <w:jc w:val="center"/>
              <w:rPr>
                <w:rFonts w:ascii="Arial" w:hAnsi="Arial" w:cs="Arial"/>
                <w:b/>
                <w:color w:val="000000" w:themeColor="text1"/>
                <w:sz w:val="22"/>
                <w:szCs w:val="22"/>
              </w:rPr>
            </w:pPr>
            <w:r w:rsidRPr="00345AA4">
              <w:rPr>
                <w:rFonts w:ascii="Arial" w:hAnsi="Arial" w:cs="Arial"/>
                <w:b/>
                <w:color w:val="000000" w:themeColor="text1"/>
                <w:sz w:val="22"/>
                <w:szCs w:val="22"/>
              </w:rPr>
              <w:t>Particulars</w:t>
            </w:r>
          </w:p>
        </w:tc>
        <w:tc>
          <w:tcPr>
            <w:tcW w:w="2025" w:type="dxa"/>
            <w:tcBorders>
              <w:top w:val="single" w:sz="4" w:space="0" w:color="auto"/>
              <w:bottom w:val="single" w:sz="4" w:space="0" w:color="auto"/>
            </w:tcBorders>
            <w:vAlign w:val="center"/>
          </w:tcPr>
          <w:p w14:paraId="40070BC4" w14:textId="77777777" w:rsidR="000C3538" w:rsidRPr="00345AA4" w:rsidRDefault="000C3538" w:rsidP="00375E56">
            <w:pPr>
              <w:pStyle w:val="ListParagraph"/>
              <w:tabs>
                <w:tab w:val="left" w:pos="0"/>
              </w:tabs>
              <w:ind w:left="0" w:right="29"/>
              <w:jc w:val="center"/>
              <w:rPr>
                <w:rFonts w:ascii="Arial" w:hAnsi="Arial" w:cs="Arial"/>
                <w:b/>
                <w:color w:val="000000" w:themeColor="text1"/>
                <w:sz w:val="22"/>
                <w:szCs w:val="22"/>
              </w:rPr>
            </w:pPr>
            <w:r w:rsidRPr="00345AA4">
              <w:rPr>
                <w:rFonts w:ascii="Arial" w:hAnsi="Arial" w:cs="Arial"/>
                <w:b/>
                <w:color w:val="000000" w:themeColor="text1"/>
                <w:sz w:val="22"/>
                <w:szCs w:val="22"/>
              </w:rPr>
              <w:t xml:space="preserve">Amount </w:t>
            </w:r>
          </w:p>
          <w:p w14:paraId="695B3F88" w14:textId="77777777" w:rsidR="000C3538" w:rsidRPr="00345AA4" w:rsidRDefault="00BC3A6C" w:rsidP="00375E56">
            <w:pPr>
              <w:pStyle w:val="ListParagraph"/>
              <w:tabs>
                <w:tab w:val="left" w:pos="0"/>
              </w:tabs>
              <w:ind w:left="0" w:right="29"/>
              <w:jc w:val="center"/>
              <w:rPr>
                <w:rFonts w:ascii="Arial" w:hAnsi="Arial" w:cs="Arial"/>
                <w:b/>
                <w:color w:val="000000" w:themeColor="text1"/>
                <w:sz w:val="22"/>
                <w:szCs w:val="22"/>
              </w:rPr>
            </w:pPr>
            <w:r w:rsidRPr="00345AA4">
              <w:rPr>
                <w:rFonts w:ascii="Arial" w:hAnsi="Arial" w:cs="Arial"/>
                <w:b/>
                <w:color w:val="000000" w:themeColor="text1"/>
                <w:sz w:val="22"/>
                <w:szCs w:val="22"/>
              </w:rPr>
              <w:t>c</w:t>
            </w:r>
            <w:r w:rsidR="000C3538" w:rsidRPr="00345AA4">
              <w:rPr>
                <w:rFonts w:ascii="Arial" w:hAnsi="Arial" w:cs="Arial"/>
                <w:b/>
                <w:color w:val="000000" w:themeColor="text1"/>
                <w:sz w:val="22"/>
                <w:szCs w:val="22"/>
              </w:rPr>
              <w:t>eded</w:t>
            </w:r>
          </w:p>
        </w:tc>
        <w:tc>
          <w:tcPr>
            <w:tcW w:w="1890" w:type="dxa"/>
            <w:tcBorders>
              <w:top w:val="single" w:sz="4" w:space="0" w:color="auto"/>
              <w:bottom w:val="single" w:sz="4" w:space="0" w:color="auto"/>
            </w:tcBorders>
            <w:vAlign w:val="center"/>
          </w:tcPr>
          <w:p w14:paraId="6CA142BC" w14:textId="77777777" w:rsidR="000C3538" w:rsidRPr="00345AA4" w:rsidRDefault="000C3538" w:rsidP="00375E56">
            <w:pPr>
              <w:pStyle w:val="ListParagraph"/>
              <w:tabs>
                <w:tab w:val="left" w:pos="0"/>
              </w:tabs>
              <w:ind w:left="0" w:right="29"/>
              <w:jc w:val="center"/>
              <w:rPr>
                <w:rFonts w:ascii="Arial" w:hAnsi="Arial" w:cs="Arial"/>
                <w:b/>
                <w:color w:val="000000" w:themeColor="text1"/>
                <w:sz w:val="22"/>
                <w:szCs w:val="22"/>
              </w:rPr>
            </w:pPr>
            <w:r w:rsidRPr="00345AA4">
              <w:rPr>
                <w:rFonts w:ascii="Arial" w:hAnsi="Arial" w:cs="Arial"/>
                <w:b/>
                <w:color w:val="000000" w:themeColor="text1"/>
                <w:sz w:val="22"/>
                <w:szCs w:val="22"/>
              </w:rPr>
              <w:t xml:space="preserve">Amount </w:t>
            </w:r>
          </w:p>
          <w:p w14:paraId="018A0995" w14:textId="77777777" w:rsidR="000C3538" w:rsidRPr="00345AA4" w:rsidRDefault="000C3538" w:rsidP="00375E56">
            <w:pPr>
              <w:pStyle w:val="ListParagraph"/>
              <w:tabs>
                <w:tab w:val="left" w:pos="0"/>
              </w:tabs>
              <w:ind w:left="0" w:right="29"/>
              <w:jc w:val="center"/>
              <w:rPr>
                <w:rFonts w:ascii="Arial" w:hAnsi="Arial" w:cs="Arial"/>
                <w:b/>
                <w:color w:val="000000" w:themeColor="text1"/>
                <w:sz w:val="22"/>
                <w:szCs w:val="22"/>
              </w:rPr>
            </w:pPr>
            <w:r w:rsidRPr="00345AA4">
              <w:rPr>
                <w:rFonts w:ascii="Arial" w:hAnsi="Arial" w:cs="Arial"/>
                <w:b/>
                <w:color w:val="000000" w:themeColor="text1"/>
                <w:sz w:val="22"/>
                <w:szCs w:val="22"/>
              </w:rPr>
              <w:t>received</w:t>
            </w:r>
          </w:p>
        </w:tc>
        <w:tc>
          <w:tcPr>
            <w:tcW w:w="1800" w:type="dxa"/>
            <w:tcBorders>
              <w:top w:val="single" w:sz="4" w:space="0" w:color="auto"/>
              <w:bottom w:val="single" w:sz="4" w:space="0" w:color="auto"/>
            </w:tcBorders>
            <w:vAlign w:val="center"/>
          </w:tcPr>
          <w:p w14:paraId="279E402B" w14:textId="77777777" w:rsidR="000C3538" w:rsidRPr="00345AA4" w:rsidRDefault="000C3538" w:rsidP="00375E56">
            <w:pPr>
              <w:pStyle w:val="ListParagraph"/>
              <w:tabs>
                <w:tab w:val="left" w:pos="0"/>
              </w:tabs>
              <w:ind w:left="0" w:right="29"/>
              <w:jc w:val="center"/>
              <w:rPr>
                <w:rFonts w:ascii="Arial" w:hAnsi="Arial" w:cs="Arial"/>
                <w:b/>
                <w:color w:val="000000" w:themeColor="text1"/>
                <w:sz w:val="22"/>
                <w:szCs w:val="22"/>
              </w:rPr>
            </w:pPr>
            <w:r w:rsidRPr="00345AA4">
              <w:rPr>
                <w:rFonts w:ascii="Arial" w:hAnsi="Arial" w:cs="Arial"/>
                <w:b/>
                <w:color w:val="000000" w:themeColor="text1"/>
                <w:sz w:val="22"/>
                <w:szCs w:val="22"/>
              </w:rPr>
              <w:t>Particulars</w:t>
            </w:r>
          </w:p>
        </w:tc>
      </w:tr>
      <w:tr w:rsidR="00345AA4" w:rsidRPr="00345AA4" w14:paraId="5642DF14" w14:textId="77777777" w:rsidTr="002C39EB">
        <w:trPr>
          <w:trHeight w:val="55"/>
        </w:trPr>
        <w:tc>
          <w:tcPr>
            <w:tcW w:w="2025" w:type="dxa"/>
            <w:tcBorders>
              <w:top w:val="single" w:sz="4" w:space="0" w:color="auto"/>
            </w:tcBorders>
          </w:tcPr>
          <w:p w14:paraId="7CA98339" w14:textId="77777777" w:rsidR="000C3538" w:rsidRPr="00345AA4" w:rsidRDefault="000C3538" w:rsidP="00151676">
            <w:pPr>
              <w:pStyle w:val="ListParagraph"/>
              <w:tabs>
                <w:tab w:val="left" w:pos="0"/>
              </w:tabs>
              <w:ind w:left="299" w:right="29" w:hanging="284"/>
              <w:rPr>
                <w:rFonts w:ascii="Arial" w:hAnsi="Arial" w:cs="Arial"/>
                <w:color w:val="000000" w:themeColor="text1"/>
                <w:sz w:val="22"/>
                <w:szCs w:val="22"/>
              </w:rPr>
            </w:pPr>
            <w:r w:rsidRPr="00345AA4">
              <w:rPr>
                <w:rFonts w:ascii="Arial" w:hAnsi="Arial" w:cs="Arial"/>
                <w:color w:val="000000" w:themeColor="text1"/>
                <w:sz w:val="22"/>
                <w:szCs w:val="22"/>
              </w:rPr>
              <w:t xml:space="preserve">120 unsold condominium units </w:t>
            </w:r>
          </w:p>
        </w:tc>
        <w:tc>
          <w:tcPr>
            <w:tcW w:w="2025" w:type="dxa"/>
            <w:tcBorders>
              <w:top w:val="single" w:sz="4" w:space="0" w:color="auto"/>
            </w:tcBorders>
          </w:tcPr>
          <w:p w14:paraId="0E1C0D3C" w14:textId="77777777" w:rsidR="000C3538" w:rsidRPr="00345AA4" w:rsidRDefault="000C3538" w:rsidP="000C3538">
            <w:pPr>
              <w:pStyle w:val="ListParagraph"/>
              <w:tabs>
                <w:tab w:val="left" w:pos="0"/>
              </w:tabs>
              <w:ind w:left="0" w:right="29"/>
              <w:jc w:val="right"/>
              <w:rPr>
                <w:rFonts w:ascii="Arial" w:hAnsi="Arial" w:cs="Arial"/>
                <w:color w:val="000000" w:themeColor="text1"/>
                <w:sz w:val="22"/>
                <w:szCs w:val="22"/>
              </w:rPr>
            </w:pPr>
            <w:r w:rsidRPr="00345AA4">
              <w:rPr>
                <w:rFonts w:ascii="Arial" w:hAnsi="Arial" w:cs="Arial"/>
                <w:color w:val="000000" w:themeColor="text1"/>
                <w:sz w:val="22"/>
                <w:szCs w:val="22"/>
              </w:rPr>
              <w:t>P   609,983,654</w:t>
            </w:r>
          </w:p>
        </w:tc>
        <w:tc>
          <w:tcPr>
            <w:tcW w:w="1890" w:type="dxa"/>
            <w:tcBorders>
              <w:top w:val="single" w:sz="4" w:space="0" w:color="auto"/>
            </w:tcBorders>
          </w:tcPr>
          <w:p w14:paraId="65345D15" w14:textId="77777777" w:rsidR="000C3538" w:rsidRPr="00345AA4" w:rsidRDefault="000C3538" w:rsidP="000C3538">
            <w:pPr>
              <w:pStyle w:val="ListParagraph"/>
              <w:tabs>
                <w:tab w:val="left" w:pos="0"/>
              </w:tabs>
              <w:ind w:left="0" w:right="29"/>
              <w:jc w:val="right"/>
              <w:rPr>
                <w:rFonts w:ascii="Arial" w:hAnsi="Arial" w:cs="Arial"/>
                <w:color w:val="000000" w:themeColor="text1"/>
                <w:sz w:val="22"/>
                <w:szCs w:val="22"/>
              </w:rPr>
            </w:pPr>
            <w:r w:rsidRPr="00345AA4">
              <w:rPr>
                <w:rFonts w:ascii="Arial" w:hAnsi="Arial" w:cs="Arial"/>
                <w:color w:val="000000" w:themeColor="text1"/>
                <w:sz w:val="22"/>
                <w:szCs w:val="22"/>
              </w:rPr>
              <w:t xml:space="preserve">P1,194,723,620  </w:t>
            </w:r>
          </w:p>
        </w:tc>
        <w:tc>
          <w:tcPr>
            <w:tcW w:w="1800" w:type="dxa"/>
            <w:tcBorders>
              <w:top w:val="single" w:sz="4" w:space="0" w:color="auto"/>
            </w:tcBorders>
          </w:tcPr>
          <w:p w14:paraId="24E3E7DD" w14:textId="77777777" w:rsidR="000C3538" w:rsidRPr="00345AA4" w:rsidRDefault="000C3538" w:rsidP="003B5B2D">
            <w:pPr>
              <w:pStyle w:val="ListParagraph"/>
              <w:tabs>
                <w:tab w:val="left" w:pos="0"/>
              </w:tabs>
              <w:ind w:left="0" w:right="29"/>
              <w:jc w:val="right"/>
              <w:rPr>
                <w:rFonts w:ascii="Arial" w:hAnsi="Arial" w:cs="Arial"/>
                <w:color w:val="000000" w:themeColor="text1"/>
                <w:sz w:val="22"/>
                <w:szCs w:val="22"/>
              </w:rPr>
            </w:pPr>
            <w:r w:rsidRPr="00345AA4">
              <w:rPr>
                <w:rFonts w:ascii="Arial" w:hAnsi="Arial" w:cs="Arial"/>
                <w:color w:val="000000" w:themeColor="text1"/>
                <w:sz w:val="22"/>
                <w:szCs w:val="22"/>
              </w:rPr>
              <w:t>Subject property</w:t>
            </w:r>
          </w:p>
        </w:tc>
      </w:tr>
      <w:tr w:rsidR="002E6D48" w:rsidRPr="00345AA4" w14:paraId="23D141F2" w14:textId="77777777" w:rsidTr="002C39EB">
        <w:trPr>
          <w:trHeight w:val="55"/>
        </w:trPr>
        <w:tc>
          <w:tcPr>
            <w:tcW w:w="2025" w:type="dxa"/>
            <w:tcBorders>
              <w:top w:val="single" w:sz="4" w:space="0" w:color="auto"/>
            </w:tcBorders>
          </w:tcPr>
          <w:p w14:paraId="756D2413" w14:textId="166CFBD1" w:rsidR="002E6D48" w:rsidRPr="00345AA4" w:rsidRDefault="002E6D48" w:rsidP="00151676">
            <w:pPr>
              <w:pStyle w:val="ListParagraph"/>
              <w:tabs>
                <w:tab w:val="left" w:pos="0"/>
              </w:tabs>
              <w:ind w:left="299" w:right="29" w:hanging="284"/>
              <w:rPr>
                <w:rFonts w:ascii="Arial" w:hAnsi="Arial" w:cs="Arial"/>
                <w:color w:val="000000" w:themeColor="text1"/>
                <w:sz w:val="22"/>
                <w:szCs w:val="22"/>
              </w:rPr>
            </w:pPr>
            <w:r>
              <w:rPr>
                <w:rFonts w:ascii="Arial" w:hAnsi="Arial" w:cs="Arial"/>
                <w:color w:val="000000" w:themeColor="text1"/>
                <w:sz w:val="22"/>
                <w:szCs w:val="22"/>
              </w:rPr>
              <w:t>(Forward)</w:t>
            </w:r>
          </w:p>
        </w:tc>
        <w:tc>
          <w:tcPr>
            <w:tcW w:w="2025" w:type="dxa"/>
            <w:tcBorders>
              <w:top w:val="single" w:sz="4" w:space="0" w:color="auto"/>
            </w:tcBorders>
          </w:tcPr>
          <w:p w14:paraId="770DE4A2" w14:textId="77777777" w:rsidR="002E6D48" w:rsidRPr="00345AA4" w:rsidRDefault="002E6D48" w:rsidP="000C3538">
            <w:pPr>
              <w:pStyle w:val="ListParagraph"/>
              <w:tabs>
                <w:tab w:val="left" w:pos="0"/>
              </w:tabs>
              <w:ind w:left="0" w:right="29"/>
              <w:jc w:val="right"/>
              <w:rPr>
                <w:rFonts w:ascii="Arial" w:hAnsi="Arial" w:cs="Arial"/>
                <w:color w:val="000000" w:themeColor="text1"/>
                <w:sz w:val="22"/>
                <w:szCs w:val="22"/>
              </w:rPr>
            </w:pPr>
          </w:p>
        </w:tc>
        <w:tc>
          <w:tcPr>
            <w:tcW w:w="1890" w:type="dxa"/>
            <w:tcBorders>
              <w:top w:val="single" w:sz="4" w:space="0" w:color="auto"/>
            </w:tcBorders>
          </w:tcPr>
          <w:p w14:paraId="6B09253E" w14:textId="77777777" w:rsidR="002E6D48" w:rsidRPr="00345AA4" w:rsidRDefault="002E6D48" w:rsidP="000C3538">
            <w:pPr>
              <w:pStyle w:val="ListParagraph"/>
              <w:tabs>
                <w:tab w:val="left" w:pos="0"/>
              </w:tabs>
              <w:ind w:left="0" w:right="29"/>
              <w:jc w:val="right"/>
              <w:rPr>
                <w:rFonts w:ascii="Arial" w:hAnsi="Arial" w:cs="Arial"/>
                <w:color w:val="000000" w:themeColor="text1"/>
                <w:sz w:val="22"/>
                <w:szCs w:val="22"/>
              </w:rPr>
            </w:pPr>
          </w:p>
        </w:tc>
        <w:tc>
          <w:tcPr>
            <w:tcW w:w="1800" w:type="dxa"/>
            <w:tcBorders>
              <w:top w:val="single" w:sz="4" w:space="0" w:color="auto"/>
            </w:tcBorders>
          </w:tcPr>
          <w:p w14:paraId="58E6A83E" w14:textId="77777777" w:rsidR="002E6D48" w:rsidRPr="00345AA4" w:rsidRDefault="002E6D48" w:rsidP="003B5B2D">
            <w:pPr>
              <w:pStyle w:val="ListParagraph"/>
              <w:tabs>
                <w:tab w:val="left" w:pos="0"/>
              </w:tabs>
              <w:ind w:left="0" w:right="29"/>
              <w:jc w:val="right"/>
              <w:rPr>
                <w:rFonts w:ascii="Arial" w:hAnsi="Arial" w:cs="Arial"/>
                <w:color w:val="000000" w:themeColor="text1"/>
                <w:sz w:val="22"/>
                <w:szCs w:val="22"/>
              </w:rPr>
            </w:pPr>
          </w:p>
        </w:tc>
      </w:tr>
      <w:tr w:rsidR="00345AA4" w:rsidRPr="00345AA4" w14:paraId="12419CAF" w14:textId="77777777" w:rsidTr="005B543A">
        <w:trPr>
          <w:trHeight w:val="259"/>
        </w:trPr>
        <w:tc>
          <w:tcPr>
            <w:tcW w:w="2025" w:type="dxa"/>
            <w:tcBorders>
              <w:bottom w:val="single" w:sz="4" w:space="0" w:color="auto"/>
            </w:tcBorders>
          </w:tcPr>
          <w:p w14:paraId="5E74DB47" w14:textId="77777777" w:rsidR="000C3538" w:rsidRPr="00345AA4" w:rsidRDefault="000C3538" w:rsidP="002E6D48">
            <w:pPr>
              <w:pStyle w:val="ListParagraph"/>
              <w:tabs>
                <w:tab w:val="left" w:pos="0"/>
              </w:tabs>
              <w:ind w:left="299" w:right="29" w:hanging="284"/>
              <w:rPr>
                <w:rFonts w:ascii="Arial" w:hAnsi="Arial" w:cs="Arial"/>
                <w:color w:val="000000" w:themeColor="text1"/>
                <w:sz w:val="22"/>
                <w:szCs w:val="22"/>
              </w:rPr>
            </w:pPr>
            <w:proofErr w:type="spellStart"/>
            <w:r w:rsidRPr="00345AA4">
              <w:rPr>
                <w:rFonts w:ascii="Arial" w:hAnsi="Arial" w:cs="Arial"/>
                <w:color w:val="000000" w:themeColor="text1"/>
                <w:sz w:val="22"/>
                <w:szCs w:val="22"/>
              </w:rPr>
              <w:lastRenderedPageBreak/>
              <w:t>Condonation</w:t>
            </w:r>
            <w:proofErr w:type="spellEnd"/>
            <w:r w:rsidRPr="00345AA4">
              <w:rPr>
                <w:rFonts w:ascii="Arial" w:hAnsi="Arial" w:cs="Arial"/>
                <w:color w:val="000000" w:themeColor="text1"/>
                <w:sz w:val="22"/>
                <w:szCs w:val="22"/>
              </w:rPr>
              <w:t xml:space="preserve"> and settlement of receivable</w:t>
            </w:r>
          </w:p>
        </w:tc>
        <w:tc>
          <w:tcPr>
            <w:tcW w:w="2025" w:type="dxa"/>
            <w:tcBorders>
              <w:bottom w:val="single" w:sz="4" w:space="0" w:color="auto"/>
            </w:tcBorders>
          </w:tcPr>
          <w:p w14:paraId="440D2AE7" w14:textId="77777777" w:rsidR="000C3538" w:rsidRPr="00345AA4" w:rsidRDefault="000C3538" w:rsidP="002E6D48">
            <w:pPr>
              <w:pStyle w:val="ListParagraph"/>
              <w:tabs>
                <w:tab w:val="left" w:pos="0"/>
              </w:tabs>
              <w:ind w:left="0" w:right="29"/>
              <w:jc w:val="right"/>
              <w:rPr>
                <w:rFonts w:ascii="Arial" w:hAnsi="Arial" w:cs="Arial"/>
                <w:color w:val="000000" w:themeColor="text1"/>
                <w:sz w:val="22"/>
                <w:szCs w:val="22"/>
              </w:rPr>
            </w:pPr>
            <w:r w:rsidRPr="00345AA4">
              <w:rPr>
                <w:rFonts w:ascii="Arial" w:hAnsi="Arial" w:cs="Arial"/>
                <w:color w:val="000000" w:themeColor="text1"/>
                <w:sz w:val="22"/>
                <w:szCs w:val="22"/>
              </w:rPr>
              <w:t>868,976,847</w:t>
            </w:r>
          </w:p>
        </w:tc>
        <w:tc>
          <w:tcPr>
            <w:tcW w:w="1890" w:type="dxa"/>
            <w:tcBorders>
              <w:bottom w:val="single" w:sz="4" w:space="0" w:color="auto"/>
            </w:tcBorders>
          </w:tcPr>
          <w:p w14:paraId="4833C047" w14:textId="77777777" w:rsidR="000C3538" w:rsidRPr="00345AA4" w:rsidRDefault="000C3538" w:rsidP="000C3538">
            <w:pPr>
              <w:pStyle w:val="ListParagraph"/>
              <w:tabs>
                <w:tab w:val="left" w:pos="0"/>
              </w:tabs>
              <w:ind w:left="0" w:right="29"/>
              <w:jc w:val="right"/>
              <w:rPr>
                <w:rFonts w:ascii="Arial" w:hAnsi="Arial" w:cs="Arial"/>
                <w:color w:val="000000" w:themeColor="text1"/>
                <w:sz w:val="22"/>
                <w:szCs w:val="22"/>
              </w:rPr>
            </w:pPr>
          </w:p>
        </w:tc>
        <w:tc>
          <w:tcPr>
            <w:tcW w:w="1800" w:type="dxa"/>
            <w:tcBorders>
              <w:bottom w:val="single" w:sz="4" w:space="0" w:color="auto"/>
            </w:tcBorders>
          </w:tcPr>
          <w:p w14:paraId="04642DE7" w14:textId="77777777" w:rsidR="000C3538" w:rsidRPr="00345AA4" w:rsidRDefault="000C3538" w:rsidP="000C3538">
            <w:pPr>
              <w:pStyle w:val="ListParagraph"/>
              <w:tabs>
                <w:tab w:val="left" w:pos="0"/>
              </w:tabs>
              <w:ind w:left="0" w:right="29"/>
              <w:jc w:val="right"/>
              <w:rPr>
                <w:rFonts w:ascii="Arial" w:hAnsi="Arial" w:cs="Arial"/>
                <w:color w:val="000000" w:themeColor="text1"/>
                <w:sz w:val="22"/>
                <w:szCs w:val="22"/>
              </w:rPr>
            </w:pPr>
          </w:p>
        </w:tc>
      </w:tr>
      <w:tr w:rsidR="00345AA4" w:rsidRPr="00345AA4" w14:paraId="0E64C049" w14:textId="77777777" w:rsidTr="005B543A">
        <w:trPr>
          <w:trHeight w:val="242"/>
        </w:trPr>
        <w:tc>
          <w:tcPr>
            <w:tcW w:w="2025" w:type="dxa"/>
            <w:tcBorders>
              <w:top w:val="single" w:sz="4" w:space="0" w:color="auto"/>
              <w:bottom w:val="double" w:sz="4" w:space="0" w:color="auto"/>
            </w:tcBorders>
          </w:tcPr>
          <w:p w14:paraId="7A24AE07" w14:textId="77777777" w:rsidR="000C3538" w:rsidRPr="00345AA4" w:rsidRDefault="000C3538" w:rsidP="00375E56">
            <w:pPr>
              <w:pStyle w:val="ListParagraph"/>
              <w:tabs>
                <w:tab w:val="left" w:pos="0"/>
              </w:tabs>
              <w:ind w:left="0" w:right="29"/>
              <w:jc w:val="both"/>
              <w:rPr>
                <w:rFonts w:ascii="Arial" w:hAnsi="Arial" w:cs="Arial"/>
                <w:b/>
                <w:color w:val="000000" w:themeColor="text1"/>
                <w:sz w:val="22"/>
                <w:szCs w:val="22"/>
              </w:rPr>
            </w:pPr>
            <w:r w:rsidRPr="00345AA4">
              <w:rPr>
                <w:rFonts w:ascii="Arial" w:hAnsi="Arial" w:cs="Arial"/>
                <w:b/>
                <w:color w:val="000000" w:themeColor="text1"/>
                <w:sz w:val="22"/>
                <w:szCs w:val="22"/>
              </w:rPr>
              <w:t>Total</w:t>
            </w:r>
          </w:p>
        </w:tc>
        <w:tc>
          <w:tcPr>
            <w:tcW w:w="2025" w:type="dxa"/>
            <w:tcBorders>
              <w:top w:val="single" w:sz="4" w:space="0" w:color="auto"/>
              <w:bottom w:val="double" w:sz="4" w:space="0" w:color="auto"/>
            </w:tcBorders>
          </w:tcPr>
          <w:p w14:paraId="6C35352E" w14:textId="77777777" w:rsidR="000C3538" w:rsidRPr="00345AA4" w:rsidRDefault="000C3538" w:rsidP="000C3538">
            <w:pPr>
              <w:pStyle w:val="ListParagraph"/>
              <w:tabs>
                <w:tab w:val="left" w:pos="0"/>
              </w:tabs>
              <w:ind w:left="0" w:right="29"/>
              <w:jc w:val="right"/>
              <w:rPr>
                <w:rFonts w:ascii="Arial" w:hAnsi="Arial" w:cs="Arial"/>
                <w:b/>
                <w:color w:val="000000" w:themeColor="text1"/>
                <w:sz w:val="22"/>
                <w:szCs w:val="22"/>
              </w:rPr>
            </w:pPr>
            <w:r w:rsidRPr="00345AA4">
              <w:rPr>
                <w:rFonts w:ascii="Arial" w:hAnsi="Arial" w:cs="Arial"/>
                <w:b/>
                <w:color w:val="000000" w:themeColor="text1"/>
                <w:sz w:val="22"/>
                <w:szCs w:val="22"/>
              </w:rPr>
              <w:t>P1,478,960,501</w:t>
            </w:r>
          </w:p>
        </w:tc>
        <w:tc>
          <w:tcPr>
            <w:tcW w:w="1890" w:type="dxa"/>
            <w:tcBorders>
              <w:top w:val="single" w:sz="4" w:space="0" w:color="auto"/>
              <w:bottom w:val="double" w:sz="4" w:space="0" w:color="auto"/>
            </w:tcBorders>
          </w:tcPr>
          <w:p w14:paraId="5046229E" w14:textId="77777777" w:rsidR="000C3538" w:rsidRPr="00345AA4" w:rsidRDefault="000C3538" w:rsidP="000C3538">
            <w:pPr>
              <w:pStyle w:val="ListParagraph"/>
              <w:tabs>
                <w:tab w:val="left" w:pos="0"/>
              </w:tabs>
              <w:ind w:left="0" w:right="29"/>
              <w:jc w:val="right"/>
              <w:rPr>
                <w:rFonts w:ascii="Arial" w:hAnsi="Arial" w:cs="Arial"/>
                <w:b/>
                <w:color w:val="000000" w:themeColor="text1"/>
                <w:sz w:val="22"/>
                <w:szCs w:val="22"/>
              </w:rPr>
            </w:pPr>
            <w:r w:rsidRPr="00345AA4">
              <w:rPr>
                <w:rFonts w:ascii="Arial" w:hAnsi="Arial" w:cs="Arial"/>
                <w:b/>
                <w:color w:val="000000" w:themeColor="text1"/>
                <w:sz w:val="22"/>
                <w:szCs w:val="22"/>
              </w:rPr>
              <w:t>P1,194,723,620</w:t>
            </w:r>
          </w:p>
        </w:tc>
        <w:tc>
          <w:tcPr>
            <w:tcW w:w="1800" w:type="dxa"/>
            <w:tcBorders>
              <w:top w:val="single" w:sz="4" w:space="0" w:color="auto"/>
              <w:bottom w:val="double" w:sz="4" w:space="0" w:color="auto"/>
            </w:tcBorders>
          </w:tcPr>
          <w:p w14:paraId="2DAAD972" w14:textId="77777777" w:rsidR="000C3538" w:rsidRPr="00345AA4" w:rsidRDefault="002C39EB" w:rsidP="002C39EB">
            <w:pPr>
              <w:pStyle w:val="ListParagraph"/>
              <w:tabs>
                <w:tab w:val="left" w:pos="0"/>
              </w:tabs>
              <w:ind w:left="0" w:right="29"/>
              <w:jc w:val="right"/>
              <w:rPr>
                <w:rFonts w:ascii="Arial" w:hAnsi="Arial" w:cs="Arial"/>
                <w:color w:val="000000" w:themeColor="text1"/>
                <w:sz w:val="22"/>
                <w:szCs w:val="22"/>
              </w:rPr>
            </w:pPr>
            <w:r w:rsidRPr="00345AA4">
              <w:rPr>
                <w:rFonts w:ascii="Arial" w:hAnsi="Arial" w:cs="Arial"/>
                <w:b/>
                <w:color w:val="000000" w:themeColor="text1"/>
                <w:sz w:val="22"/>
                <w:szCs w:val="22"/>
              </w:rPr>
              <w:t>P</w:t>
            </w:r>
            <w:r w:rsidR="000C3538" w:rsidRPr="00345AA4">
              <w:rPr>
                <w:rFonts w:ascii="Arial" w:hAnsi="Arial" w:cs="Arial"/>
                <w:b/>
                <w:color w:val="000000" w:themeColor="text1"/>
                <w:sz w:val="22"/>
                <w:szCs w:val="22"/>
              </w:rPr>
              <w:t xml:space="preserve"> 284,236,881</w:t>
            </w:r>
          </w:p>
        </w:tc>
      </w:tr>
    </w:tbl>
    <w:p w14:paraId="4A316A24" w14:textId="77777777" w:rsidR="000C3538" w:rsidRPr="00345AA4" w:rsidRDefault="000C3538" w:rsidP="000C3538">
      <w:pPr>
        <w:pStyle w:val="ListParagraph"/>
        <w:tabs>
          <w:tab w:val="left" w:pos="0"/>
          <w:tab w:val="left" w:pos="2265"/>
        </w:tabs>
        <w:ind w:left="0" w:right="29"/>
        <w:jc w:val="both"/>
        <w:rPr>
          <w:rFonts w:ascii="Arial" w:hAnsi="Arial" w:cs="Arial"/>
          <w:color w:val="000000" w:themeColor="text1"/>
          <w:sz w:val="22"/>
          <w:szCs w:val="22"/>
        </w:rPr>
      </w:pPr>
      <w:r w:rsidRPr="00345AA4">
        <w:rPr>
          <w:rFonts w:ascii="Arial" w:hAnsi="Arial" w:cs="Arial"/>
          <w:color w:val="000000" w:themeColor="text1"/>
          <w:sz w:val="22"/>
          <w:szCs w:val="22"/>
        </w:rPr>
        <w:tab/>
      </w:r>
    </w:p>
    <w:p w14:paraId="64C1B4B4" w14:textId="56088E40" w:rsidR="000C3538" w:rsidRPr="00345AA4" w:rsidRDefault="000C3538" w:rsidP="001728EA">
      <w:pPr>
        <w:pStyle w:val="ListParagraph"/>
        <w:numPr>
          <w:ilvl w:val="1"/>
          <w:numId w:val="1"/>
        </w:numPr>
        <w:tabs>
          <w:tab w:val="left" w:pos="990"/>
        </w:tabs>
        <w:ind w:left="900" w:hanging="540"/>
        <w:contextualSpacing/>
        <w:jc w:val="both"/>
        <w:rPr>
          <w:rFonts w:ascii="Arial" w:hAnsi="Arial" w:cs="Arial"/>
          <w:bCs/>
          <w:color w:val="000000" w:themeColor="text1"/>
          <w:sz w:val="22"/>
          <w:szCs w:val="22"/>
        </w:rPr>
      </w:pPr>
      <w:r w:rsidRPr="00345AA4">
        <w:rPr>
          <w:rFonts w:ascii="Arial" w:hAnsi="Arial" w:cs="Arial"/>
          <w:bCs/>
          <w:color w:val="000000" w:themeColor="text1"/>
          <w:sz w:val="22"/>
          <w:szCs w:val="22"/>
        </w:rPr>
        <w:t xml:space="preserve">The P1.195 billion cost of the subject property represents the 1.5 million authorized shares of </w:t>
      </w:r>
      <w:r w:rsidR="00C7315A" w:rsidRPr="00345AA4">
        <w:rPr>
          <w:rFonts w:ascii="Arial" w:hAnsi="Arial" w:cs="Arial"/>
          <w:bCs/>
          <w:color w:val="000000" w:themeColor="text1"/>
          <w:sz w:val="22"/>
          <w:szCs w:val="22"/>
        </w:rPr>
        <w:t>MDC</w:t>
      </w:r>
      <w:r w:rsidRPr="00345AA4">
        <w:rPr>
          <w:rFonts w:ascii="Arial" w:hAnsi="Arial" w:cs="Arial"/>
          <w:bCs/>
          <w:color w:val="000000" w:themeColor="text1"/>
          <w:sz w:val="22"/>
          <w:szCs w:val="22"/>
        </w:rPr>
        <w:t xml:space="preserve"> since it is </w:t>
      </w:r>
      <w:r w:rsidR="008A7B98" w:rsidRPr="00345AA4">
        <w:rPr>
          <w:rFonts w:ascii="Arial" w:hAnsi="Arial" w:cs="Arial"/>
          <w:bCs/>
          <w:color w:val="000000" w:themeColor="text1"/>
          <w:sz w:val="22"/>
          <w:szCs w:val="22"/>
        </w:rPr>
        <w:t xml:space="preserve">its </w:t>
      </w:r>
      <w:r w:rsidRPr="00345AA4">
        <w:rPr>
          <w:rFonts w:ascii="Arial" w:hAnsi="Arial" w:cs="Arial"/>
          <w:bCs/>
          <w:color w:val="000000" w:themeColor="text1"/>
          <w:sz w:val="22"/>
          <w:szCs w:val="22"/>
        </w:rPr>
        <w:t>sole asset.  The real estate appraiser used the Market Approach in the valuation of the 120 condominium units of</w:t>
      </w:r>
      <w:r w:rsidRPr="00345AA4">
        <w:rPr>
          <w:rFonts w:ascii="Arial" w:hAnsi="Arial" w:cs="Arial"/>
          <w:color w:val="000000" w:themeColor="text1"/>
          <w:sz w:val="22"/>
          <w:szCs w:val="22"/>
        </w:rPr>
        <w:t xml:space="preserve"> </w:t>
      </w:r>
      <w:r w:rsidRPr="00345AA4">
        <w:rPr>
          <w:rFonts w:ascii="Arial" w:hAnsi="Arial" w:cs="Arial"/>
          <w:bCs/>
          <w:color w:val="000000" w:themeColor="text1"/>
          <w:sz w:val="22"/>
          <w:szCs w:val="22"/>
        </w:rPr>
        <w:t>AFPRSBS’ subsidiary realty corporation based on the 106 documented actual sales of its units.  Based on the actual average price of the condominium units sold at P5.083 million per unit, the indicative value of the 120 units amounted to P609.984 million as at September 7, 1999.  On the other hand, the appraised value of the subject property did not consider the presence of squatters in the property.  Hence, the final amount of difference due to the System is not limited to P284.237 million then.</w:t>
      </w:r>
    </w:p>
    <w:p w14:paraId="763E3E1F" w14:textId="77777777" w:rsidR="000C3538" w:rsidRPr="00345AA4" w:rsidRDefault="000C3538" w:rsidP="000C3538">
      <w:pPr>
        <w:pStyle w:val="ListParagraph"/>
        <w:tabs>
          <w:tab w:val="left" w:pos="990"/>
        </w:tabs>
        <w:ind w:left="900"/>
        <w:contextualSpacing/>
        <w:jc w:val="both"/>
        <w:rPr>
          <w:rFonts w:ascii="Arial" w:hAnsi="Arial" w:cs="Arial"/>
          <w:bCs/>
          <w:color w:val="000000" w:themeColor="text1"/>
          <w:sz w:val="22"/>
          <w:szCs w:val="22"/>
        </w:rPr>
      </w:pPr>
    </w:p>
    <w:p w14:paraId="4CE21835" w14:textId="0B66E9CB" w:rsidR="000C3538" w:rsidRPr="00345AA4" w:rsidRDefault="000C3538" w:rsidP="000C3538">
      <w:pPr>
        <w:pStyle w:val="ListParagraph"/>
        <w:numPr>
          <w:ilvl w:val="1"/>
          <w:numId w:val="1"/>
        </w:numPr>
        <w:tabs>
          <w:tab w:val="left" w:pos="990"/>
        </w:tabs>
        <w:ind w:left="900" w:hanging="540"/>
        <w:contextualSpacing/>
        <w:jc w:val="both"/>
        <w:rPr>
          <w:rFonts w:ascii="Arial" w:hAnsi="Arial" w:cs="Arial"/>
          <w:bCs/>
          <w:color w:val="000000" w:themeColor="text1"/>
          <w:sz w:val="22"/>
          <w:szCs w:val="22"/>
        </w:rPr>
      </w:pPr>
      <w:r w:rsidRPr="00345AA4">
        <w:rPr>
          <w:rFonts w:ascii="Arial" w:hAnsi="Arial" w:cs="Arial"/>
          <w:bCs/>
          <w:color w:val="000000" w:themeColor="text1"/>
          <w:sz w:val="22"/>
          <w:szCs w:val="22"/>
        </w:rPr>
        <w:t>From the foregoing, subject property was initially acquired by the brokerage corporation from its prior owner through an alleged deed of sale.  The brokerage corporation, on the other hand, entered into a MOA with</w:t>
      </w:r>
      <w:r w:rsidRPr="00345AA4">
        <w:rPr>
          <w:rFonts w:ascii="Arial" w:hAnsi="Arial" w:cs="Arial"/>
          <w:color w:val="000000" w:themeColor="text1"/>
          <w:sz w:val="22"/>
          <w:szCs w:val="22"/>
        </w:rPr>
        <w:t xml:space="preserve"> </w:t>
      </w:r>
      <w:r w:rsidRPr="00345AA4">
        <w:rPr>
          <w:rFonts w:ascii="Arial" w:hAnsi="Arial" w:cs="Arial"/>
          <w:bCs/>
          <w:color w:val="000000" w:themeColor="text1"/>
          <w:sz w:val="22"/>
          <w:szCs w:val="22"/>
        </w:rPr>
        <w:t xml:space="preserve">AFPRSBS’ subsidiary realty corporation for the acquisition of the latter’s corporate shares including its 120 condominium units in exchange of the corporate shares of </w:t>
      </w:r>
      <w:r w:rsidR="003A5021" w:rsidRPr="00345AA4">
        <w:rPr>
          <w:rFonts w:ascii="Arial" w:hAnsi="Arial" w:cs="Arial"/>
          <w:bCs/>
          <w:color w:val="000000" w:themeColor="text1"/>
          <w:sz w:val="22"/>
          <w:szCs w:val="22"/>
        </w:rPr>
        <w:t>MDC</w:t>
      </w:r>
      <w:r w:rsidRPr="00345AA4">
        <w:rPr>
          <w:rFonts w:ascii="Arial" w:hAnsi="Arial" w:cs="Arial"/>
          <w:bCs/>
          <w:color w:val="000000" w:themeColor="text1"/>
          <w:sz w:val="22"/>
          <w:szCs w:val="22"/>
        </w:rPr>
        <w:t xml:space="preserve"> who shall own the subject property.  During the execution of the contract between the brokerage corporation and AFPRSBS’ subsidiary realty corporation, the former transferred the ownership of the subject property to </w:t>
      </w:r>
      <w:r w:rsidR="003A5021" w:rsidRPr="00345AA4">
        <w:rPr>
          <w:rFonts w:ascii="Arial" w:hAnsi="Arial" w:cs="Arial"/>
          <w:bCs/>
          <w:color w:val="000000" w:themeColor="text1"/>
          <w:sz w:val="22"/>
          <w:szCs w:val="22"/>
        </w:rPr>
        <w:t>MDC</w:t>
      </w:r>
      <w:r w:rsidRPr="00345AA4">
        <w:rPr>
          <w:rFonts w:ascii="Arial" w:hAnsi="Arial" w:cs="Arial"/>
          <w:bCs/>
          <w:color w:val="000000" w:themeColor="text1"/>
          <w:sz w:val="22"/>
          <w:szCs w:val="22"/>
        </w:rPr>
        <w:t xml:space="preserve"> in accordance with the subject MOA.  Thus, the ownership of the subject property was transferred to AFPRSBS when the System acquired </w:t>
      </w:r>
      <w:r w:rsidR="00C7315A" w:rsidRPr="00345AA4">
        <w:rPr>
          <w:rFonts w:ascii="Arial" w:hAnsi="Arial" w:cs="Arial"/>
          <w:bCs/>
          <w:color w:val="000000" w:themeColor="text1"/>
          <w:sz w:val="22"/>
          <w:szCs w:val="22"/>
        </w:rPr>
        <w:t>MDC</w:t>
      </w:r>
      <w:r w:rsidRPr="00345AA4">
        <w:rPr>
          <w:rFonts w:ascii="Arial" w:hAnsi="Arial" w:cs="Arial"/>
          <w:bCs/>
          <w:color w:val="000000" w:themeColor="text1"/>
          <w:sz w:val="22"/>
          <w:szCs w:val="22"/>
        </w:rPr>
        <w:t xml:space="preserve"> from the brokerage corporation.</w:t>
      </w:r>
    </w:p>
    <w:p w14:paraId="18C7874B" w14:textId="77777777" w:rsidR="000C3538" w:rsidRPr="00345AA4" w:rsidRDefault="000C3538" w:rsidP="000C3538">
      <w:pPr>
        <w:pStyle w:val="ListParagraph"/>
        <w:tabs>
          <w:tab w:val="left" w:pos="990"/>
        </w:tabs>
        <w:ind w:left="900"/>
        <w:contextualSpacing/>
        <w:jc w:val="both"/>
        <w:rPr>
          <w:rFonts w:ascii="Arial" w:hAnsi="Arial" w:cs="Arial"/>
          <w:b/>
          <w:color w:val="000000" w:themeColor="text1"/>
          <w:sz w:val="22"/>
          <w:szCs w:val="22"/>
        </w:rPr>
      </w:pPr>
    </w:p>
    <w:p w14:paraId="399DFA26" w14:textId="41D6FFA0" w:rsidR="000C3538" w:rsidRPr="00345AA4" w:rsidRDefault="000C3538" w:rsidP="000C3538">
      <w:pPr>
        <w:pStyle w:val="ListParagraph"/>
        <w:numPr>
          <w:ilvl w:val="1"/>
          <w:numId w:val="1"/>
        </w:numPr>
        <w:tabs>
          <w:tab w:val="left" w:pos="990"/>
        </w:tabs>
        <w:ind w:left="900" w:hanging="540"/>
        <w:contextualSpacing/>
        <w:jc w:val="both"/>
        <w:rPr>
          <w:rFonts w:ascii="Arial" w:hAnsi="Arial" w:cs="Arial"/>
          <w:bCs/>
          <w:color w:val="000000" w:themeColor="text1"/>
          <w:sz w:val="22"/>
          <w:szCs w:val="22"/>
        </w:rPr>
      </w:pPr>
      <w:r w:rsidRPr="00345AA4">
        <w:rPr>
          <w:rFonts w:ascii="Arial" w:hAnsi="Arial" w:cs="Arial"/>
          <w:bCs/>
          <w:color w:val="000000" w:themeColor="text1"/>
          <w:sz w:val="22"/>
          <w:szCs w:val="22"/>
        </w:rPr>
        <w:t xml:space="preserve">Upon further examination of documents, the Audit Team established that the title of the subject property was transferred to </w:t>
      </w:r>
      <w:r w:rsidR="00C7315A" w:rsidRPr="00345AA4">
        <w:rPr>
          <w:rFonts w:ascii="Arial" w:hAnsi="Arial" w:cs="Arial"/>
          <w:bCs/>
          <w:color w:val="000000" w:themeColor="text1"/>
          <w:sz w:val="22"/>
          <w:szCs w:val="22"/>
        </w:rPr>
        <w:t>MDC</w:t>
      </w:r>
      <w:r w:rsidRPr="00345AA4">
        <w:rPr>
          <w:rFonts w:ascii="Arial" w:hAnsi="Arial" w:cs="Arial"/>
          <w:bCs/>
          <w:color w:val="000000" w:themeColor="text1"/>
          <w:sz w:val="22"/>
          <w:szCs w:val="22"/>
        </w:rPr>
        <w:t xml:space="preserve"> on August 23, 1999, evidenced by TCT No. T-82447.  While the new corporation’s 1,500,000 shares of stocks were acquired by the AFPRSBS on September 7, 1999, evidenced by</w:t>
      </w:r>
      <w:r w:rsidR="00BA7A47" w:rsidRPr="00345AA4">
        <w:rPr>
          <w:rFonts w:ascii="Arial" w:hAnsi="Arial" w:cs="Arial"/>
          <w:bCs/>
          <w:color w:val="000000" w:themeColor="text1"/>
          <w:sz w:val="22"/>
          <w:szCs w:val="22"/>
        </w:rPr>
        <w:t xml:space="preserve"> a</w:t>
      </w:r>
      <w:r w:rsidRPr="00345AA4">
        <w:rPr>
          <w:rFonts w:ascii="Arial" w:hAnsi="Arial" w:cs="Arial"/>
          <w:bCs/>
          <w:color w:val="000000" w:themeColor="text1"/>
          <w:sz w:val="22"/>
          <w:szCs w:val="22"/>
        </w:rPr>
        <w:t xml:space="preserve"> certificate of stock.  Hence, the subject property was already an asset of </w:t>
      </w:r>
      <w:r w:rsidR="00C7315A" w:rsidRPr="00345AA4">
        <w:rPr>
          <w:rFonts w:ascii="Arial" w:hAnsi="Arial" w:cs="Arial"/>
          <w:bCs/>
          <w:color w:val="000000" w:themeColor="text1"/>
          <w:sz w:val="22"/>
          <w:szCs w:val="22"/>
        </w:rPr>
        <w:t>MDC</w:t>
      </w:r>
      <w:r w:rsidRPr="00345AA4">
        <w:rPr>
          <w:rFonts w:ascii="Arial" w:hAnsi="Arial" w:cs="Arial"/>
          <w:bCs/>
          <w:color w:val="000000" w:themeColor="text1"/>
          <w:sz w:val="22"/>
          <w:szCs w:val="22"/>
        </w:rPr>
        <w:t xml:space="preserve"> when </w:t>
      </w:r>
      <w:r w:rsidR="008A7B98" w:rsidRPr="00345AA4">
        <w:rPr>
          <w:rFonts w:ascii="Arial" w:hAnsi="Arial" w:cs="Arial"/>
          <w:bCs/>
          <w:color w:val="000000" w:themeColor="text1"/>
          <w:sz w:val="22"/>
          <w:szCs w:val="22"/>
        </w:rPr>
        <w:t xml:space="preserve">its </w:t>
      </w:r>
      <w:r w:rsidRPr="00345AA4">
        <w:rPr>
          <w:rFonts w:ascii="Arial" w:hAnsi="Arial" w:cs="Arial"/>
          <w:bCs/>
          <w:color w:val="000000" w:themeColor="text1"/>
          <w:sz w:val="22"/>
          <w:szCs w:val="22"/>
        </w:rPr>
        <w:t xml:space="preserve">1,500,000 shares of stocks, representing 100 per cent ownership, were acquired by AFPRSBS.  However, in the amended AOI of </w:t>
      </w:r>
      <w:r w:rsidR="00C7315A" w:rsidRPr="00345AA4">
        <w:rPr>
          <w:rFonts w:ascii="Arial" w:hAnsi="Arial" w:cs="Arial"/>
          <w:bCs/>
          <w:color w:val="000000" w:themeColor="text1"/>
          <w:sz w:val="22"/>
          <w:szCs w:val="22"/>
        </w:rPr>
        <w:t>MDC</w:t>
      </w:r>
      <w:r w:rsidR="00E2021D" w:rsidRPr="00345AA4">
        <w:rPr>
          <w:rFonts w:ascii="Arial" w:hAnsi="Arial" w:cs="Arial"/>
          <w:bCs/>
          <w:color w:val="000000" w:themeColor="text1"/>
          <w:sz w:val="22"/>
          <w:szCs w:val="22"/>
        </w:rPr>
        <w:t xml:space="preserve">, </w:t>
      </w:r>
      <w:r w:rsidR="008A7B98" w:rsidRPr="00345AA4">
        <w:rPr>
          <w:rFonts w:ascii="Arial" w:hAnsi="Arial" w:cs="Arial"/>
          <w:bCs/>
          <w:color w:val="000000" w:themeColor="text1"/>
          <w:sz w:val="22"/>
          <w:szCs w:val="22"/>
        </w:rPr>
        <w:t xml:space="preserve">its </w:t>
      </w:r>
      <w:r w:rsidR="00E2021D" w:rsidRPr="00345AA4">
        <w:rPr>
          <w:rFonts w:ascii="Arial" w:hAnsi="Arial" w:cs="Arial"/>
          <w:bCs/>
          <w:color w:val="000000" w:themeColor="text1"/>
          <w:sz w:val="22"/>
          <w:szCs w:val="22"/>
        </w:rPr>
        <w:t xml:space="preserve">principal office </w:t>
      </w:r>
      <w:r w:rsidRPr="00345AA4">
        <w:rPr>
          <w:rFonts w:ascii="Arial" w:hAnsi="Arial" w:cs="Arial"/>
          <w:bCs/>
          <w:color w:val="000000" w:themeColor="text1"/>
          <w:sz w:val="22"/>
          <w:szCs w:val="22"/>
        </w:rPr>
        <w:t>was change</w:t>
      </w:r>
      <w:r w:rsidR="008A7B98" w:rsidRPr="00345AA4">
        <w:rPr>
          <w:rFonts w:ascii="Arial" w:hAnsi="Arial" w:cs="Arial"/>
          <w:bCs/>
          <w:color w:val="000000" w:themeColor="text1"/>
          <w:sz w:val="22"/>
          <w:szCs w:val="22"/>
        </w:rPr>
        <w:t>d</w:t>
      </w:r>
      <w:r w:rsidRPr="00345AA4">
        <w:rPr>
          <w:rFonts w:ascii="Arial" w:hAnsi="Arial" w:cs="Arial"/>
          <w:bCs/>
          <w:color w:val="000000" w:themeColor="text1"/>
          <w:sz w:val="22"/>
          <w:szCs w:val="22"/>
        </w:rPr>
        <w:t xml:space="preserve"> from the brokerage corporation building in </w:t>
      </w:r>
      <w:proofErr w:type="spellStart"/>
      <w:r w:rsidRPr="00345AA4">
        <w:rPr>
          <w:rFonts w:ascii="Arial" w:hAnsi="Arial" w:cs="Arial"/>
          <w:bCs/>
          <w:color w:val="000000" w:themeColor="text1"/>
          <w:sz w:val="22"/>
          <w:szCs w:val="22"/>
        </w:rPr>
        <w:t>Bangkal</w:t>
      </w:r>
      <w:proofErr w:type="spellEnd"/>
      <w:r w:rsidRPr="00345AA4">
        <w:rPr>
          <w:rFonts w:ascii="Arial" w:hAnsi="Arial" w:cs="Arial"/>
          <w:bCs/>
          <w:color w:val="000000" w:themeColor="text1"/>
          <w:sz w:val="22"/>
          <w:szCs w:val="22"/>
        </w:rPr>
        <w:t>, Makati City to AFPRSBS’ in Quezon City only on March 17, 2004.  Further, preceded to these transactions, AFPRSBS’ subsidiary realty corporation, in behalf of AFPRSBS, handed over the operations of realty corporation to the brokerage corporation.</w:t>
      </w:r>
    </w:p>
    <w:p w14:paraId="7C925C97" w14:textId="77777777" w:rsidR="000C3538" w:rsidRPr="00345AA4" w:rsidRDefault="000C3538" w:rsidP="000C3538">
      <w:pPr>
        <w:pStyle w:val="ListParagraph"/>
        <w:tabs>
          <w:tab w:val="left" w:pos="990"/>
        </w:tabs>
        <w:ind w:left="900"/>
        <w:contextualSpacing/>
        <w:jc w:val="both"/>
        <w:rPr>
          <w:rFonts w:ascii="Arial" w:hAnsi="Arial" w:cs="Arial"/>
          <w:b/>
          <w:color w:val="000000" w:themeColor="text1"/>
          <w:sz w:val="22"/>
          <w:szCs w:val="22"/>
        </w:rPr>
      </w:pPr>
    </w:p>
    <w:p w14:paraId="15F7166D" w14:textId="1D740234" w:rsidR="000C3538" w:rsidRPr="00345AA4" w:rsidRDefault="000C3538" w:rsidP="000C3538">
      <w:pPr>
        <w:pStyle w:val="ListParagraph"/>
        <w:numPr>
          <w:ilvl w:val="1"/>
          <w:numId w:val="1"/>
        </w:numPr>
        <w:tabs>
          <w:tab w:val="left" w:pos="990"/>
        </w:tabs>
        <w:ind w:left="900" w:hanging="540"/>
        <w:contextualSpacing/>
        <w:jc w:val="both"/>
        <w:rPr>
          <w:rFonts w:ascii="Arial" w:hAnsi="Arial" w:cs="Arial"/>
          <w:bCs/>
          <w:color w:val="000000" w:themeColor="text1"/>
          <w:sz w:val="22"/>
          <w:szCs w:val="22"/>
        </w:rPr>
      </w:pPr>
      <w:r w:rsidRPr="00345AA4">
        <w:rPr>
          <w:rFonts w:ascii="Arial" w:hAnsi="Arial" w:cs="Arial"/>
          <w:bCs/>
          <w:color w:val="000000" w:themeColor="text1"/>
          <w:sz w:val="22"/>
          <w:szCs w:val="22"/>
        </w:rPr>
        <w:t xml:space="preserve">In view of the deactivation of AFPRSBS by virtue of EO Nos. 590 and 590-A dated December 15, 2016 and January 31, 2007, respectively, and as stated in AFPRSBS BOT </w:t>
      </w:r>
      <w:r w:rsidR="00BA7A47" w:rsidRPr="00345AA4">
        <w:rPr>
          <w:rFonts w:ascii="Arial" w:hAnsi="Arial" w:cs="Arial"/>
          <w:bCs/>
          <w:color w:val="000000" w:themeColor="text1"/>
          <w:sz w:val="22"/>
          <w:szCs w:val="22"/>
        </w:rPr>
        <w:t xml:space="preserve">Meeting </w:t>
      </w:r>
      <w:r w:rsidRPr="00345AA4">
        <w:rPr>
          <w:rFonts w:ascii="Arial" w:hAnsi="Arial" w:cs="Arial"/>
          <w:bCs/>
          <w:color w:val="000000" w:themeColor="text1"/>
          <w:sz w:val="22"/>
          <w:szCs w:val="22"/>
        </w:rPr>
        <w:t xml:space="preserve">No. 02-2007 dated March 5, 2007, the BOT of AFPRSBS decided to sell through public bidding the shares of stock of </w:t>
      </w:r>
      <w:r w:rsidR="00C7315A" w:rsidRPr="00345AA4">
        <w:rPr>
          <w:rFonts w:ascii="Arial" w:hAnsi="Arial" w:cs="Arial"/>
          <w:bCs/>
          <w:color w:val="000000" w:themeColor="text1"/>
          <w:sz w:val="22"/>
          <w:szCs w:val="22"/>
        </w:rPr>
        <w:t>MDC</w:t>
      </w:r>
      <w:r w:rsidRPr="00345AA4">
        <w:rPr>
          <w:rFonts w:ascii="Arial" w:hAnsi="Arial" w:cs="Arial"/>
          <w:bCs/>
          <w:color w:val="000000" w:themeColor="text1"/>
          <w:sz w:val="22"/>
          <w:szCs w:val="22"/>
        </w:rPr>
        <w:t xml:space="preserve"> on cash and “as-is, where-is” bases for a minimum bid price</w:t>
      </w:r>
      <w:r w:rsidR="008A7B98" w:rsidRPr="00345AA4">
        <w:rPr>
          <w:rFonts w:ascii="Arial" w:hAnsi="Arial" w:cs="Arial"/>
          <w:bCs/>
          <w:color w:val="000000" w:themeColor="text1"/>
          <w:sz w:val="22"/>
          <w:szCs w:val="22"/>
        </w:rPr>
        <w:t xml:space="preserve"> of</w:t>
      </w:r>
      <w:r w:rsidRPr="00345AA4">
        <w:rPr>
          <w:rFonts w:ascii="Arial" w:hAnsi="Arial" w:cs="Arial"/>
          <w:bCs/>
          <w:color w:val="000000" w:themeColor="text1"/>
          <w:sz w:val="22"/>
          <w:szCs w:val="22"/>
        </w:rPr>
        <w:t xml:space="preserve"> P892.5</w:t>
      </w:r>
      <w:r w:rsidR="00BA7A47" w:rsidRPr="00345AA4">
        <w:rPr>
          <w:rFonts w:ascii="Arial" w:hAnsi="Arial" w:cs="Arial"/>
          <w:bCs/>
          <w:color w:val="000000" w:themeColor="text1"/>
          <w:sz w:val="22"/>
          <w:szCs w:val="22"/>
        </w:rPr>
        <w:t>00</w:t>
      </w:r>
      <w:r w:rsidRPr="00345AA4">
        <w:rPr>
          <w:rFonts w:ascii="Arial" w:hAnsi="Arial" w:cs="Arial"/>
          <w:bCs/>
          <w:color w:val="000000" w:themeColor="text1"/>
          <w:sz w:val="22"/>
          <w:szCs w:val="22"/>
        </w:rPr>
        <w:t xml:space="preserve"> million.  </w:t>
      </w:r>
      <w:r w:rsidRPr="00345AA4">
        <w:rPr>
          <w:rFonts w:ascii="Arial" w:hAnsi="Arial" w:cs="Arial"/>
          <w:bCs/>
          <w:color w:val="000000" w:themeColor="text1"/>
          <w:sz w:val="22"/>
          <w:szCs w:val="22"/>
        </w:rPr>
        <w:lastRenderedPageBreak/>
        <w:t xml:space="preserve">Relative thereto, the publications of the invitation to prospective bidders, upon the knowledge of the general public, gave rise to the civil case filed by the developer on the action of reconveyance of the subject property opposing the supposed sale and claiming as the lawful owner over the said property. </w:t>
      </w:r>
    </w:p>
    <w:p w14:paraId="432419F5" w14:textId="77777777" w:rsidR="000C3538" w:rsidRPr="00345AA4" w:rsidRDefault="000C3538" w:rsidP="000C3538">
      <w:pPr>
        <w:pStyle w:val="ListParagraph"/>
        <w:tabs>
          <w:tab w:val="left" w:pos="990"/>
        </w:tabs>
        <w:ind w:left="900"/>
        <w:contextualSpacing/>
        <w:jc w:val="both"/>
        <w:rPr>
          <w:rFonts w:ascii="Arial" w:hAnsi="Arial" w:cs="Arial"/>
          <w:b/>
          <w:color w:val="000000" w:themeColor="text1"/>
          <w:sz w:val="22"/>
          <w:szCs w:val="22"/>
        </w:rPr>
      </w:pPr>
    </w:p>
    <w:p w14:paraId="5B0494FC" w14:textId="2705DBAD" w:rsidR="000C3538" w:rsidRPr="00345AA4" w:rsidRDefault="000C3538" w:rsidP="000C3538">
      <w:pPr>
        <w:pStyle w:val="ListParagraph"/>
        <w:numPr>
          <w:ilvl w:val="1"/>
          <w:numId w:val="1"/>
        </w:numPr>
        <w:tabs>
          <w:tab w:val="left" w:pos="990"/>
        </w:tabs>
        <w:ind w:left="900" w:hanging="540"/>
        <w:contextualSpacing/>
        <w:jc w:val="both"/>
        <w:rPr>
          <w:rFonts w:ascii="Arial" w:hAnsi="Arial" w:cs="Arial"/>
          <w:bCs/>
          <w:color w:val="000000" w:themeColor="text1"/>
          <w:sz w:val="22"/>
          <w:szCs w:val="22"/>
        </w:rPr>
      </w:pPr>
      <w:r w:rsidRPr="00345AA4">
        <w:rPr>
          <w:rFonts w:ascii="Arial" w:hAnsi="Arial" w:cs="Arial"/>
          <w:bCs/>
          <w:color w:val="000000" w:themeColor="text1"/>
          <w:sz w:val="22"/>
          <w:szCs w:val="22"/>
        </w:rPr>
        <w:t xml:space="preserve">The </w:t>
      </w:r>
      <w:r w:rsidR="00F05760">
        <w:rPr>
          <w:rFonts w:ascii="Arial" w:hAnsi="Arial" w:cs="Arial"/>
          <w:bCs/>
          <w:color w:val="000000" w:themeColor="text1"/>
          <w:sz w:val="22"/>
          <w:szCs w:val="22"/>
        </w:rPr>
        <w:t>Court of Appeals (</w:t>
      </w:r>
      <w:r w:rsidRPr="00345AA4">
        <w:rPr>
          <w:rFonts w:ascii="Arial" w:hAnsi="Arial" w:cs="Arial"/>
          <w:bCs/>
          <w:color w:val="000000" w:themeColor="text1"/>
          <w:sz w:val="22"/>
          <w:szCs w:val="22"/>
        </w:rPr>
        <w:t>CA</w:t>
      </w:r>
      <w:r w:rsidR="00F05760">
        <w:rPr>
          <w:rFonts w:ascii="Arial" w:hAnsi="Arial" w:cs="Arial"/>
          <w:bCs/>
          <w:color w:val="000000" w:themeColor="text1"/>
          <w:sz w:val="22"/>
          <w:szCs w:val="22"/>
        </w:rPr>
        <w:t>)</w:t>
      </w:r>
      <w:r w:rsidRPr="00345AA4">
        <w:rPr>
          <w:rFonts w:ascii="Arial" w:hAnsi="Arial" w:cs="Arial"/>
          <w:bCs/>
          <w:color w:val="000000" w:themeColor="text1"/>
          <w:sz w:val="22"/>
          <w:szCs w:val="22"/>
        </w:rPr>
        <w:t xml:space="preserve">, in its decision on February 28, 2019, affirmed the decision of the trial court that the brokerage corporation shall reimburse AFPRSBS the proceeds of the 120 condominium units and its corresponding 110 parking lots with a total floor area of 20,637 </w:t>
      </w:r>
      <w:r w:rsidR="00BA7A47" w:rsidRPr="00345AA4">
        <w:rPr>
          <w:rFonts w:ascii="Arial" w:hAnsi="Arial" w:cs="Arial"/>
          <w:bCs/>
          <w:color w:val="000000" w:themeColor="text1"/>
          <w:sz w:val="22"/>
          <w:szCs w:val="22"/>
        </w:rPr>
        <w:t>sqm</w:t>
      </w:r>
      <w:r w:rsidRPr="00345AA4">
        <w:rPr>
          <w:rFonts w:ascii="Arial" w:hAnsi="Arial" w:cs="Arial"/>
          <w:bCs/>
          <w:color w:val="000000" w:themeColor="text1"/>
          <w:sz w:val="22"/>
          <w:szCs w:val="22"/>
        </w:rPr>
        <w:t xml:space="preserve"> and parking area of 1,813 </w:t>
      </w:r>
      <w:r w:rsidR="00BA7A47" w:rsidRPr="00345AA4">
        <w:rPr>
          <w:rFonts w:ascii="Arial" w:hAnsi="Arial" w:cs="Arial"/>
          <w:bCs/>
          <w:color w:val="000000" w:themeColor="text1"/>
          <w:sz w:val="22"/>
          <w:szCs w:val="22"/>
        </w:rPr>
        <w:t>sqm</w:t>
      </w:r>
      <w:r w:rsidRPr="00345AA4">
        <w:rPr>
          <w:rFonts w:ascii="Arial" w:hAnsi="Arial" w:cs="Arial"/>
          <w:bCs/>
          <w:color w:val="000000" w:themeColor="text1"/>
          <w:sz w:val="22"/>
          <w:szCs w:val="22"/>
        </w:rPr>
        <w:t xml:space="preserve">, respectively, given up in exchange of the corporate shares of </w:t>
      </w:r>
      <w:r w:rsidR="003A5021" w:rsidRPr="00345AA4">
        <w:rPr>
          <w:rFonts w:ascii="Arial" w:hAnsi="Arial" w:cs="Arial"/>
          <w:bCs/>
          <w:color w:val="000000" w:themeColor="text1"/>
          <w:sz w:val="22"/>
          <w:szCs w:val="22"/>
        </w:rPr>
        <w:t>MDC</w:t>
      </w:r>
      <w:r w:rsidRPr="00345AA4">
        <w:rPr>
          <w:rFonts w:ascii="Arial" w:hAnsi="Arial" w:cs="Arial"/>
          <w:bCs/>
          <w:color w:val="000000" w:themeColor="text1"/>
          <w:sz w:val="22"/>
          <w:szCs w:val="22"/>
        </w:rPr>
        <w:t xml:space="preserve"> plus legal interest computed from 1999 until fully paid.  Based on the above</w:t>
      </w:r>
      <w:r w:rsidR="00E30116" w:rsidRPr="00345AA4">
        <w:rPr>
          <w:rFonts w:ascii="Arial" w:hAnsi="Arial" w:cs="Arial"/>
          <w:bCs/>
          <w:color w:val="000000" w:themeColor="text1"/>
          <w:sz w:val="22"/>
          <w:szCs w:val="22"/>
        </w:rPr>
        <w:t>-</w:t>
      </w:r>
      <w:r w:rsidRPr="00345AA4">
        <w:rPr>
          <w:rFonts w:ascii="Arial" w:hAnsi="Arial" w:cs="Arial"/>
          <w:bCs/>
          <w:color w:val="000000" w:themeColor="text1"/>
          <w:sz w:val="22"/>
          <w:szCs w:val="22"/>
        </w:rPr>
        <w:t xml:space="preserve">mentioned appraisal report as of June 30, 2019, the indicative market value of the subject condominium units as at September 7, 1999 is P610 million and the legal interest for the period from September 7, 1999 to June 30, 2019 is </w:t>
      </w:r>
      <w:r w:rsidR="00E30116" w:rsidRPr="00345AA4">
        <w:rPr>
          <w:rFonts w:ascii="Arial" w:hAnsi="Arial" w:cs="Arial"/>
          <w:bCs/>
          <w:color w:val="000000" w:themeColor="text1"/>
          <w:sz w:val="22"/>
          <w:szCs w:val="22"/>
        </w:rPr>
        <w:t>P</w:t>
      </w:r>
      <w:r w:rsidRPr="00345AA4">
        <w:rPr>
          <w:rFonts w:ascii="Arial" w:hAnsi="Arial" w:cs="Arial"/>
          <w:bCs/>
          <w:color w:val="000000" w:themeColor="text1"/>
          <w:sz w:val="22"/>
          <w:szCs w:val="22"/>
        </w:rPr>
        <w:t xml:space="preserve">1.230 billion or a total of P1.840 billion. </w:t>
      </w:r>
    </w:p>
    <w:p w14:paraId="59D45E3D" w14:textId="77777777" w:rsidR="000C3538" w:rsidRPr="00345AA4" w:rsidRDefault="000C3538" w:rsidP="000C3538">
      <w:pPr>
        <w:pStyle w:val="ListParagraph"/>
        <w:tabs>
          <w:tab w:val="left" w:pos="990"/>
        </w:tabs>
        <w:ind w:left="900"/>
        <w:contextualSpacing/>
        <w:jc w:val="both"/>
        <w:rPr>
          <w:rFonts w:ascii="Arial" w:hAnsi="Arial" w:cs="Arial"/>
          <w:bCs/>
          <w:color w:val="000000" w:themeColor="text1"/>
          <w:sz w:val="22"/>
          <w:szCs w:val="22"/>
        </w:rPr>
      </w:pPr>
    </w:p>
    <w:p w14:paraId="43302A12" w14:textId="7ED4F3AE" w:rsidR="000C3538" w:rsidRPr="00345AA4" w:rsidRDefault="000C3538" w:rsidP="001728EA">
      <w:pPr>
        <w:pStyle w:val="ListParagraph"/>
        <w:numPr>
          <w:ilvl w:val="1"/>
          <w:numId w:val="1"/>
        </w:numPr>
        <w:tabs>
          <w:tab w:val="left" w:pos="990"/>
        </w:tabs>
        <w:ind w:left="900" w:hanging="540"/>
        <w:contextualSpacing/>
        <w:jc w:val="both"/>
        <w:rPr>
          <w:rFonts w:ascii="Arial" w:hAnsi="Arial" w:cs="Arial"/>
          <w:bCs/>
          <w:color w:val="000000" w:themeColor="text1"/>
          <w:sz w:val="22"/>
          <w:szCs w:val="22"/>
        </w:rPr>
      </w:pPr>
      <w:r w:rsidRPr="00345AA4">
        <w:rPr>
          <w:rFonts w:ascii="Arial" w:hAnsi="Arial" w:cs="Arial"/>
          <w:bCs/>
          <w:color w:val="000000" w:themeColor="text1"/>
          <w:sz w:val="22"/>
          <w:szCs w:val="22"/>
        </w:rPr>
        <w:t xml:space="preserve">As of date, the Court’s decision relative to the civil case between the developer and the brokerage corporation, </w:t>
      </w:r>
      <w:r w:rsidR="004B4FEC" w:rsidRPr="00345AA4">
        <w:rPr>
          <w:rFonts w:ascii="Arial" w:hAnsi="Arial" w:cs="Arial"/>
          <w:bCs/>
          <w:color w:val="000000" w:themeColor="text1"/>
          <w:sz w:val="22"/>
          <w:szCs w:val="22"/>
        </w:rPr>
        <w:t>MDC</w:t>
      </w:r>
      <w:r w:rsidRPr="00345AA4">
        <w:rPr>
          <w:rFonts w:ascii="Arial" w:hAnsi="Arial" w:cs="Arial"/>
          <w:bCs/>
          <w:color w:val="000000" w:themeColor="text1"/>
          <w:sz w:val="22"/>
          <w:szCs w:val="22"/>
        </w:rPr>
        <w:t xml:space="preserve"> and AFPRSBS is not yet final and executory.  The </w:t>
      </w:r>
      <w:r w:rsidR="00F05760">
        <w:rPr>
          <w:rFonts w:ascii="Arial" w:hAnsi="Arial" w:cs="Arial"/>
          <w:bCs/>
          <w:color w:val="000000" w:themeColor="text1"/>
          <w:sz w:val="22"/>
          <w:szCs w:val="22"/>
        </w:rPr>
        <w:t>Legal Department (</w:t>
      </w:r>
      <w:r w:rsidRPr="00345AA4">
        <w:rPr>
          <w:rFonts w:ascii="Arial" w:hAnsi="Arial" w:cs="Arial"/>
          <w:bCs/>
          <w:color w:val="000000" w:themeColor="text1"/>
          <w:sz w:val="22"/>
          <w:szCs w:val="22"/>
        </w:rPr>
        <w:t>LD</w:t>
      </w:r>
      <w:r w:rsidR="00F05760">
        <w:rPr>
          <w:rFonts w:ascii="Arial" w:hAnsi="Arial" w:cs="Arial"/>
          <w:bCs/>
          <w:color w:val="000000" w:themeColor="text1"/>
          <w:sz w:val="22"/>
          <w:szCs w:val="22"/>
        </w:rPr>
        <w:t>)</w:t>
      </w:r>
      <w:r w:rsidRPr="00345AA4">
        <w:rPr>
          <w:rFonts w:ascii="Arial" w:hAnsi="Arial" w:cs="Arial"/>
          <w:bCs/>
          <w:color w:val="000000" w:themeColor="text1"/>
          <w:sz w:val="22"/>
          <w:szCs w:val="22"/>
        </w:rPr>
        <w:t xml:space="preserve"> committed to update COA about their course of action after the decision rendered by the CA and the status of it.</w:t>
      </w:r>
    </w:p>
    <w:p w14:paraId="29CABB33" w14:textId="77777777" w:rsidR="000C3538" w:rsidRPr="00345AA4" w:rsidRDefault="000C3538" w:rsidP="000C3538">
      <w:pPr>
        <w:pStyle w:val="ListParagraph"/>
        <w:tabs>
          <w:tab w:val="left" w:pos="990"/>
        </w:tabs>
        <w:ind w:left="900"/>
        <w:contextualSpacing/>
        <w:jc w:val="both"/>
        <w:rPr>
          <w:rFonts w:ascii="Arial" w:hAnsi="Arial" w:cs="Arial"/>
          <w:bCs/>
          <w:color w:val="000000" w:themeColor="text1"/>
          <w:sz w:val="22"/>
          <w:szCs w:val="22"/>
        </w:rPr>
      </w:pPr>
    </w:p>
    <w:p w14:paraId="617C5204" w14:textId="77777777" w:rsidR="000C3538" w:rsidRPr="00345AA4" w:rsidRDefault="000C3538" w:rsidP="000C3538">
      <w:pPr>
        <w:pStyle w:val="ListParagraph"/>
        <w:numPr>
          <w:ilvl w:val="1"/>
          <w:numId w:val="1"/>
        </w:numPr>
        <w:tabs>
          <w:tab w:val="left" w:pos="990"/>
        </w:tabs>
        <w:ind w:left="900" w:hanging="540"/>
        <w:contextualSpacing/>
        <w:jc w:val="both"/>
        <w:rPr>
          <w:rFonts w:ascii="Arial" w:hAnsi="Arial" w:cs="Arial"/>
          <w:bCs/>
          <w:color w:val="000000" w:themeColor="text1"/>
          <w:sz w:val="22"/>
          <w:szCs w:val="22"/>
        </w:rPr>
      </w:pPr>
      <w:r w:rsidRPr="00345AA4">
        <w:rPr>
          <w:rFonts w:ascii="Arial" w:hAnsi="Arial" w:cs="Arial"/>
          <w:bCs/>
          <w:color w:val="000000" w:themeColor="text1"/>
          <w:sz w:val="22"/>
          <w:szCs w:val="22"/>
        </w:rPr>
        <w:t>In Sandoval v. CA, G.R. No. 106657, August 1, 1996, the Supreme Court has held:</w:t>
      </w:r>
    </w:p>
    <w:p w14:paraId="79635005" w14:textId="77777777" w:rsidR="000C3538" w:rsidRPr="00345AA4" w:rsidRDefault="000C3538" w:rsidP="000C3538">
      <w:pPr>
        <w:pStyle w:val="ListParagraph"/>
        <w:tabs>
          <w:tab w:val="left" w:pos="1530"/>
        </w:tabs>
        <w:ind w:right="819"/>
        <w:jc w:val="both"/>
        <w:rPr>
          <w:rFonts w:ascii="Arial" w:hAnsi="Arial" w:cs="Arial"/>
          <w:i/>
          <w:color w:val="000000" w:themeColor="text1"/>
          <w:sz w:val="22"/>
          <w:szCs w:val="22"/>
        </w:rPr>
      </w:pPr>
    </w:p>
    <w:p w14:paraId="7201D795" w14:textId="39C84259" w:rsidR="000C3538" w:rsidRPr="00345AA4" w:rsidRDefault="000C3538" w:rsidP="00DB1FE6">
      <w:pPr>
        <w:pStyle w:val="ListParagraph"/>
        <w:tabs>
          <w:tab w:val="left" w:pos="1530"/>
        </w:tabs>
        <w:ind w:left="1440" w:right="702"/>
        <w:jc w:val="both"/>
        <w:rPr>
          <w:rFonts w:ascii="Arial" w:hAnsi="Arial" w:cs="Arial"/>
          <w:i/>
          <w:color w:val="000000" w:themeColor="text1"/>
          <w:sz w:val="22"/>
          <w:szCs w:val="22"/>
        </w:rPr>
      </w:pPr>
      <w:r w:rsidRPr="00345AA4">
        <w:rPr>
          <w:rFonts w:ascii="Arial" w:hAnsi="Arial" w:cs="Arial"/>
          <w:i/>
          <w:color w:val="000000" w:themeColor="text1"/>
          <w:sz w:val="22"/>
          <w:szCs w:val="22"/>
        </w:rPr>
        <w:t xml:space="preserve">Xxx that a person dealing with registered land has a right to rely on the Torrens certificate of title and to dispense with the need of inquiring further </w:t>
      </w:r>
      <w:r w:rsidRPr="00345AA4">
        <w:rPr>
          <w:rFonts w:ascii="Arial" w:hAnsi="Arial" w:cs="Arial"/>
          <w:b/>
          <w:i/>
          <w:color w:val="000000" w:themeColor="text1"/>
          <w:sz w:val="22"/>
          <w:szCs w:val="22"/>
        </w:rPr>
        <w:t>except when the party has actual knowledge of facts and circumstances that would impel a reasonably cautious man to make such inquiry or when the purchaser has knowledge of a defect or the lack of title in his vendor</w:t>
      </w:r>
      <w:r w:rsidRPr="00345AA4">
        <w:rPr>
          <w:rFonts w:ascii="Arial" w:hAnsi="Arial" w:cs="Arial"/>
          <w:i/>
          <w:color w:val="000000" w:themeColor="text1"/>
          <w:sz w:val="22"/>
          <w:szCs w:val="22"/>
        </w:rPr>
        <w:t xml:space="preserve"> or of sufficient facts to induce a reasonably prudent man to inquire into the status of the title of the property in litigation.  The presence of anything which excites or arouses suspicion should then prompt the vendee to look beyond the certificate and investigate the title of the vendor appearing on the face of said certificate.  One who falls within the exception can neither be denominated an innocent purchaser for value nor a purchaser in good faith and, hence, does not merit the protection of the law.</w:t>
      </w:r>
      <w:r w:rsidRPr="00345AA4">
        <w:rPr>
          <w:rFonts w:ascii="Arial" w:hAnsi="Arial" w:cs="Arial"/>
          <w:iCs/>
          <w:color w:val="000000" w:themeColor="text1"/>
          <w:sz w:val="22"/>
          <w:szCs w:val="22"/>
        </w:rPr>
        <w:t xml:space="preserve"> (Emphasis supplied)</w:t>
      </w:r>
    </w:p>
    <w:p w14:paraId="4BB8746D" w14:textId="77777777" w:rsidR="000C3538" w:rsidRPr="00345AA4" w:rsidRDefault="000C3538" w:rsidP="000C3538">
      <w:pPr>
        <w:pStyle w:val="ListParagraph"/>
        <w:tabs>
          <w:tab w:val="left" w:pos="1530"/>
        </w:tabs>
        <w:ind w:left="993" w:right="702"/>
        <w:jc w:val="both"/>
        <w:rPr>
          <w:rFonts w:ascii="Arial" w:hAnsi="Arial" w:cs="Arial"/>
          <w:i/>
          <w:color w:val="000000" w:themeColor="text1"/>
          <w:sz w:val="22"/>
          <w:szCs w:val="22"/>
        </w:rPr>
      </w:pPr>
    </w:p>
    <w:p w14:paraId="7E5758D4" w14:textId="77777777" w:rsidR="000C3538" w:rsidRPr="00345AA4" w:rsidRDefault="000C3538" w:rsidP="000C3538">
      <w:pPr>
        <w:pStyle w:val="ListParagraph"/>
        <w:numPr>
          <w:ilvl w:val="1"/>
          <w:numId w:val="1"/>
        </w:numPr>
        <w:tabs>
          <w:tab w:val="left" w:pos="990"/>
        </w:tabs>
        <w:ind w:left="900" w:hanging="540"/>
        <w:contextualSpacing/>
        <w:jc w:val="both"/>
        <w:rPr>
          <w:rFonts w:ascii="Arial" w:hAnsi="Arial" w:cs="Arial"/>
          <w:bCs/>
          <w:color w:val="000000" w:themeColor="text1"/>
          <w:sz w:val="22"/>
          <w:szCs w:val="22"/>
        </w:rPr>
      </w:pPr>
      <w:r w:rsidRPr="00345AA4">
        <w:rPr>
          <w:rFonts w:ascii="Arial" w:hAnsi="Arial" w:cs="Arial"/>
          <w:bCs/>
          <w:color w:val="000000" w:themeColor="text1"/>
          <w:sz w:val="22"/>
          <w:szCs w:val="22"/>
        </w:rPr>
        <w:t xml:space="preserve">In addition, in the case of </w:t>
      </w:r>
      <w:proofErr w:type="spellStart"/>
      <w:r w:rsidRPr="00345AA4">
        <w:rPr>
          <w:rFonts w:ascii="Arial" w:hAnsi="Arial" w:cs="Arial"/>
          <w:bCs/>
          <w:color w:val="000000" w:themeColor="text1"/>
          <w:sz w:val="22"/>
          <w:szCs w:val="22"/>
        </w:rPr>
        <w:t>Rosaroso</w:t>
      </w:r>
      <w:proofErr w:type="spellEnd"/>
      <w:r w:rsidRPr="00345AA4">
        <w:rPr>
          <w:rFonts w:ascii="Arial" w:hAnsi="Arial" w:cs="Arial"/>
          <w:bCs/>
          <w:color w:val="000000" w:themeColor="text1"/>
          <w:sz w:val="22"/>
          <w:szCs w:val="22"/>
        </w:rPr>
        <w:t xml:space="preserve"> v. Soria, G.R. No. 194846, June 19, 2013, which was cited by the CA in its decision, the Supreme Court has held that: </w:t>
      </w:r>
    </w:p>
    <w:p w14:paraId="77F7B80B" w14:textId="77777777" w:rsidR="000C3538" w:rsidRPr="00345AA4" w:rsidRDefault="000C3538" w:rsidP="000C3538">
      <w:pPr>
        <w:pStyle w:val="ListParagraph"/>
        <w:tabs>
          <w:tab w:val="left" w:pos="0"/>
        </w:tabs>
        <w:ind w:left="0" w:right="29"/>
        <w:jc w:val="both"/>
        <w:rPr>
          <w:rFonts w:ascii="Arial" w:hAnsi="Arial" w:cs="Arial"/>
          <w:color w:val="000000" w:themeColor="text1"/>
          <w:sz w:val="22"/>
          <w:szCs w:val="22"/>
        </w:rPr>
      </w:pPr>
    </w:p>
    <w:p w14:paraId="755C8816" w14:textId="77777777" w:rsidR="000C3538" w:rsidRPr="00345AA4" w:rsidRDefault="000C3538" w:rsidP="00DB1FE6">
      <w:pPr>
        <w:pStyle w:val="ListParagraph"/>
        <w:tabs>
          <w:tab w:val="left" w:pos="1530"/>
        </w:tabs>
        <w:ind w:left="1440" w:right="702"/>
        <w:jc w:val="both"/>
        <w:rPr>
          <w:rFonts w:ascii="Arial" w:hAnsi="Arial" w:cs="Arial"/>
          <w:i/>
          <w:color w:val="000000" w:themeColor="text1"/>
          <w:sz w:val="22"/>
          <w:szCs w:val="22"/>
        </w:rPr>
      </w:pPr>
      <w:r w:rsidRPr="00345AA4">
        <w:rPr>
          <w:rFonts w:ascii="Arial" w:hAnsi="Arial" w:cs="Arial"/>
          <w:i/>
          <w:color w:val="000000" w:themeColor="text1"/>
          <w:sz w:val="22"/>
          <w:szCs w:val="22"/>
        </w:rPr>
        <w:t xml:space="preserve">Xxx.  When a piece of land is in actual possession of persons other than the seller, the buyer must be wary and should investigate the rights of those in possession.  </w:t>
      </w:r>
      <w:r w:rsidRPr="00345AA4">
        <w:rPr>
          <w:rFonts w:ascii="Arial" w:hAnsi="Arial" w:cs="Arial"/>
          <w:b/>
          <w:i/>
          <w:color w:val="000000" w:themeColor="text1"/>
          <w:sz w:val="22"/>
          <w:szCs w:val="22"/>
        </w:rPr>
        <w:t>Without making such inquiry, one cannot claim that he is a buyer in good faith.</w:t>
      </w:r>
      <w:r w:rsidRPr="00345AA4">
        <w:rPr>
          <w:rFonts w:ascii="Arial" w:hAnsi="Arial" w:cs="Arial"/>
          <w:i/>
          <w:color w:val="000000" w:themeColor="text1"/>
          <w:sz w:val="22"/>
          <w:szCs w:val="22"/>
        </w:rPr>
        <w:t xml:space="preserve"> </w:t>
      </w:r>
    </w:p>
    <w:p w14:paraId="79DDAB33" w14:textId="77777777" w:rsidR="000C3538" w:rsidRPr="00345AA4" w:rsidRDefault="000C3538" w:rsidP="000C3538">
      <w:pPr>
        <w:pStyle w:val="ListParagraph"/>
        <w:tabs>
          <w:tab w:val="left" w:pos="1530"/>
        </w:tabs>
        <w:ind w:left="993" w:right="702"/>
        <w:jc w:val="both"/>
        <w:rPr>
          <w:rFonts w:ascii="Arial" w:hAnsi="Arial" w:cs="Arial"/>
          <w:i/>
          <w:color w:val="000000" w:themeColor="text1"/>
          <w:sz w:val="22"/>
          <w:szCs w:val="22"/>
        </w:rPr>
      </w:pPr>
    </w:p>
    <w:p w14:paraId="47FDC36E" w14:textId="52A62107" w:rsidR="000C3538" w:rsidRPr="00345AA4" w:rsidRDefault="000C3538" w:rsidP="00DB1FE6">
      <w:pPr>
        <w:pStyle w:val="ListParagraph"/>
        <w:tabs>
          <w:tab w:val="left" w:pos="1530"/>
        </w:tabs>
        <w:ind w:left="1440" w:right="702"/>
        <w:jc w:val="both"/>
        <w:rPr>
          <w:rFonts w:ascii="Arial" w:hAnsi="Arial" w:cs="Arial"/>
          <w:b/>
          <w:i/>
          <w:color w:val="000000" w:themeColor="text1"/>
          <w:sz w:val="22"/>
          <w:szCs w:val="22"/>
        </w:rPr>
      </w:pPr>
      <w:r w:rsidRPr="00345AA4">
        <w:rPr>
          <w:rFonts w:ascii="Arial" w:hAnsi="Arial" w:cs="Arial"/>
          <w:i/>
          <w:color w:val="000000" w:themeColor="text1"/>
          <w:sz w:val="22"/>
          <w:szCs w:val="22"/>
        </w:rPr>
        <w:t xml:space="preserve">Xxx.  </w:t>
      </w:r>
      <w:r w:rsidRPr="00345AA4">
        <w:rPr>
          <w:rFonts w:ascii="Arial" w:hAnsi="Arial" w:cs="Arial"/>
          <w:b/>
          <w:i/>
          <w:color w:val="000000" w:themeColor="text1"/>
          <w:sz w:val="22"/>
          <w:szCs w:val="22"/>
        </w:rPr>
        <w:t xml:space="preserve">The buyer who has failed to know or discover that the land sold to him is in adverse possession of another is a buyer in bad faith. </w:t>
      </w:r>
      <w:r w:rsidRPr="00345AA4">
        <w:rPr>
          <w:rFonts w:ascii="Arial" w:hAnsi="Arial" w:cs="Arial"/>
          <w:iCs/>
          <w:color w:val="000000" w:themeColor="text1"/>
          <w:sz w:val="22"/>
          <w:szCs w:val="22"/>
        </w:rPr>
        <w:t>(Emphasis supplied)</w:t>
      </w:r>
    </w:p>
    <w:p w14:paraId="6D3F2F32" w14:textId="77777777" w:rsidR="000C3538" w:rsidRPr="00345AA4" w:rsidRDefault="000C3538" w:rsidP="000C3538">
      <w:pPr>
        <w:pStyle w:val="ListParagraph"/>
        <w:tabs>
          <w:tab w:val="left" w:pos="0"/>
        </w:tabs>
        <w:ind w:left="0" w:right="29"/>
        <w:jc w:val="both"/>
        <w:rPr>
          <w:rFonts w:ascii="Arial" w:hAnsi="Arial" w:cs="Arial"/>
          <w:color w:val="000000" w:themeColor="text1"/>
          <w:sz w:val="22"/>
          <w:szCs w:val="22"/>
        </w:rPr>
      </w:pPr>
    </w:p>
    <w:p w14:paraId="2C028202" w14:textId="4A4DFB6F" w:rsidR="000C3538" w:rsidRPr="00345AA4" w:rsidRDefault="000C3538" w:rsidP="000C3538">
      <w:pPr>
        <w:pStyle w:val="ListParagraph"/>
        <w:numPr>
          <w:ilvl w:val="1"/>
          <w:numId w:val="1"/>
        </w:numPr>
        <w:tabs>
          <w:tab w:val="left" w:pos="990"/>
        </w:tabs>
        <w:ind w:left="900" w:hanging="540"/>
        <w:contextualSpacing/>
        <w:jc w:val="both"/>
        <w:rPr>
          <w:rFonts w:ascii="Arial" w:hAnsi="Arial" w:cs="Arial"/>
          <w:bCs/>
          <w:color w:val="000000" w:themeColor="text1"/>
          <w:sz w:val="22"/>
          <w:szCs w:val="22"/>
        </w:rPr>
      </w:pPr>
      <w:r w:rsidRPr="00345AA4">
        <w:rPr>
          <w:rFonts w:ascii="Arial" w:hAnsi="Arial" w:cs="Arial"/>
          <w:bCs/>
          <w:color w:val="000000" w:themeColor="text1"/>
          <w:sz w:val="22"/>
          <w:szCs w:val="22"/>
        </w:rPr>
        <w:t xml:space="preserve">The Audit Team agrees with the trial court and CA ruling that AFPRSBS, considering the nature of the business it is engaged in, the Court expects more from it than the mere superficial examination of the title and the documents presented to it by the brokerage corporation.  Based on the rationalization of the trial court, AFPRSBS cannot feign ignorance of the non-compliance by the brokerage corporation of its </w:t>
      </w:r>
      <w:proofErr w:type="spellStart"/>
      <w:r w:rsidRPr="00345AA4">
        <w:rPr>
          <w:rFonts w:ascii="Arial" w:hAnsi="Arial" w:cs="Arial"/>
          <w:bCs/>
          <w:color w:val="000000" w:themeColor="text1"/>
          <w:sz w:val="22"/>
          <w:szCs w:val="22"/>
        </w:rPr>
        <w:t>prestations</w:t>
      </w:r>
      <w:proofErr w:type="spellEnd"/>
      <w:r w:rsidRPr="00345AA4">
        <w:rPr>
          <w:rFonts w:ascii="Arial" w:hAnsi="Arial" w:cs="Arial"/>
          <w:bCs/>
          <w:color w:val="000000" w:themeColor="text1"/>
          <w:sz w:val="22"/>
          <w:szCs w:val="22"/>
        </w:rPr>
        <w:t xml:space="preserve"> in the MOA with the developer because it is precisely the same undertaking embodied in the deed of assignment executed between AFPRSBS’ subsidiary realty corporation and the brokerage corporation on September 7, 1999.  AFPRSBS, therefore, knew that the brokerage corporation did not comply with its undertaking with the developer. AFPRSBS must have also been aware that these </w:t>
      </w:r>
      <w:proofErr w:type="spellStart"/>
      <w:r w:rsidRPr="00345AA4">
        <w:rPr>
          <w:rFonts w:ascii="Arial" w:hAnsi="Arial" w:cs="Arial"/>
          <w:bCs/>
          <w:color w:val="000000" w:themeColor="text1"/>
          <w:sz w:val="22"/>
          <w:szCs w:val="22"/>
        </w:rPr>
        <w:t>prestations</w:t>
      </w:r>
      <w:proofErr w:type="spellEnd"/>
      <w:r w:rsidRPr="00345AA4">
        <w:rPr>
          <w:rFonts w:ascii="Arial" w:hAnsi="Arial" w:cs="Arial"/>
          <w:bCs/>
          <w:color w:val="000000" w:themeColor="text1"/>
          <w:sz w:val="22"/>
          <w:szCs w:val="22"/>
        </w:rPr>
        <w:t xml:space="preserve"> form part of the purchase price of developer’s property and that the same were not complied with.  With the exercise of due diligence, AFPRSBS could have ascertained the status of the property and that the same remained in the possession of the developer.  While based on the CA findings, the exercise of due diligence on the part of AFPRSBS is belied by the fact that it never even inquired how </w:t>
      </w:r>
      <w:r w:rsidR="00C7315A" w:rsidRPr="00345AA4">
        <w:rPr>
          <w:rFonts w:ascii="Arial" w:hAnsi="Arial" w:cs="Arial"/>
          <w:bCs/>
          <w:color w:val="000000" w:themeColor="text1"/>
          <w:sz w:val="22"/>
          <w:szCs w:val="22"/>
        </w:rPr>
        <w:t>MDC</w:t>
      </w:r>
      <w:r w:rsidRPr="00345AA4">
        <w:rPr>
          <w:rFonts w:ascii="Arial" w:hAnsi="Arial" w:cs="Arial"/>
          <w:bCs/>
          <w:color w:val="000000" w:themeColor="text1"/>
          <w:sz w:val="22"/>
          <w:szCs w:val="22"/>
        </w:rPr>
        <w:t xml:space="preserve">, with the capitalization of only P150 million and without any source of funds in its </w:t>
      </w:r>
      <w:r w:rsidR="007409BE" w:rsidRPr="00345AA4">
        <w:rPr>
          <w:rFonts w:ascii="Arial" w:hAnsi="Arial" w:cs="Arial"/>
          <w:bCs/>
          <w:color w:val="000000" w:themeColor="text1"/>
          <w:sz w:val="22"/>
          <w:szCs w:val="22"/>
        </w:rPr>
        <w:t>FS</w:t>
      </w:r>
      <w:r w:rsidRPr="00345AA4">
        <w:rPr>
          <w:rFonts w:ascii="Arial" w:hAnsi="Arial" w:cs="Arial"/>
          <w:bCs/>
          <w:color w:val="000000" w:themeColor="text1"/>
          <w:sz w:val="22"/>
          <w:szCs w:val="22"/>
        </w:rPr>
        <w:t xml:space="preserve"> could afford to pay the developer the large amount of the purchase price covering the subject property.  Hence, failure to undertake precautionary measures of verification beyond the four corners of the Torrens title considering that the subject property is in adverse possession is tantamount to lack of exercise of due diligence.</w:t>
      </w:r>
    </w:p>
    <w:p w14:paraId="77424F7B" w14:textId="77777777" w:rsidR="000C3538" w:rsidRPr="00345AA4" w:rsidRDefault="000C3538" w:rsidP="000C3538">
      <w:pPr>
        <w:pStyle w:val="ListParagraph"/>
        <w:tabs>
          <w:tab w:val="left" w:pos="0"/>
        </w:tabs>
        <w:ind w:left="0" w:right="29"/>
        <w:jc w:val="both"/>
        <w:rPr>
          <w:rFonts w:ascii="Arial" w:hAnsi="Arial" w:cs="Arial"/>
          <w:color w:val="000000" w:themeColor="text1"/>
          <w:sz w:val="22"/>
          <w:szCs w:val="22"/>
        </w:rPr>
      </w:pPr>
    </w:p>
    <w:p w14:paraId="45F009D5" w14:textId="2CB3AEC3" w:rsidR="000C3538" w:rsidRPr="00345AA4" w:rsidRDefault="000C3538" w:rsidP="000C3538">
      <w:pPr>
        <w:pStyle w:val="ListParagraph"/>
        <w:numPr>
          <w:ilvl w:val="1"/>
          <w:numId w:val="1"/>
        </w:numPr>
        <w:tabs>
          <w:tab w:val="left" w:pos="990"/>
        </w:tabs>
        <w:ind w:left="900" w:hanging="540"/>
        <w:contextualSpacing/>
        <w:jc w:val="both"/>
        <w:rPr>
          <w:rFonts w:ascii="Arial" w:hAnsi="Arial" w:cs="Arial"/>
          <w:bCs/>
          <w:color w:val="000000" w:themeColor="text1"/>
          <w:sz w:val="22"/>
          <w:szCs w:val="22"/>
        </w:rPr>
      </w:pPr>
      <w:r w:rsidRPr="00345AA4">
        <w:rPr>
          <w:rFonts w:ascii="Arial" w:hAnsi="Arial" w:cs="Arial"/>
          <w:bCs/>
          <w:color w:val="000000" w:themeColor="text1"/>
          <w:sz w:val="22"/>
          <w:szCs w:val="22"/>
        </w:rPr>
        <w:t xml:space="preserve">Based on the foregoing verification of appraisal reports and other relevant documents, the System </w:t>
      </w:r>
      <w:r w:rsidR="007409BE" w:rsidRPr="00345AA4">
        <w:rPr>
          <w:rFonts w:ascii="Arial" w:hAnsi="Arial" w:cs="Arial"/>
          <w:bCs/>
          <w:color w:val="000000" w:themeColor="text1"/>
          <w:sz w:val="22"/>
          <w:szCs w:val="22"/>
        </w:rPr>
        <w:t xml:space="preserve">has </w:t>
      </w:r>
      <w:r w:rsidRPr="00345AA4">
        <w:rPr>
          <w:rFonts w:ascii="Arial" w:hAnsi="Arial" w:cs="Arial"/>
          <w:bCs/>
          <w:color w:val="000000" w:themeColor="text1"/>
          <w:sz w:val="22"/>
          <w:szCs w:val="22"/>
        </w:rPr>
        <w:t xml:space="preserve">given up P1.479 billion in exchange for the subject property amounting to P1.195 billion by acquiring all the 150 million shares of </w:t>
      </w:r>
      <w:r w:rsidR="003A5021" w:rsidRPr="00345AA4">
        <w:rPr>
          <w:rFonts w:ascii="Arial" w:hAnsi="Arial" w:cs="Arial"/>
          <w:bCs/>
          <w:color w:val="000000" w:themeColor="text1"/>
          <w:sz w:val="22"/>
          <w:szCs w:val="22"/>
        </w:rPr>
        <w:t>MDC</w:t>
      </w:r>
      <w:r w:rsidRPr="00345AA4">
        <w:rPr>
          <w:rFonts w:ascii="Arial" w:hAnsi="Arial" w:cs="Arial"/>
          <w:bCs/>
          <w:color w:val="000000" w:themeColor="text1"/>
          <w:sz w:val="22"/>
          <w:szCs w:val="22"/>
        </w:rPr>
        <w:t xml:space="preserve">.  A comparison and analysis of the foregoing amounts ceded by both parties showed a difference amounting to P284.237 million </w:t>
      </w:r>
      <w:r w:rsidR="007409BE" w:rsidRPr="00345AA4">
        <w:rPr>
          <w:rFonts w:ascii="Arial" w:hAnsi="Arial" w:cs="Arial"/>
          <w:bCs/>
          <w:color w:val="000000" w:themeColor="text1"/>
          <w:sz w:val="22"/>
          <w:szCs w:val="22"/>
        </w:rPr>
        <w:t>ex</w:t>
      </w:r>
      <w:r w:rsidRPr="00345AA4">
        <w:rPr>
          <w:rFonts w:ascii="Arial" w:hAnsi="Arial" w:cs="Arial"/>
          <w:bCs/>
          <w:color w:val="000000" w:themeColor="text1"/>
          <w:sz w:val="22"/>
          <w:szCs w:val="22"/>
        </w:rPr>
        <w:t>cluding the cost of removal of illegal squatters due to non-fulfillment of the obligations of the brokerage corporation, thus disadvantageous on the part of the System.</w:t>
      </w:r>
    </w:p>
    <w:p w14:paraId="24B61CCD" w14:textId="77777777" w:rsidR="000C3538" w:rsidRPr="00345AA4" w:rsidRDefault="000C3538" w:rsidP="000C3538">
      <w:pPr>
        <w:pStyle w:val="ListParagraph"/>
        <w:tabs>
          <w:tab w:val="left" w:pos="990"/>
        </w:tabs>
        <w:ind w:left="900"/>
        <w:contextualSpacing/>
        <w:jc w:val="both"/>
        <w:rPr>
          <w:rFonts w:ascii="Arial" w:hAnsi="Arial" w:cs="Arial"/>
          <w:bCs/>
          <w:color w:val="000000" w:themeColor="text1"/>
          <w:sz w:val="22"/>
          <w:szCs w:val="22"/>
        </w:rPr>
      </w:pPr>
    </w:p>
    <w:p w14:paraId="797BB7F1" w14:textId="77777777" w:rsidR="000C3538" w:rsidRPr="00345AA4" w:rsidRDefault="000C3538" w:rsidP="000C3538">
      <w:pPr>
        <w:pStyle w:val="ListParagraph"/>
        <w:numPr>
          <w:ilvl w:val="1"/>
          <w:numId w:val="1"/>
        </w:numPr>
        <w:tabs>
          <w:tab w:val="left" w:pos="990"/>
        </w:tabs>
        <w:ind w:left="900" w:hanging="540"/>
        <w:contextualSpacing/>
        <w:jc w:val="both"/>
        <w:rPr>
          <w:rFonts w:ascii="Arial" w:hAnsi="Arial" w:cs="Arial"/>
          <w:b/>
          <w:color w:val="000000" w:themeColor="text1"/>
          <w:sz w:val="22"/>
          <w:szCs w:val="22"/>
        </w:rPr>
      </w:pPr>
      <w:r w:rsidRPr="00345AA4">
        <w:rPr>
          <w:rFonts w:ascii="Arial" w:hAnsi="Arial" w:cs="Arial"/>
          <w:b/>
          <w:color w:val="000000" w:themeColor="text1"/>
          <w:sz w:val="22"/>
          <w:szCs w:val="22"/>
        </w:rPr>
        <w:t>We recommended that Management:</w:t>
      </w:r>
    </w:p>
    <w:p w14:paraId="1A4C7FBB" w14:textId="77777777" w:rsidR="000C3538" w:rsidRPr="00345AA4" w:rsidRDefault="000C3538" w:rsidP="000C3538">
      <w:pPr>
        <w:pStyle w:val="ListParagraph"/>
        <w:contextualSpacing/>
        <w:jc w:val="both"/>
        <w:rPr>
          <w:rFonts w:ascii="Arial" w:hAnsi="Arial" w:cs="Arial"/>
          <w:b/>
          <w:color w:val="000000" w:themeColor="text1"/>
          <w:sz w:val="22"/>
          <w:szCs w:val="22"/>
        </w:rPr>
      </w:pPr>
    </w:p>
    <w:p w14:paraId="03CCE10F" w14:textId="77777777" w:rsidR="000C3538" w:rsidRPr="00345AA4" w:rsidRDefault="000C3538" w:rsidP="000C3538">
      <w:pPr>
        <w:pStyle w:val="ListParagraph"/>
        <w:numPr>
          <w:ilvl w:val="0"/>
          <w:numId w:val="6"/>
        </w:numPr>
        <w:ind w:left="1276" w:hanging="338"/>
        <w:contextualSpacing/>
        <w:jc w:val="both"/>
        <w:rPr>
          <w:rFonts w:ascii="Arial" w:hAnsi="Arial" w:cs="Arial"/>
          <w:b/>
          <w:color w:val="000000" w:themeColor="text1"/>
          <w:sz w:val="22"/>
          <w:szCs w:val="22"/>
        </w:rPr>
      </w:pPr>
      <w:r w:rsidRPr="00345AA4">
        <w:rPr>
          <w:rFonts w:ascii="Arial" w:hAnsi="Arial" w:cs="Arial"/>
          <w:b/>
          <w:color w:val="000000" w:themeColor="text1"/>
          <w:sz w:val="22"/>
          <w:szCs w:val="22"/>
        </w:rPr>
        <w:t xml:space="preserve">Submit all BOT’s directives, decisions, minutes of meeting and preliminaries to establish the true intention of the swap; </w:t>
      </w:r>
    </w:p>
    <w:p w14:paraId="65E2B1CC" w14:textId="77777777" w:rsidR="000C3538" w:rsidRPr="00345AA4" w:rsidRDefault="000C3538" w:rsidP="000C3538">
      <w:pPr>
        <w:pStyle w:val="ListParagraph"/>
        <w:contextualSpacing/>
        <w:jc w:val="both"/>
        <w:rPr>
          <w:rFonts w:ascii="Arial" w:hAnsi="Arial" w:cs="Arial"/>
          <w:b/>
          <w:color w:val="000000" w:themeColor="text1"/>
          <w:sz w:val="22"/>
          <w:szCs w:val="22"/>
        </w:rPr>
      </w:pPr>
    </w:p>
    <w:p w14:paraId="44CBC589" w14:textId="77777777" w:rsidR="000C3538" w:rsidRPr="00345AA4" w:rsidRDefault="000C3538" w:rsidP="000C3538">
      <w:pPr>
        <w:pStyle w:val="ListParagraph"/>
        <w:numPr>
          <w:ilvl w:val="0"/>
          <w:numId w:val="6"/>
        </w:numPr>
        <w:ind w:left="1276" w:hanging="338"/>
        <w:contextualSpacing/>
        <w:jc w:val="both"/>
        <w:rPr>
          <w:rFonts w:ascii="Arial" w:hAnsi="Arial" w:cs="Arial"/>
          <w:b/>
          <w:color w:val="000000" w:themeColor="text1"/>
          <w:sz w:val="22"/>
          <w:szCs w:val="22"/>
        </w:rPr>
      </w:pPr>
      <w:r w:rsidRPr="00345AA4">
        <w:rPr>
          <w:rFonts w:ascii="Arial" w:hAnsi="Arial" w:cs="Arial"/>
          <w:b/>
          <w:color w:val="000000" w:themeColor="text1"/>
          <w:sz w:val="22"/>
          <w:szCs w:val="22"/>
        </w:rPr>
        <w:t>Make the officers directly and indirectly involved in the corporate</w:t>
      </w:r>
      <w:r w:rsidR="00617CE2" w:rsidRPr="00345AA4">
        <w:rPr>
          <w:rFonts w:ascii="Arial" w:hAnsi="Arial" w:cs="Arial"/>
          <w:b/>
          <w:color w:val="000000" w:themeColor="text1"/>
          <w:sz w:val="22"/>
          <w:szCs w:val="22"/>
        </w:rPr>
        <w:t>s</w:t>
      </w:r>
      <w:r w:rsidRPr="00345AA4">
        <w:rPr>
          <w:rFonts w:ascii="Arial" w:hAnsi="Arial" w:cs="Arial"/>
          <w:b/>
          <w:color w:val="000000" w:themeColor="text1"/>
          <w:sz w:val="22"/>
          <w:szCs w:val="22"/>
        </w:rPr>
        <w:t xml:space="preserve"> swap liable for the loss of P284.237 million; and</w:t>
      </w:r>
    </w:p>
    <w:p w14:paraId="5865FE39" w14:textId="77777777" w:rsidR="000C3538" w:rsidRPr="00345AA4" w:rsidRDefault="000C3538" w:rsidP="000C3538">
      <w:pPr>
        <w:pStyle w:val="ListParagraph"/>
        <w:contextualSpacing/>
        <w:jc w:val="both"/>
        <w:rPr>
          <w:rFonts w:ascii="Arial" w:hAnsi="Arial" w:cs="Arial"/>
          <w:b/>
          <w:color w:val="000000" w:themeColor="text1"/>
          <w:sz w:val="22"/>
          <w:szCs w:val="22"/>
        </w:rPr>
      </w:pPr>
    </w:p>
    <w:p w14:paraId="5BD6A84C" w14:textId="77777777" w:rsidR="000C3538" w:rsidRPr="00345AA4" w:rsidRDefault="000C3538" w:rsidP="000C3538">
      <w:pPr>
        <w:pStyle w:val="ListParagraph"/>
        <w:numPr>
          <w:ilvl w:val="0"/>
          <w:numId w:val="6"/>
        </w:numPr>
        <w:ind w:left="1276" w:hanging="338"/>
        <w:contextualSpacing/>
        <w:jc w:val="both"/>
        <w:rPr>
          <w:rFonts w:ascii="Arial" w:hAnsi="Arial" w:cs="Arial"/>
          <w:b/>
          <w:color w:val="000000" w:themeColor="text1"/>
          <w:sz w:val="22"/>
          <w:szCs w:val="22"/>
        </w:rPr>
      </w:pPr>
      <w:r w:rsidRPr="00345AA4">
        <w:rPr>
          <w:rFonts w:ascii="Arial" w:hAnsi="Arial" w:cs="Arial"/>
          <w:b/>
          <w:color w:val="000000" w:themeColor="text1"/>
          <w:sz w:val="22"/>
          <w:szCs w:val="22"/>
        </w:rPr>
        <w:t xml:space="preserve">Prepare the necessary accounting of the sales price of the 120 condominium units and the interest from 1999 to present to expedite the execution of judgment in case it becomes final and executory. </w:t>
      </w:r>
    </w:p>
    <w:p w14:paraId="55035269" w14:textId="77777777" w:rsidR="000C3538" w:rsidRPr="00345AA4" w:rsidRDefault="000C3538" w:rsidP="000C3538">
      <w:pPr>
        <w:pStyle w:val="ListParagraph"/>
        <w:ind w:left="1276"/>
        <w:contextualSpacing/>
        <w:jc w:val="both"/>
        <w:rPr>
          <w:rFonts w:ascii="Arial" w:hAnsi="Arial" w:cs="Arial"/>
          <w:b/>
          <w:color w:val="000000" w:themeColor="text1"/>
          <w:sz w:val="22"/>
          <w:szCs w:val="22"/>
        </w:rPr>
      </w:pPr>
    </w:p>
    <w:p w14:paraId="7B7D6813" w14:textId="47CDCD9A" w:rsidR="000C3538" w:rsidRPr="00345AA4" w:rsidRDefault="000C3538" w:rsidP="000A2731">
      <w:pPr>
        <w:pStyle w:val="ListParagraph"/>
        <w:numPr>
          <w:ilvl w:val="1"/>
          <w:numId w:val="1"/>
        </w:numPr>
        <w:tabs>
          <w:tab w:val="left" w:pos="990"/>
        </w:tabs>
        <w:ind w:left="900" w:hanging="540"/>
        <w:contextualSpacing/>
        <w:jc w:val="both"/>
        <w:rPr>
          <w:rFonts w:ascii="Arial" w:eastAsia="Calibri" w:hAnsi="Arial" w:cs="Arial"/>
          <w:color w:val="000000" w:themeColor="text1"/>
          <w:sz w:val="22"/>
          <w:szCs w:val="22"/>
          <w:lang w:val="en-PH"/>
        </w:rPr>
      </w:pPr>
      <w:r w:rsidRPr="00345AA4">
        <w:rPr>
          <w:rFonts w:ascii="Arial" w:eastAsia="Calibri" w:hAnsi="Arial" w:cs="Arial"/>
          <w:color w:val="000000" w:themeColor="text1"/>
          <w:sz w:val="22"/>
          <w:szCs w:val="22"/>
          <w:lang w:val="en-PH"/>
        </w:rPr>
        <w:t xml:space="preserve">The Management commented </w:t>
      </w:r>
      <w:r w:rsidR="004C68B4" w:rsidRPr="00345AA4">
        <w:rPr>
          <w:rFonts w:ascii="Arial" w:eastAsia="Calibri" w:hAnsi="Arial" w:cs="Arial"/>
          <w:color w:val="000000" w:themeColor="text1"/>
          <w:sz w:val="22"/>
          <w:szCs w:val="22"/>
          <w:lang w:val="en-PH"/>
        </w:rPr>
        <w:t xml:space="preserve">that at this point in time, the true intention of the previous Management </w:t>
      </w:r>
      <w:r w:rsidR="0001162A" w:rsidRPr="00345AA4">
        <w:rPr>
          <w:rFonts w:ascii="Arial" w:eastAsia="Calibri" w:hAnsi="Arial" w:cs="Arial"/>
          <w:color w:val="000000" w:themeColor="text1"/>
          <w:sz w:val="22"/>
          <w:szCs w:val="22"/>
          <w:lang w:val="en-PH"/>
        </w:rPr>
        <w:t xml:space="preserve">about </w:t>
      </w:r>
      <w:r w:rsidR="004C68B4" w:rsidRPr="00345AA4">
        <w:rPr>
          <w:rFonts w:ascii="Arial" w:eastAsia="Calibri" w:hAnsi="Arial" w:cs="Arial"/>
          <w:color w:val="000000" w:themeColor="text1"/>
          <w:sz w:val="22"/>
          <w:szCs w:val="22"/>
          <w:lang w:val="en-PH"/>
        </w:rPr>
        <w:t xml:space="preserve">the </w:t>
      </w:r>
      <w:r w:rsidR="00F34A6A" w:rsidRPr="00345AA4">
        <w:rPr>
          <w:rFonts w:ascii="Arial" w:eastAsia="Calibri" w:hAnsi="Arial" w:cs="Arial"/>
          <w:color w:val="000000" w:themeColor="text1"/>
          <w:sz w:val="22"/>
          <w:szCs w:val="22"/>
          <w:lang w:val="en-PH"/>
        </w:rPr>
        <w:t>c</w:t>
      </w:r>
      <w:r w:rsidR="004C68B4" w:rsidRPr="00345AA4">
        <w:rPr>
          <w:rFonts w:ascii="Arial" w:eastAsia="Calibri" w:hAnsi="Arial" w:cs="Arial"/>
          <w:color w:val="000000" w:themeColor="text1"/>
          <w:sz w:val="22"/>
          <w:szCs w:val="22"/>
          <w:lang w:val="en-PH"/>
        </w:rPr>
        <w:t xml:space="preserve">orporate </w:t>
      </w:r>
      <w:r w:rsidR="00F34A6A" w:rsidRPr="00345AA4">
        <w:rPr>
          <w:rFonts w:ascii="Arial" w:eastAsia="Calibri" w:hAnsi="Arial" w:cs="Arial"/>
          <w:color w:val="000000" w:themeColor="text1"/>
          <w:sz w:val="22"/>
          <w:szCs w:val="22"/>
          <w:lang w:val="en-PH"/>
        </w:rPr>
        <w:t>s</w:t>
      </w:r>
      <w:r w:rsidR="004C68B4" w:rsidRPr="00345AA4">
        <w:rPr>
          <w:rFonts w:ascii="Arial" w:eastAsia="Calibri" w:hAnsi="Arial" w:cs="Arial"/>
          <w:color w:val="000000" w:themeColor="text1"/>
          <w:sz w:val="22"/>
          <w:szCs w:val="22"/>
          <w:lang w:val="en-PH"/>
        </w:rPr>
        <w:t xml:space="preserve">wap </w:t>
      </w:r>
      <w:r w:rsidR="0001162A" w:rsidRPr="00345AA4">
        <w:rPr>
          <w:rFonts w:ascii="Arial" w:eastAsia="Calibri" w:hAnsi="Arial" w:cs="Arial"/>
          <w:color w:val="000000" w:themeColor="text1"/>
          <w:sz w:val="22"/>
          <w:szCs w:val="22"/>
          <w:lang w:val="en-PH"/>
        </w:rPr>
        <w:t>they entered into by virtue of</w:t>
      </w:r>
      <w:r w:rsidR="004C68B4" w:rsidRPr="00345AA4">
        <w:rPr>
          <w:rFonts w:ascii="Arial" w:eastAsia="Calibri" w:hAnsi="Arial" w:cs="Arial"/>
          <w:color w:val="000000" w:themeColor="text1"/>
          <w:sz w:val="22"/>
          <w:szCs w:val="22"/>
          <w:lang w:val="en-PH"/>
        </w:rPr>
        <w:t xml:space="preserve"> AFPRSBS Board of Trustees Approval </w:t>
      </w:r>
      <w:r w:rsidR="0001162A" w:rsidRPr="00345AA4">
        <w:rPr>
          <w:rFonts w:ascii="Arial" w:eastAsia="Calibri" w:hAnsi="Arial" w:cs="Arial"/>
          <w:color w:val="000000" w:themeColor="text1"/>
          <w:sz w:val="22"/>
          <w:szCs w:val="22"/>
          <w:lang w:val="en-PH"/>
        </w:rPr>
        <w:t>dated</w:t>
      </w:r>
      <w:r w:rsidR="004C68B4" w:rsidRPr="00345AA4">
        <w:rPr>
          <w:rFonts w:ascii="Arial" w:eastAsia="Calibri" w:hAnsi="Arial" w:cs="Arial"/>
          <w:color w:val="000000" w:themeColor="text1"/>
          <w:sz w:val="22"/>
          <w:szCs w:val="22"/>
          <w:lang w:val="en-PH"/>
        </w:rPr>
        <w:t xml:space="preserve"> January</w:t>
      </w:r>
      <w:r w:rsidR="0001162A" w:rsidRPr="00345AA4">
        <w:rPr>
          <w:rFonts w:ascii="Arial" w:eastAsia="Calibri" w:hAnsi="Arial" w:cs="Arial"/>
          <w:color w:val="000000" w:themeColor="text1"/>
          <w:sz w:val="22"/>
          <w:szCs w:val="22"/>
          <w:lang w:val="en-PH"/>
        </w:rPr>
        <w:t xml:space="preserve"> 29,</w:t>
      </w:r>
      <w:r w:rsidR="004C68B4" w:rsidRPr="00345AA4">
        <w:rPr>
          <w:rFonts w:ascii="Arial" w:eastAsia="Calibri" w:hAnsi="Arial" w:cs="Arial"/>
          <w:color w:val="000000" w:themeColor="text1"/>
          <w:sz w:val="22"/>
          <w:szCs w:val="22"/>
          <w:lang w:val="en-PH"/>
        </w:rPr>
        <w:t xml:space="preserve"> 1998</w:t>
      </w:r>
      <w:r w:rsidR="0001162A" w:rsidRPr="00345AA4">
        <w:rPr>
          <w:rFonts w:ascii="Arial" w:eastAsia="Calibri" w:hAnsi="Arial" w:cs="Arial"/>
          <w:color w:val="000000" w:themeColor="text1"/>
          <w:sz w:val="22"/>
          <w:szCs w:val="22"/>
          <w:lang w:val="en-PH"/>
        </w:rPr>
        <w:t xml:space="preserve"> is still undetermined</w:t>
      </w:r>
      <w:r w:rsidR="004C68B4" w:rsidRPr="00345AA4">
        <w:rPr>
          <w:rFonts w:ascii="Arial" w:eastAsia="Calibri" w:hAnsi="Arial" w:cs="Arial"/>
          <w:color w:val="000000" w:themeColor="text1"/>
          <w:sz w:val="22"/>
          <w:szCs w:val="22"/>
          <w:lang w:val="en-PH"/>
        </w:rPr>
        <w:t>.</w:t>
      </w:r>
      <w:r w:rsidR="0001162A" w:rsidRPr="00345AA4">
        <w:rPr>
          <w:rFonts w:ascii="Arial" w:eastAsia="Calibri" w:hAnsi="Arial" w:cs="Arial"/>
          <w:color w:val="000000" w:themeColor="text1"/>
          <w:sz w:val="22"/>
          <w:szCs w:val="22"/>
          <w:lang w:val="en-PH"/>
        </w:rPr>
        <w:t xml:space="preserve"> H</w:t>
      </w:r>
      <w:r w:rsidR="004C68B4" w:rsidRPr="00345AA4">
        <w:rPr>
          <w:rFonts w:ascii="Arial" w:eastAsia="Calibri" w:hAnsi="Arial" w:cs="Arial"/>
          <w:color w:val="000000" w:themeColor="text1"/>
          <w:sz w:val="22"/>
          <w:szCs w:val="22"/>
          <w:lang w:val="en-PH"/>
        </w:rPr>
        <w:t xml:space="preserve">owever, </w:t>
      </w:r>
      <w:r w:rsidR="0001162A" w:rsidRPr="00345AA4">
        <w:rPr>
          <w:rFonts w:ascii="Arial" w:eastAsia="Calibri" w:hAnsi="Arial" w:cs="Arial"/>
          <w:color w:val="000000" w:themeColor="text1"/>
          <w:sz w:val="22"/>
          <w:szCs w:val="22"/>
          <w:lang w:val="en-PH"/>
        </w:rPr>
        <w:t>they submitted</w:t>
      </w:r>
      <w:r w:rsidR="004C68B4" w:rsidRPr="00345AA4">
        <w:rPr>
          <w:rFonts w:ascii="Arial" w:eastAsia="Calibri" w:hAnsi="Arial" w:cs="Arial"/>
          <w:color w:val="000000" w:themeColor="text1"/>
          <w:sz w:val="22"/>
          <w:szCs w:val="22"/>
          <w:lang w:val="en-PH"/>
        </w:rPr>
        <w:t xml:space="preserve"> </w:t>
      </w:r>
      <w:r w:rsidR="0001162A" w:rsidRPr="00345AA4">
        <w:rPr>
          <w:rFonts w:ascii="Arial" w:eastAsia="Calibri" w:hAnsi="Arial" w:cs="Arial"/>
          <w:color w:val="000000" w:themeColor="text1"/>
          <w:sz w:val="22"/>
          <w:szCs w:val="22"/>
          <w:lang w:val="en-PH"/>
        </w:rPr>
        <w:t xml:space="preserve">some </w:t>
      </w:r>
      <w:r w:rsidR="004C68B4" w:rsidRPr="00345AA4">
        <w:rPr>
          <w:rFonts w:ascii="Arial" w:eastAsia="Calibri" w:hAnsi="Arial" w:cs="Arial"/>
          <w:color w:val="000000" w:themeColor="text1"/>
          <w:sz w:val="22"/>
          <w:szCs w:val="22"/>
          <w:lang w:val="en-PH"/>
        </w:rPr>
        <w:t xml:space="preserve">documents </w:t>
      </w:r>
      <w:r w:rsidR="0001162A" w:rsidRPr="00345AA4">
        <w:rPr>
          <w:rFonts w:ascii="Arial" w:eastAsia="Calibri" w:hAnsi="Arial" w:cs="Arial"/>
          <w:color w:val="000000" w:themeColor="text1"/>
          <w:sz w:val="22"/>
          <w:szCs w:val="22"/>
          <w:lang w:val="en-PH"/>
        </w:rPr>
        <w:t>relative to the Corporate Swap</w:t>
      </w:r>
      <w:r w:rsidR="004C68B4" w:rsidRPr="00345AA4">
        <w:rPr>
          <w:rFonts w:ascii="Arial" w:eastAsia="Calibri" w:hAnsi="Arial" w:cs="Arial"/>
          <w:color w:val="000000" w:themeColor="text1"/>
          <w:sz w:val="22"/>
          <w:szCs w:val="22"/>
          <w:lang w:val="en-PH"/>
        </w:rPr>
        <w:t>.</w:t>
      </w:r>
      <w:r w:rsidR="0001162A" w:rsidRPr="00345AA4">
        <w:rPr>
          <w:rFonts w:ascii="Arial" w:eastAsia="Calibri" w:hAnsi="Arial" w:cs="Arial"/>
          <w:color w:val="000000" w:themeColor="text1"/>
          <w:sz w:val="22"/>
          <w:szCs w:val="22"/>
          <w:lang w:val="en-PH"/>
        </w:rPr>
        <w:t xml:space="preserve">  And as part of their concurrence to the COA recommendations, they </w:t>
      </w:r>
      <w:r w:rsidR="00F34A6A" w:rsidRPr="00345AA4">
        <w:rPr>
          <w:rFonts w:ascii="Arial" w:eastAsia="Calibri" w:hAnsi="Arial" w:cs="Arial"/>
          <w:color w:val="000000" w:themeColor="text1"/>
          <w:sz w:val="22"/>
          <w:szCs w:val="22"/>
          <w:lang w:val="en-PH"/>
        </w:rPr>
        <w:t>committed that they</w:t>
      </w:r>
      <w:r w:rsidR="0001162A" w:rsidRPr="00345AA4">
        <w:rPr>
          <w:rFonts w:ascii="Arial" w:eastAsia="Calibri" w:hAnsi="Arial" w:cs="Arial"/>
          <w:color w:val="000000" w:themeColor="text1"/>
          <w:sz w:val="22"/>
          <w:szCs w:val="22"/>
          <w:lang w:val="en-PH"/>
        </w:rPr>
        <w:t xml:space="preserve"> will convene an appropriate </w:t>
      </w:r>
      <w:r w:rsidR="0001162A" w:rsidRPr="00345AA4">
        <w:rPr>
          <w:rFonts w:ascii="Arial" w:eastAsia="Calibri" w:hAnsi="Arial" w:cs="Arial"/>
          <w:color w:val="000000" w:themeColor="text1"/>
          <w:sz w:val="22"/>
          <w:szCs w:val="22"/>
          <w:lang w:val="en-PH"/>
        </w:rPr>
        <w:lastRenderedPageBreak/>
        <w:t xml:space="preserve">committee to </w:t>
      </w:r>
      <w:r w:rsidR="004B4FEC" w:rsidRPr="00345AA4">
        <w:rPr>
          <w:rFonts w:ascii="Arial" w:eastAsia="Calibri" w:hAnsi="Arial" w:cs="Arial"/>
          <w:color w:val="000000" w:themeColor="text1"/>
          <w:sz w:val="22"/>
          <w:szCs w:val="22"/>
          <w:lang w:val="en-PH"/>
        </w:rPr>
        <w:t xml:space="preserve">conduct </w:t>
      </w:r>
      <w:r w:rsidR="0001162A" w:rsidRPr="00345AA4">
        <w:rPr>
          <w:rFonts w:ascii="Arial" w:eastAsia="Calibri" w:hAnsi="Arial" w:cs="Arial"/>
          <w:color w:val="000000" w:themeColor="text1"/>
          <w:sz w:val="22"/>
          <w:szCs w:val="22"/>
          <w:lang w:val="en-PH"/>
        </w:rPr>
        <w:t>investigat</w:t>
      </w:r>
      <w:r w:rsidR="004B4FEC" w:rsidRPr="00345AA4">
        <w:rPr>
          <w:rFonts w:ascii="Arial" w:eastAsia="Calibri" w:hAnsi="Arial" w:cs="Arial"/>
          <w:color w:val="000000" w:themeColor="text1"/>
          <w:sz w:val="22"/>
          <w:szCs w:val="22"/>
          <w:lang w:val="en-PH"/>
        </w:rPr>
        <w:t>ions</w:t>
      </w:r>
      <w:r w:rsidR="0001162A" w:rsidRPr="00345AA4">
        <w:rPr>
          <w:rFonts w:ascii="Arial" w:eastAsia="Calibri" w:hAnsi="Arial" w:cs="Arial"/>
          <w:color w:val="000000" w:themeColor="text1"/>
          <w:sz w:val="22"/>
          <w:szCs w:val="22"/>
          <w:lang w:val="en-PH"/>
        </w:rPr>
        <w:t xml:space="preserve"> </w:t>
      </w:r>
      <w:r w:rsidR="004B4FEC" w:rsidRPr="00345AA4">
        <w:rPr>
          <w:rFonts w:ascii="Arial" w:eastAsia="Calibri" w:hAnsi="Arial" w:cs="Arial"/>
          <w:color w:val="000000" w:themeColor="text1"/>
          <w:sz w:val="22"/>
          <w:szCs w:val="22"/>
          <w:lang w:val="en-PH"/>
        </w:rPr>
        <w:t xml:space="preserve">against </w:t>
      </w:r>
      <w:r w:rsidR="0001162A" w:rsidRPr="00345AA4">
        <w:rPr>
          <w:rFonts w:ascii="Arial" w:eastAsia="Calibri" w:hAnsi="Arial" w:cs="Arial"/>
          <w:color w:val="000000" w:themeColor="text1"/>
          <w:sz w:val="22"/>
          <w:szCs w:val="22"/>
          <w:lang w:val="en-PH"/>
        </w:rPr>
        <w:t xml:space="preserve">the </w:t>
      </w:r>
      <w:r w:rsidR="004B4FEC" w:rsidRPr="00345AA4">
        <w:rPr>
          <w:rFonts w:ascii="Arial" w:eastAsia="Calibri" w:hAnsi="Arial" w:cs="Arial"/>
          <w:color w:val="000000" w:themeColor="text1"/>
          <w:sz w:val="22"/>
          <w:szCs w:val="22"/>
          <w:lang w:val="en-PH"/>
        </w:rPr>
        <w:t xml:space="preserve">officers directly or indirectly </w:t>
      </w:r>
      <w:r w:rsidR="0001162A" w:rsidRPr="00345AA4">
        <w:rPr>
          <w:rFonts w:ascii="Arial" w:eastAsia="Calibri" w:hAnsi="Arial" w:cs="Arial"/>
          <w:color w:val="000000" w:themeColor="text1"/>
          <w:sz w:val="22"/>
          <w:szCs w:val="22"/>
          <w:lang w:val="en-PH"/>
        </w:rPr>
        <w:t xml:space="preserve">involved in the </w:t>
      </w:r>
      <w:r w:rsidR="00F34A6A" w:rsidRPr="00345AA4">
        <w:rPr>
          <w:rFonts w:ascii="Arial" w:eastAsia="Calibri" w:hAnsi="Arial" w:cs="Arial"/>
          <w:color w:val="000000" w:themeColor="text1"/>
          <w:sz w:val="22"/>
          <w:szCs w:val="22"/>
          <w:lang w:val="en-PH"/>
        </w:rPr>
        <w:t>c</w:t>
      </w:r>
      <w:r w:rsidR="0001162A" w:rsidRPr="00345AA4">
        <w:rPr>
          <w:rFonts w:ascii="Arial" w:eastAsia="Calibri" w:hAnsi="Arial" w:cs="Arial"/>
          <w:color w:val="000000" w:themeColor="text1"/>
          <w:sz w:val="22"/>
          <w:szCs w:val="22"/>
          <w:lang w:val="en-PH"/>
        </w:rPr>
        <w:t xml:space="preserve">orporate </w:t>
      </w:r>
      <w:r w:rsidR="00F34A6A" w:rsidRPr="00345AA4">
        <w:rPr>
          <w:rFonts w:ascii="Arial" w:eastAsia="Calibri" w:hAnsi="Arial" w:cs="Arial"/>
          <w:color w:val="000000" w:themeColor="text1"/>
          <w:sz w:val="22"/>
          <w:szCs w:val="22"/>
          <w:lang w:val="en-PH"/>
        </w:rPr>
        <w:t>s</w:t>
      </w:r>
      <w:r w:rsidR="0001162A" w:rsidRPr="00345AA4">
        <w:rPr>
          <w:rFonts w:ascii="Arial" w:eastAsia="Calibri" w:hAnsi="Arial" w:cs="Arial"/>
          <w:color w:val="000000" w:themeColor="text1"/>
          <w:sz w:val="22"/>
          <w:szCs w:val="22"/>
          <w:lang w:val="en-PH"/>
        </w:rPr>
        <w:t xml:space="preserve">wap.  </w:t>
      </w:r>
    </w:p>
    <w:p w14:paraId="150E8A41" w14:textId="77777777" w:rsidR="0001162A" w:rsidRPr="00345AA4" w:rsidRDefault="0001162A" w:rsidP="0001162A">
      <w:pPr>
        <w:pStyle w:val="ListParagraph"/>
        <w:tabs>
          <w:tab w:val="left" w:pos="990"/>
        </w:tabs>
        <w:ind w:left="900"/>
        <w:contextualSpacing/>
        <w:jc w:val="both"/>
        <w:rPr>
          <w:rFonts w:ascii="Arial" w:eastAsia="Calibri" w:hAnsi="Arial" w:cs="Arial"/>
          <w:color w:val="000000" w:themeColor="text1"/>
          <w:sz w:val="22"/>
          <w:szCs w:val="22"/>
          <w:lang w:val="en-PH"/>
        </w:rPr>
      </w:pPr>
    </w:p>
    <w:p w14:paraId="69DAA213" w14:textId="3D556D27" w:rsidR="000C3538" w:rsidRPr="00345AA4" w:rsidRDefault="000C3538" w:rsidP="000C3538">
      <w:pPr>
        <w:pStyle w:val="ListParagraph"/>
        <w:numPr>
          <w:ilvl w:val="1"/>
          <w:numId w:val="1"/>
        </w:numPr>
        <w:tabs>
          <w:tab w:val="left" w:pos="990"/>
        </w:tabs>
        <w:ind w:left="900" w:hanging="540"/>
        <w:contextualSpacing/>
        <w:jc w:val="both"/>
        <w:rPr>
          <w:rFonts w:ascii="Arial" w:eastAsia="Calibri" w:hAnsi="Arial" w:cs="Arial"/>
          <w:color w:val="000000" w:themeColor="text1"/>
          <w:sz w:val="22"/>
          <w:szCs w:val="22"/>
          <w:lang w:val="en-PH"/>
        </w:rPr>
      </w:pPr>
      <w:r w:rsidRPr="00345AA4">
        <w:rPr>
          <w:rFonts w:ascii="Arial" w:eastAsia="Calibri" w:hAnsi="Arial" w:cs="Arial"/>
          <w:color w:val="000000" w:themeColor="text1"/>
          <w:sz w:val="22"/>
          <w:szCs w:val="22"/>
          <w:lang w:val="en-PH"/>
        </w:rPr>
        <w:t>As a rejoinder</w:t>
      </w:r>
      <w:r w:rsidR="00EB18EF" w:rsidRPr="00345AA4">
        <w:rPr>
          <w:rFonts w:ascii="Arial" w:eastAsia="Calibri" w:hAnsi="Arial" w:cs="Arial"/>
          <w:color w:val="000000" w:themeColor="text1"/>
          <w:sz w:val="22"/>
          <w:szCs w:val="22"/>
          <w:lang w:val="en-PH"/>
        </w:rPr>
        <w:t>, the Audit Team acknowledge</w:t>
      </w:r>
      <w:r w:rsidR="00151676" w:rsidRPr="00345AA4">
        <w:rPr>
          <w:rFonts w:ascii="Arial" w:eastAsia="Calibri" w:hAnsi="Arial" w:cs="Arial"/>
          <w:color w:val="000000" w:themeColor="text1"/>
          <w:sz w:val="22"/>
          <w:szCs w:val="22"/>
          <w:lang w:val="en-PH"/>
        </w:rPr>
        <w:t>s</w:t>
      </w:r>
      <w:r w:rsidR="00EB18EF" w:rsidRPr="00345AA4">
        <w:rPr>
          <w:rFonts w:ascii="Arial" w:eastAsia="Calibri" w:hAnsi="Arial" w:cs="Arial"/>
          <w:color w:val="000000" w:themeColor="text1"/>
          <w:sz w:val="22"/>
          <w:szCs w:val="22"/>
          <w:lang w:val="en-PH"/>
        </w:rPr>
        <w:t xml:space="preserve"> the authority of the Court to determine and affirm the factual antecedents of the corporate swap and to decide the matter in dispute between the parties.  The Audit Team noted that the present Management of the System cannot determine the intention of those officers and members of the Board who approved the corporate swap more than two decades ago.</w:t>
      </w:r>
      <w:r w:rsidR="00F36C93" w:rsidRPr="00345AA4">
        <w:rPr>
          <w:rFonts w:ascii="Arial" w:eastAsia="Calibri" w:hAnsi="Arial" w:cs="Arial"/>
          <w:color w:val="000000" w:themeColor="text1"/>
          <w:sz w:val="22"/>
          <w:szCs w:val="22"/>
          <w:lang w:val="en-PH"/>
        </w:rPr>
        <w:t xml:space="preserve"> </w:t>
      </w:r>
      <w:r w:rsidR="00EB18EF" w:rsidRPr="00345AA4">
        <w:rPr>
          <w:rFonts w:ascii="Arial" w:eastAsia="Calibri" w:hAnsi="Arial" w:cs="Arial"/>
          <w:color w:val="000000" w:themeColor="text1"/>
          <w:sz w:val="22"/>
          <w:szCs w:val="22"/>
          <w:lang w:val="en-PH"/>
        </w:rPr>
        <w:t xml:space="preserve"> However, it can be inferred from the memoranda of agreement of the contracting parties and other pertinent documents submitted to the Audit Team that the System did not exercise due diligence in connection with the acquisition of the subject property. </w:t>
      </w:r>
      <w:r w:rsidR="00F36C93" w:rsidRPr="00345AA4">
        <w:rPr>
          <w:rFonts w:ascii="Arial" w:eastAsia="Calibri" w:hAnsi="Arial" w:cs="Arial"/>
          <w:color w:val="000000" w:themeColor="text1"/>
          <w:sz w:val="22"/>
          <w:szCs w:val="22"/>
          <w:lang w:val="en-PH"/>
        </w:rPr>
        <w:t xml:space="preserve"> </w:t>
      </w:r>
      <w:r w:rsidR="00EB18EF" w:rsidRPr="00345AA4">
        <w:rPr>
          <w:rFonts w:ascii="Arial" w:eastAsia="Calibri" w:hAnsi="Arial" w:cs="Arial"/>
          <w:color w:val="000000" w:themeColor="text1"/>
          <w:sz w:val="22"/>
          <w:szCs w:val="22"/>
          <w:lang w:val="en-PH"/>
        </w:rPr>
        <w:t xml:space="preserve">In the initial proposal of the corporate swap, the comparative amounts and/or appraised values of condominium units and the subject property at the time were P896 million and P1.135 billion, respectively, which may result </w:t>
      </w:r>
      <w:r w:rsidR="00151676" w:rsidRPr="00345AA4">
        <w:rPr>
          <w:rFonts w:ascii="Arial" w:eastAsia="Calibri" w:hAnsi="Arial" w:cs="Arial"/>
          <w:color w:val="000000" w:themeColor="text1"/>
          <w:sz w:val="22"/>
          <w:szCs w:val="22"/>
          <w:lang w:val="en-PH"/>
        </w:rPr>
        <w:t>in</w:t>
      </w:r>
      <w:r w:rsidR="00EB18EF" w:rsidRPr="00345AA4">
        <w:rPr>
          <w:rFonts w:ascii="Arial" w:eastAsia="Calibri" w:hAnsi="Arial" w:cs="Arial"/>
          <w:color w:val="000000" w:themeColor="text1"/>
          <w:sz w:val="22"/>
          <w:szCs w:val="22"/>
          <w:lang w:val="en-PH"/>
        </w:rPr>
        <w:t xml:space="preserve"> equity gain amounting to P234.78 million in favor of AFPRSBS. </w:t>
      </w:r>
      <w:r w:rsidR="00F36C93" w:rsidRPr="00345AA4">
        <w:rPr>
          <w:rFonts w:ascii="Arial" w:eastAsia="Calibri" w:hAnsi="Arial" w:cs="Arial"/>
          <w:color w:val="000000" w:themeColor="text1"/>
          <w:sz w:val="22"/>
          <w:szCs w:val="22"/>
          <w:lang w:val="en-PH"/>
        </w:rPr>
        <w:t xml:space="preserve"> </w:t>
      </w:r>
      <w:r w:rsidR="00EB18EF" w:rsidRPr="00345AA4">
        <w:rPr>
          <w:rFonts w:ascii="Arial" w:eastAsia="Calibri" w:hAnsi="Arial" w:cs="Arial"/>
          <w:color w:val="000000" w:themeColor="text1"/>
          <w:sz w:val="22"/>
          <w:szCs w:val="22"/>
          <w:lang w:val="en-PH"/>
        </w:rPr>
        <w:t xml:space="preserve">Management merely relied on the aforesaid comparative values without regard to the net assets foregone by </w:t>
      </w:r>
      <w:r w:rsidR="00F36C93" w:rsidRPr="00345AA4">
        <w:rPr>
          <w:rFonts w:ascii="Arial" w:eastAsia="Calibri" w:hAnsi="Arial" w:cs="Arial"/>
          <w:color w:val="000000" w:themeColor="text1"/>
          <w:sz w:val="22"/>
          <w:szCs w:val="22"/>
          <w:lang w:val="en-PH"/>
        </w:rPr>
        <w:t>AFPRSBS’ subsidiary realty corporation</w:t>
      </w:r>
      <w:r w:rsidR="00EB18EF" w:rsidRPr="00345AA4">
        <w:rPr>
          <w:rFonts w:ascii="Arial" w:eastAsia="Calibri" w:hAnsi="Arial" w:cs="Arial"/>
          <w:color w:val="000000" w:themeColor="text1"/>
          <w:sz w:val="22"/>
          <w:szCs w:val="22"/>
          <w:lang w:val="en-PH"/>
        </w:rPr>
        <w:t xml:space="preserve"> when the </w:t>
      </w:r>
      <w:r w:rsidR="00F36C93" w:rsidRPr="00345AA4">
        <w:rPr>
          <w:rFonts w:ascii="Arial" w:eastAsia="Calibri" w:hAnsi="Arial" w:cs="Arial"/>
          <w:color w:val="000000" w:themeColor="text1"/>
          <w:sz w:val="22"/>
          <w:szCs w:val="22"/>
          <w:lang w:val="en-PH"/>
        </w:rPr>
        <w:t>c</w:t>
      </w:r>
      <w:r w:rsidR="00EB18EF" w:rsidRPr="00345AA4">
        <w:rPr>
          <w:rFonts w:ascii="Arial" w:eastAsia="Calibri" w:hAnsi="Arial" w:cs="Arial"/>
          <w:color w:val="000000" w:themeColor="text1"/>
          <w:sz w:val="22"/>
          <w:szCs w:val="22"/>
          <w:lang w:val="en-PH"/>
        </w:rPr>
        <w:t xml:space="preserve">orporate </w:t>
      </w:r>
      <w:r w:rsidR="00F36C93" w:rsidRPr="00345AA4">
        <w:rPr>
          <w:rFonts w:ascii="Arial" w:eastAsia="Calibri" w:hAnsi="Arial" w:cs="Arial"/>
          <w:color w:val="000000" w:themeColor="text1"/>
          <w:sz w:val="22"/>
          <w:szCs w:val="22"/>
          <w:lang w:val="en-PH"/>
        </w:rPr>
        <w:t>s</w:t>
      </w:r>
      <w:r w:rsidR="00EB18EF" w:rsidRPr="00345AA4">
        <w:rPr>
          <w:rFonts w:ascii="Arial" w:eastAsia="Calibri" w:hAnsi="Arial" w:cs="Arial"/>
          <w:color w:val="000000" w:themeColor="text1"/>
          <w:sz w:val="22"/>
          <w:szCs w:val="22"/>
          <w:lang w:val="en-PH"/>
        </w:rPr>
        <w:t xml:space="preserve">wap was approved. </w:t>
      </w:r>
      <w:r w:rsidR="00F36C93" w:rsidRPr="00345AA4">
        <w:rPr>
          <w:rFonts w:ascii="Arial" w:eastAsia="Calibri" w:hAnsi="Arial" w:cs="Arial"/>
          <w:color w:val="000000" w:themeColor="text1"/>
          <w:sz w:val="22"/>
          <w:szCs w:val="22"/>
          <w:lang w:val="en-PH"/>
        </w:rPr>
        <w:t xml:space="preserve"> </w:t>
      </w:r>
      <w:r w:rsidR="00EB18EF" w:rsidRPr="00345AA4">
        <w:rPr>
          <w:rFonts w:ascii="Arial" w:eastAsia="Calibri" w:hAnsi="Arial" w:cs="Arial"/>
          <w:color w:val="000000" w:themeColor="text1"/>
          <w:sz w:val="22"/>
          <w:szCs w:val="22"/>
          <w:lang w:val="en-PH"/>
        </w:rPr>
        <w:t xml:space="preserve">Subsequently, the System had to condone its receivables from or liabilities of </w:t>
      </w:r>
      <w:r w:rsidR="00F36C93" w:rsidRPr="00345AA4">
        <w:rPr>
          <w:rFonts w:ascii="Arial" w:eastAsia="Calibri" w:hAnsi="Arial" w:cs="Arial"/>
          <w:color w:val="000000" w:themeColor="text1"/>
          <w:sz w:val="22"/>
          <w:szCs w:val="22"/>
          <w:lang w:val="en-PH"/>
        </w:rPr>
        <w:t xml:space="preserve">its subsidiary realty corporation </w:t>
      </w:r>
      <w:r w:rsidR="00EB18EF" w:rsidRPr="00345AA4">
        <w:rPr>
          <w:rFonts w:ascii="Arial" w:eastAsia="Calibri" w:hAnsi="Arial" w:cs="Arial"/>
          <w:color w:val="000000" w:themeColor="text1"/>
          <w:sz w:val="22"/>
          <w:szCs w:val="22"/>
          <w:lang w:val="en-PH"/>
        </w:rPr>
        <w:t xml:space="preserve">amounting to P869 million to concur with the debt-free transaction in view of the acquisition of the </w:t>
      </w:r>
      <w:r w:rsidR="00F36C93" w:rsidRPr="00345AA4">
        <w:rPr>
          <w:rFonts w:ascii="Arial" w:eastAsia="Calibri" w:hAnsi="Arial" w:cs="Arial"/>
          <w:color w:val="000000" w:themeColor="text1"/>
          <w:sz w:val="22"/>
          <w:szCs w:val="22"/>
          <w:lang w:val="en-PH"/>
        </w:rPr>
        <w:t>subject</w:t>
      </w:r>
      <w:r w:rsidR="00EB18EF" w:rsidRPr="00345AA4">
        <w:rPr>
          <w:rFonts w:ascii="Arial" w:eastAsia="Calibri" w:hAnsi="Arial" w:cs="Arial"/>
          <w:color w:val="000000" w:themeColor="text1"/>
          <w:sz w:val="22"/>
          <w:szCs w:val="22"/>
          <w:lang w:val="en-PH"/>
        </w:rPr>
        <w:t xml:space="preserve"> </w:t>
      </w:r>
      <w:r w:rsidR="00F36C93" w:rsidRPr="00345AA4">
        <w:rPr>
          <w:rFonts w:ascii="Arial" w:eastAsia="Calibri" w:hAnsi="Arial" w:cs="Arial"/>
          <w:color w:val="000000" w:themeColor="text1"/>
          <w:sz w:val="22"/>
          <w:szCs w:val="22"/>
          <w:lang w:val="en-PH"/>
        </w:rPr>
        <w:t>p</w:t>
      </w:r>
      <w:r w:rsidR="00EB18EF" w:rsidRPr="00345AA4">
        <w:rPr>
          <w:rFonts w:ascii="Arial" w:eastAsia="Calibri" w:hAnsi="Arial" w:cs="Arial"/>
          <w:color w:val="000000" w:themeColor="text1"/>
          <w:sz w:val="22"/>
          <w:szCs w:val="22"/>
          <w:lang w:val="en-PH"/>
        </w:rPr>
        <w:t xml:space="preserve">roperty and </w:t>
      </w:r>
      <w:r w:rsidR="00C7315A" w:rsidRPr="00345AA4">
        <w:rPr>
          <w:rFonts w:ascii="Arial" w:eastAsia="Calibri" w:hAnsi="Arial" w:cs="Arial"/>
          <w:color w:val="000000" w:themeColor="text1"/>
          <w:sz w:val="22"/>
          <w:szCs w:val="22"/>
          <w:lang w:val="en-PH"/>
        </w:rPr>
        <w:t>MDC</w:t>
      </w:r>
      <w:r w:rsidR="00EB18EF" w:rsidRPr="00345AA4">
        <w:rPr>
          <w:rFonts w:ascii="Arial" w:eastAsia="Calibri" w:hAnsi="Arial" w:cs="Arial"/>
          <w:color w:val="000000" w:themeColor="text1"/>
          <w:sz w:val="22"/>
          <w:szCs w:val="22"/>
          <w:lang w:val="en-PH"/>
        </w:rPr>
        <w:t xml:space="preserve"> as a whole.</w:t>
      </w:r>
      <w:r w:rsidR="00F36C93" w:rsidRPr="00345AA4">
        <w:rPr>
          <w:rFonts w:ascii="Arial" w:eastAsia="Calibri" w:hAnsi="Arial" w:cs="Arial"/>
          <w:color w:val="000000" w:themeColor="text1"/>
          <w:sz w:val="22"/>
          <w:szCs w:val="22"/>
          <w:lang w:val="en-PH"/>
        </w:rPr>
        <w:t xml:space="preserve"> </w:t>
      </w:r>
      <w:r w:rsidR="00EB18EF" w:rsidRPr="00345AA4">
        <w:rPr>
          <w:rFonts w:ascii="Arial" w:eastAsia="Calibri" w:hAnsi="Arial" w:cs="Arial"/>
          <w:color w:val="000000" w:themeColor="text1"/>
          <w:sz w:val="22"/>
          <w:szCs w:val="22"/>
          <w:lang w:val="en-PH"/>
        </w:rPr>
        <w:t xml:space="preserve"> Moreover, the respective contracts/agreements were consummated and the ownership of both properties were exchanged despite non-performance of the deliverables provided therefrom. </w:t>
      </w:r>
      <w:r w:rsidR="00F36C93" w:rsidRPr="00345AA4">
        <w:rPr>
          <w:rFonts w:ascii="Arial" w:eastAsia="Calibri" w:hAnsi="Arial" w:cs="Arial"/>
          <w:color w:val="000000" w:themeColor="text1"/>
          <w:sz w:val="22"/>
          <w:szCs w:val="22"/>
          <w:lang w:val="en-PH"/>
        </w:rPr>
        <w:t xml:space="preserve"> </w:t>
      </w:r>
      <w:r w:rsidR="00EB18EF" w:rsidRPr="00345AA4">
        <w:rPr>
          <w:rFonts w:ascii="Arial" w:eastAsia="Calibri" w:hAnsi="Arial" w:cs="Arial"/>
          <w:color w:val="000000" w:themeColor="text1"/>
          <w:sz w:val="22"/>
          <w:szCs w:val="22"/>
          <w:lang w:val="en-PH"/>
        </w:rPr>
        <w:t xml:space="preserve">Thus, </w:t>
      </w:r>
      <w:r w:rsidR="00F36C93" w:rsidRPr="00345AA4">
        <w:rPr>
          <w:rFonts w:ascii="Arial" w:eastAsia="Calibri" w:hAnsi="Arial" w:cs="Arial"/>
          <w:color w:val="000000" w:themeColor="text1"/>
          <w:sz w:val="22"/>
          <w:szCs w:val="22"/>
          <w:lang w:val="en-PH"/>
        </w:rPr>
        <w:t>the Audit Team</w:t>
      </w:r>
      <w:r w:rsidR="00EB18EF" w:rsidRPr="00345AA4">
        <w:rPr>
          <w:rFonts w:ascii="Arial" w:eastAsia="Calibri" w:hAnsi="Arial" w:cs="Arial"/>
          <w:color w:val="000000" w:themeColor="text1"/>
          <w:sz w:val="22"/>
          <w:szCs w:val="22"/>
          <w:lang w:val="en-PH"/>
        </w:rPr>
        <w:t xml:space="preserve"> stand</w:t>
      </w:r>
      <w:r w:rsidR="007409BE" w:rsidRPr="00345AA4">
        <w:rPr>
          <w:rFonts w:ascii="Arial" w:eastAsia="Calibri" w:hAnsi="Arial" w:cs="Arial"/>
          <w:color w:val="000000" w:themeColor="text1"/>
          <w:sz w:val="22"/>
          <w:szCs w:val="22"/>
          <w:lang w:val="en-PH"/>
        </w:rPr>
        <w:t>s</w:t>
      </w:r>
      <w:r w:rsidR="00EB18EF" w:rsidRPr="00345AA4">
        <w:rPr>
          <w:rFonts w:ascii="Arial" w:eastAsia="Calibri" w:hAnsi="Arial" w:cs="Arial"/>
          <w:color w:val="000000" w:themeColor="text1"/>
          <w:sz w:val="22"/>
          <w:szCs w:val="22"/>
          <w:lang w:val="en-PH"/>
        </w:rPr>
        <w:t xml:space="preserve"> in </w:t>
      </w:r>
      <w:r w:rsidR="00F36C93" w:rsidRPr="00345AA4">
        <w:rPr>
          <w:rFonts w:ascii="Arial" w:eastAsia="Calibri" w:hAnsi="Arial" w:cs="Arial"/>
          <w:color w:val="000000" w:themeColor="text1"/>
          <w:sz w:val="22"/>
          <w:szCs w:val="22"/>
          <w:lang w:val="en-PH"/>
        </w:rPr>
        <w:t>this</w:t>
      </w:r>
      <w:r w:rsidR="00EB18EF" w:rsidRPr="00345AA4">
        <w:rPr>
          <w:rFonts w:ascii="Arial" w:eastAsia="Calibri" w:hAnsi="Arial" w:cs="Arial"/>
          <w:color w:val="000000" w:themeColor="text1"/>
          <w:sz w:val="22"/>
          <w:szCs w:val="22"/>
          <w:lang w:val="en-PH"/>
        </w:rPr>
        <w:t xml:space="preserve"> observation, subject to an extensive audit of the Commission, that the System may have incurred actual loss amounting to P284.237 million out of the said transaction based on available documents as of date.  </w:t>
      </w:r>
    </w:p>
    <w:p w14:paraId="0388912B" w14:textId="77777777" w:rsidR="000C3538" w:rsidRPr="00345AA4" w:rsidRDefault="000C3538" w:rsidP="0064314D">
      <w:pPr>
        <w:tabs>
          <w:tab w:val="left" w:pos="990"/>
        </w:tabs>
        <w:spacing w:after="0"/>
        <w:contextualSpacing/>
        <w:jc w:val="both"/>
        <w:rPr>
          <w:rFonts w:ascii="Arial" w:hAnsi="Arial" w:cs="Arial"/>
          <w:color w:val="000000" w:themeColor="text1"/>
          <w:lang w:val="en-PH"/>
        </w:rPr>
      </w:pPr>
    </w:p>
    <w:p w14:paraId="2935BF11" w14:textId="77777777" w:rsidR="0064314D" w:rsidRPr="00345AA4" w:rsidRDefault="0064314D" w:rsidP="0064314D">
      <w:pPr>
        <w:tabs>
          <w:tab w:val="left" w:pos="990"/>
        </w:tabs>
        <w:spacing w:after="0"/>
        <w:contextualSpacing/>
        <w:jc w:val="both"/>
        <w:rPr>
          <w:rFonts w:ascii="Arial" w:hAnsi="Arial" w:cs="Arial"/>
          <w:color w:val="000000" w:themeColor="text1"/>
          <w:lang w:val="en-PH"/>
        </w:rPr>
      </w:pPr>
    </w:p>
    <w:p w14:paraId="0DEFBB9B" w14:textId="3A941E79" w:rsidR="0064314D" w:rsidRPr="00345AA4" w:rsidRDefault="001D5B0F" w:rsidP="0064314D">
      <w:pPr>
        <w:pStyle w:val="ListParagraph"/>
        <w:numPr>
          <w:ilvl w:val="0"/>
          <w:numId w:val="1"/>
        </w:numPr>
        <w:ind w:left="426"/>
        <w:jc w:val="both"/>
        <w:rPr>
          <w:rFonts w:ascii="Arial" w:hAnsi="Arial" w:cs="Arial"/>
          <w:b/>
          <w:color w:val="000000" w:themeColor="text1"/>
          <w:sz w:val="22"/>
          <w:szCs w:val="22"/>
        </w:rPr>
      </w:pPr>
      <w:r>
        <w:rPr>
          <w:rFonts w:ascii="Arial" w:hAnsi="Arial" w:cs="Arial"/>
          <w:b/>
          <w:color w:val="000000" w:themeColor="text1"/>
          <w:sz w:val="22"/>
          <w:szCs w:val="22"/>
        </w:rPr>
        <w:t xml:space="preserve">The System </w:t>
      </w:r>
      <w:r w:rsidR="0064314D" w:rsidRPr="00345AA4">
        <w:rPr>
          <w:rFonts w:ascii="Arial" w:hAnsi="Arial" w:cs="Arial"/>
          <w:b/>
          <w:color w:val="000000" w:themeColor="text1"/>
          <w:sz w:val="22"/>
          <w:szCs w:val="22"/>
        </w:rPr>
        <w:t>did not register the certificate of sale of the foreclosed properties from the real estate corporation thereby depriving it of economic benefits including but not limited to receiving rental income and consolidation of title under its name</w:t>
      </w:r>
      <w:r w:rsidR="00B573BA" w:rsidRPr="00345AA4">
        <w:rPr>
          <w:rFonts w:ascii="Arial" w:hAnsi="Arial" w:cs="Arial"/>
          <w:b/>
          <w:color w:val="000000" w:themeColor="text1"/>
          <w:sz w:val="22"/>
          <w:szCs w:val="22"/>
        </w:rPr>
        <w:t>,</w:t>
      </w:r>
      <w:r w:rsidR="0064314D" w:rsidRPr="00345AA4">
        <w:rPr>
          <w:rFonts w:ascii="Arial" w:hAnsi="Arial" w:cs="Arial"/>
          <w:b/>
          <w:color w:val="000000" w:themeColor="text1"/>
          <w:sz w:val="22"/>
          <w:szCs w:val="22"/>
        </w:rPr>
        <w:t xml:space="preserve"> contrary to the Section 6 of Act No. 3135</w:t>
      </w:r>
      <w:r w:rsidR="00B573BA" w:rsidRPr="00345AA4">
        <w:rPr>
          <w:rFonts w:ascii="Arial" w:hAnsi="Arial" w:cs="Arial"/>
          <w:b/>
          <w:color w:val="000000" w:themeColor="text1"/>
          <w:sz w:val="22"/>
          <w:szCs w:val="22"/>
        </w:rPr>
        <w:t xml:space="preserve"> </w:t>
      </w:r>
      <w:r w:rsidR="000A38E7" w:rsidRPr="00345AA4">
        <w:rPr>
          <w:rFonts w:ascii="Arial" w:hAnsi="Arial" w:cs="Arial"/>
          <w:b/>
          <w:color w:val="000000" w:themeColor="text1"/>
          <w:sz w:val="22"/>
          <w:szCs w:val="22"/>
        </w:rPr>
        <w:t xml:space="preserve">or the </w:t>
      </w:r>
      <w:r w:rsidR="00B573BA" w:rsidRPr="00345AA4">
        <w:rPr>
          <w:rFonts w:ascii="Arial" w:hAnsi="Arial" w:cs="Arial"/>
          <w:b/>
          <w:color w:val="000000" w:themeColor="text1"/>
          <w:sz w:val="22"/>
          <w:szCs w:val="22"/>
        </w:rPr>
        <w:t>Real Estate Mortgage Law</w:t>
      </w:r>
      <w:r w:rsidR="0064314D" w:rsidRPr="00345AA4">
        <w:rPr>
          <w:rFonts w:ascii="Arial" w:hAnsi="Arial" w:cs="Arial"/>
          <w:b/>
          <w:color w:val="000000" w:themeColor="text1"/>
          <w:sz w:val="22"/>
          <w:szCs w:val="22"/>
        </w:rPr>
        <w:t xml:space="preserve"> and Article 428 of the Civil Code.</w:t>
      </w:r>
    </w:p>
    <w:p w14:paraId="40FCE746" w14:textId="77777777" w:rsidR="0064314D" w:rsidRPr="00345AA4" w:rsidRDefault="0064314D" w:rsidP="0064314D">
      <w:pPr>
        <w:pStyle w:val="ListParagraph"/>
        <w:tabs>
          <w:tab w:val="left" w:pos="990"/>
        </w:tabs>
        <w:ind w:left="900"/>
        <w:contextualSpacing/>
        <w:jc w:val="both"/>
        <w:rPr>
          <w:rFonts w:ascii="Arial" w:hAnsi="Arial" w:cs="Arial"/>
          <w:color w:val="000000" w:themeColor="text1"/>
          <w:sz w:val="22"/>
          <w:szCs w:val="22"/>
          <w:lang w:eastAsia="en-PH"/>
        </w:rPr>
      </w:pPr>
    </w:p>
    <w:p w14:paraId="41414A96" w14:textId="77777777" w:rsidR="0064314D" w:rsidRPr="00345AA4" w:rsidRDefault="0064314D" w:rsidP="0064314D">
      <w:pPr>
        <w:pStyle w:val="ListParagraph"/>
        <w:numPr>
          <w:ilvl w:val="1"/>
          <w:numId w:val="1"/>
        </w:numPr>
        <w:ind w:left="900" w:hanging="540"/>
        <w:contextualSpacing/>
        <w:jc w:val="both"/>
        <w:rPr>
          <w:rFonts w:ascii="Arial" w:hAnsi="Arial" w:cs="Arial"/>
          <w:bCs/>
          <w:color w:val="000000" w:themeColor="text1"/>
          <w:sz w:val="22"/>
          <w:szCs w:val="22"/>
          <w:lang w:eastAsia="en-PH"/>
        </w:rPr>
      </w:pPr>
      <w:r w:rsidRPr="00345AA4">
        <w:rPr>
          <w:rFonts w:ascii="Arial" w:hAnsi="Arial" w:cs="Arial"/>
          <w:bCs/>
          <w:color w:val="000000" w:themeColor="text1"/>
          <w:sz w:val="22"/>
          <w:szCs w:val="22"/>
          <w:lang w:eastAsia="en-PH"/>
        </w:rPr>
        <w:t>Section 6 of Act No. 3135 expressly mandates that:</w:t>
      </w:r>
    </w:p>
    <w:p w14:paraId="00D73463" w14:textId="77777777" w:rsidR="0064314D" w:rsidRPr="00345AA4" w:rsidRDefault="0064314D" w:rsidP="0064314D">
      <w:pPr>
        <w:pStyle w:val="ListParagraph"/>
        <w:ind w:left="709"/>
        <w:contextualSpacing/>
        <w:jc w:val="both"/>
        <w:rPr>
          <w:rFonts w:ascii="Arial" w:hAnsi="Arial" w:cs="Arial"/>
          <w:bCs/>
          <w:color w:val="000000" w:themeColor="text1"/>
          <w:sz w:val="22"/>
          <w:szCs w:val="22"/>
          <w:lang w:eastAsia="en-PH"/>
        </w:rPr>
      </w:pPr>
    </w:p>
    <w:p w14:paraId="5B016FE9" w14:textId="77777777" w:rsidR="0064314D" w:rsidRPr="00345AA4" w:rsidRDefault="0064314D" w:rsidP="00B573BA">
      <w:pPr>
        <w:pStyle w:val="NoSpacing"/>
        <w:ind w:left="1440" w:right="702"/>
        <w:jc w:val="both"/>
        <w:rPr>
          <w:rFonts w:ascii="Arial" w:hAnsi="Arial" w:cs="Arial"/>
          <w:i/>
          <w:color w:val="000000" w:themeColor="text1"/>
        </w:rPr>
      </w:pPr>
      <w:r w:rsidRPr="00345AA4">
        <w:rPr>
          <w:rFonts w:ascii="Arial" w:hAnsi="Arial" w:cs="Arial"/>
          <w:i/>
          <w:color w:val="000000" w:themeColor="text1"/>
        </w:rPr>
        <w:t>In all cases in which the extrajudicial sale is made under the special power hereinbefore referred to, the debt</w:t>
      </w:r>
      <w:r w:rsidR="00073D66" w:rsidRPr="00345AA4">
        <w:rPr>
          <w:rFonts w:ascii="Arial" w:hAnsi="Arial" w:cs="Arial"/>
          <w:i/>
          <w:color w:val="000000" w:themeColor="text1"/>
        </w:rPr>
        <w:t xml:space="preserve">or, his successors in interest, </w:t>
      </w:r>
      <w:r w:rsidRPr="00345AA4">
        <w:rPr>
          <w:rFonts w:ascii="Arial" w:hAnsi="Arial" w:cs="Arial"/>
          <w:i/>
          <w:color w:val="000000" w:themeColor="text1"/>
        </w:rPr>
        <w:t xml:space="preserve">or any judicial creditor or judgment creditor of said debtor, or any person having a lien on the property subsequent to the mortgage or deed of trust under which the property is sold, </w:t>
      </w:r>
      <w:r w:rsidRPr="00345AA4">
        <w:rPr>
          <w:rFonts w:ascii="Arial" w:hAnsi="Arial" w:cs="Arial"/>
          <w:b/>
          <w:i/>
          <w:color w:val="000000" w:themeColor="text1"/>
        </w:rPr>
        <w:t>may redeem the same at any time within the term of one year from and after the date of sale;</w:t>
      </w:r>
      <w:r w:rsidRPr="00345AA4">
        <w:rPr>
          <w:rFonts w:ascii="Arial" w:hAnsi="Arial" w:cs="Arial"/>
          <w:i/>
          <w:color w:val="000000" w:themeColor="text1"/>
        </w:rPr>
        <w:t xml:space="preserve"> and such redemption shall be governed by the provisions of sections 464 to 466 inclusive, of the Code of Civil Procedure, insofar as these are not inconsistent with the provisions of this Act.</w:t>
      </w:r>
      <w:r w:rsidRPr="00345AA4">
        <w:rPr>
          <w:rFonts w:ascii="Arial" w:hAnsi="Arial" w:cs="Arial"/>
          <w:iCs/>
          <w:color w:val="000000" w:themeColor="text1"/>
        </w:rPr>
        <w:t xml:space="preserve"> (Emphasis supplied)</w:t>
      </w:r>
    </w:p>
    <w:p w14:paraId="612F3574" w14:textId="77777777" w:rsidR="0064314D" w:rsidRPr="00345AA4" w:rsidRDefault="0064314D" w:rsidP="0064314D">
      <w:pPr>
        <w:pStyle w:val="NoSpacing"/>
        <w:ind w:left="720"/>
        <w:jc w:val="both"/>
        <w:rPr>
          <w:rFonts w:ascii="Arial" w:hAnsi="Arial" w:cs="Arial"/>
          <w:color w:val="000000" w:themeColor="text1"/>
        </w:rPr>
      </w:pPr>
    </w:p>
    <w:p w14:paraId="5572E750" w14:textId="77777777" w:rsidR="00F043CF" w:rsidRPr="00345AA4" w:rsidRDefault="00F043CF" w:rsidP="0064314D">
      <w:pPr>
        <w:pStyle w:val="NoSpacing"/>
        <w:ind w:left="720"/>
        <w:jc w:val="both"/>
        <w:rPr>
          <w:rFonts w:ascii="Arial" w:hAnsi="Arial" w:cs="Arial"/>
          <w:color w:val="000000" w:themeColor="text1"/>
        </w:rPr>
      </w:pPr>
    </w:p>
    <w:p w14:paraId="6B229973" w14:textId="0685ADDE" w:rsidR="0064314D" w:rsidRPr="00345AA4" w:rsidRDefault="0064314D" w:rsidP="00975DCC">
      <w:pPr>
        <w:pStyle w:val="ListParagraph"/>
        <w:numPr>
          <w:ilvl w:val="1"/>
          <w:numId w:val="1"/>
        </w:numPr>
        <w:tabs>
          <w:tab w:val="left" w:pos="4111"/>
        </w:tabs>
        <w:ind w:left="900" w:hanging="540"/>
        <w:contextualSpacing/>
        <w:jc w:val="both"/>
        <w:rPr>
          <w:rFonts w:ascii="Arial" w:hAnsi="Arial" w:cs="Arial"/>
          <w:bCs/>
          <w:color w:val="000000" w:themeColor="text1"/>
          <w:sz w:val="22"/>
          <w:szCs w:val="22"/>
          <w:lang w:eastAsia="en-PH"/>
        </w:rPr>
      </w:pPr>
      <w:r w:rsidRPr="00345AA4">
        <w:rPr>
          <w:rFonts w:ascii="Arial" w:hAnsi="Arial" w:cs="Arial"/>
          <w:bCs/>
          <w:color w:val="000000" w:themeColor="text1"/>
          <w:sz w:val="22"/>
          <w:szCs w:val="22"/>
          <w:lang w:eastAsia="en-PH"/>
        </w:rPr>
        <w:lastRenderedPageBreak/>
        <w:t>The Supreme Court</w:t>
      </w:r>
      <w:r w:rsidR="004B4FEC" w:rsidRPr="00345AA4">
        <w:rPr>
          <w:rFonts w:ascii="Arial" w:hAnsi="Arial" w:cs="Arial"/>
          <w:bCs/>
          <w:color w:val="000000" w:themeColor="text1"/>
          <w:sz w:val="22"/>
          <w:szCs w:val="22"/>
          <w:lang w:eastAsia="en-PH"/>
        </w:rPr>
        <w:t>,</w:t>
      </w:r>
      <w:r w:rsidRPr="00345AA4">
        <w:rPr>
          <w:rFonts w:ascii="Arial" w:hAnsi="Arial" w:cs="Arial"/>
          <w:bCs/>
          <w:color w:val="000000" w:themeColor="text1"/>
          <w:sz w:val="22"/>
          <w:szCs w:val="22"/>
          <w:lang w:eastAsia="en-PH"/>
        </w:rPr>
        <w:t xml:space="preserve"> in the case of </w:t>
      </w:r>
      <w:r w:rsidRPr="00424394">
        <w:rPr>
          <w:rFonts w:ascii="Arial" w:hAnsi="Arial" w:cs="Arial"/>
          <w:bCs/>
          <w:iCs/>
          <w:color w:val="000000" w:themeColor="text1"/>
          <w:sz w:val="22"/>
          <w:szCs w:val="22"/>
          <w:lang w:eastAsia="en-PH"/>
        </w:rPr>
        <w:t>Garcia v. Ocampo</w:t>
      </w:r>
      <w:r w:rsidRPr="00345AA4">
        <w:rPr>
          <w:rFonts w:ascii="Arial" w:hAnsi="Arial" w:cs="Arial"/>
          <w:bCs/>
          <w:color w:val="000000" w:themeColor="text1"/>
          <w:sz w:val="22"/>
          <w:szCs w:val="22"/>
          <w:lang w:eastAsia="en-PH"/>
        </w:rPr>
        <w:t>, G.R. No. L-13029, June 30, 1959</w:t>
      </w:r>
      <w:r w:rsidR="004B4FEC" w:rsidRPr="00345AA4">
        <w:rPr>
          <w:rFonts w:ascii="Arial" w:hAnsi="Arial" w:cs="Arial"/>
          <w:bCs/>
          <w:color w:val="000000" w:themeColor="text1"/>
          <w:sz w:val="22"/>
          <w:szCs w:val="22"/>
          <w:lang w:eastAsia="en-PH"/>
        </w:rPr>
        <w:t>,</w:t>
      </w:r>
      <w:r w:rsidRPr="00345AA4">
        <w:rPr>
          <w:rFonts w:ascii="Arial" w:hAnsi="Arial" w:cs="Arial"/>
          <w:bCs/>
          <w:color w:val="000000" w:themeColor="text1"/>
          <w:sz w:val="22"/>
          <w:szCs w:val="22"/>
          <w:lang w:eastAsia="en-PH"/>
        </w:rPr>
        <w:t xml:space="preserve"> explained that the “</w:t>
      </w:r>
      <w:r w:rsidRPr="00345AA4">
        <w:rPr>
          <w:rFonts w:ascii="Arial" w:hAnsi="Arial" w:cs="Arial"/>
          <w:b/>
          <w:color w:val="000000" w:themeColor="text1"/>
          <w:sz w:val="22"/>
          <w:szCs w:val="22"/>
          <w:lang w:eastAsia="en-PH"/>
        </w:rPr>
        <w:t>date of the sale</w:t>
      </w:r>
      <w:r w:rsidRPr="00345AA4">
        <w:rPr>
          <w:rFonts w:ascii="Arial" w:hAnsi="Arial" w:cs="Arial"/>
          <w:bCs/>
          <w:color w:val="000000" w:themeColor="text1"/>
          <w:sz w:val="22"/>
          <w:szCs w:val="22"/>
          <w:lang w:eastAsia="en-PH"/>
        </w:rPr>
        <w:t>” under Section 6 of Act No. 3135, as amended</w:t>
      </w:r>
      <w:r w:rsidR="00B573BA" w:rsidRPr="00345AA4">
        <w:rPr>
          <w:rFonts w:ascii="Arial" w:hAnsi="Arial" w:cs="Arial"/>
          <w:bCs/>
          <w:color w:val="000000" w:themeColor="text1"/>
          <w:sz w:val="22"/>
          <w:szCs w:val="22"/>
          <w:lang w:eastAsia="en-PH"/>
        </w:rPr>
        <w:t>,</w:t>
      </w:r>
      <w:r w:rsidRPr="00345AA4">
        <w:rPr>
          <w:rFonts w:ascii="Arial" w:hAnsi="Arial" w:cs="Arial"/>
          <w:bCs/>
          <w:color w:val="000000" w:themeColor="text1"/>
          <w:sz w:val="22"/>
          <w:szCs w:val="22"/>
          <w:lang w:eastAsia="en-PH"/>
        </w:rPr>
        <w:t xml:space="preserve"> is the </w:t>
      </w:r>
      <w:r w:rsidRPr="00345AA4">
        <w:rPr>
          <w:rFonts w:ascii="Arial" w:hAnsi="Arial" w:cs="Arial"/>
          <w:b/>
          <w:color w:val="000000" w:themeColor="text1"/>
          <w:sz w:val="22"/>
          <w:szCs w:val="22"/>
          <w:lang w:eastAsia="en-PH"/>
        </w:rPr>
        <w:t xml:space="preserve">date </w:t>
      </w:r>
      <w:r w:rsidR="00B573BA" w:rsidRPr="00345AA4">
        <w:rPr>
          <w:rFonts w:ascii="Arial" w:hAnsi="Arial" w:cs="Arial"/>
          <w:b/>
          <w:color w:val="000000" w:themeColor="text1"/>
          <w:sz w:val="22"/>
          <w:szCs w:val="22"/>
          <w:lang w:eastAsia="en-PH"/>
        </w:rPr>
        <w:t xml:space="preserve">that </w:t>
      </w:r>
      <w:r w:rsidRPr="00345AA4">
        <w:rPr>
          <w:rFonts w:ascii="Arial" w:hAnsi="Arial" w:cs="Arial"/>
          <w:b/>
          <w:color w:val="000000" w:themeColor="text1"/>
          <w:sz w:val="22"/>
          <w:szCs w:val="22"/>
          <w:lang w:eastAsia="en-PH"/>
        </w:rPr>
        <w:t>the certificate of sale is registered with the Register of Deeds since the sale of registered land does not take effect as a conveyance, or bind the land until it is registered.</w:t>
      </w:r>
      <w:r w:rsidRPr="00345AA4">
        <w:rPr>
          <w:rFonts w:ascii="Arial" w:hAnsi="Arial" w:cs="Arial"/>
          <w:bCs/>
          <w:color w:val="000000" w:themeColor="text1"/>
          <w:sz w:val="22"/>
          <w:szCs w:val="22"/>
          <w:lang w:eastAsia="en-PH"/>
        </w:rPr>
        <w:t xml:space="preserve">  Likewise, in the same case,</w:t>
      </w:r>
      <w:r w:rsidR="00B573BA" w:rsidRPr="00345AA4">
        <w:rPr>
          <w:rFonts w:ascii="Arial" w:hAnsi="Arial" w:cs="Arial"/>
          <w:bCs/>
          <w:color w:val="000000" w:themeColor="text1"/>
          <w:sz w:val="22"/>
          <w:szCs w:val="22"/>
          <w:lang w:eastAsia="en-PH"/>
        </w:rPr>
        <w:t xml:space="preserve"> the</w:t>
      </w:r>
      <w:r w:rsidRPr="00345AA4">
        <w:rPr>
          <w:rFonts w:ascii="Arial" w:hAnsi="Arial" w:cs="Arial"/>
          <w:bCs/>
          <w:color w:val="000000" w:themeColor="text1"/>
          <w:sz w:val="22"/>
          <w:szCs w:val="22"/>
          <w:lang w:eastAsia="en-PH"/>
        </w:rPr>
        <w:t xml:space="preserve"> Supreme Court held that failure to register the certificate of sale violates the provisions of</w:t>
      </w:r>
      <w:r w:rsidR="00B573BA" w:rsidRPr="00345AA4">
        <w:rPr>
          <w:rFonts w:ascii="Arial" w:hAnsi="Arial" w:cs="Arial"/>
          <w:bCs/>
          <w:color w:val="000000" w:themeColor="text1"/>
          <w:sz w:val="22"/>
          <w:szCs w:val="22"/>
          <w:lang w:eastAsia="en-PH"/>
        </w:rPr>
        <w:t xml:space="preserve"> the</w:t>
      </w:r>
      <w:r w:rsidRPr="00345AA4">
        <w:rPr>
          <w:rFonts w:ascii="Arial" w:hAnsi="Arial" w:cs="Arial"/>
          <w:bCs/>
          <w:color w:val="000000" w:themeColor="text1"/>
          <w:sz w:val="22"/>
          <w:szCs w:val="22"/>
          <w:lang w:eastAsia="en-PH"/>
        </w:rPr>
        <w:t xml:space="preserve"> said law. </w:t>
      </w:r>
    </w:p>
    <w:p w14:paraId="2965C9B7" w14:textId="77777777" w:rsidR="008C7A71" w:rsidRPr="00345AA4" w:rsidRDefault="008C7A71" w:rsidP="0064314D">
      <w:pPr>
        <w:pStyle w:val="ListParagraph"/>
        <w:tabs>
          <w:tab w:val="left" w:pos="990"/>
        </w:tabs>
        <w:ind w:left="900"/>
        <w:contextualSpacing/>
        <w:jc w:val="both"/>
        <w:rPr>
          <w:rFonts w:ascii="Arial" w:hAnsi="Arial" w:cs="Arial"/>
          <w:bCs/>
          <w:color w:val="000000" w:themeColor="text1"/>
          <w:sz w:val="22"/>
          <w:szCs w:val="22"/>
          <w:lang w:eastAsia="en-PH"/>
        </w:rPr>
      </w:pPr>
    </w:p>
    <w:p w14:paraId="40F82B8D" w14:textId="77777777" w:rsidR="0064314D" w:rsidRPr="00345AA4" w:rsidRDefault="0064314D" w:rsidP="0064314D">
      <w:pPr>
        <w:pStyle w:val="ListParagraph"/>
        <w:numPr>
          <w:ilvl w:val="1"/>
          <w:numId w:val="1"/>
        </w:numPr>
        <w:ind w:left="900" w:hanging="540"/>
        <w:contextualSpacing/>
        <w:jc w:val="both"/>
        <w:rPr>
          <w:rFonts w:ascii="Arial" w:hAnsi="Arial" w:cs="Arial"/>
          <w:bCs/>
          <w:color w:val="000000" w:themeColor="text1"/>
          <w:sz w:val="22"/>
          <w:szCs w:val="22"/>
          <w:lang w:eastAsia="en-PH"/>
        </w:rPr>
      </w:pPr>
      <w:r w:rsidRPr="00345AA4">
        <w:rPr>
          <w:rFonts w:ascii="Arial" w:hAnsi="Arial" w:cs="Arial"/>
          <w:bCs/>
          <w:color w:val="000000" w:themeColor="text1"/>
          <w:sz w:val="22"/>
          <w:szCs w:val="22"/>
        </w:rPr>
        <w:t>Article 428 of the Civil Code provides that:</w:t>
      </w:r>
    </w:p>
    <w:p w14:paraId="0BAB914C" w14:textId="77777777" w:rsidR="0064314D" w:rsidRPr="00345AA4" w:rsidRDefault="0064314D" w:rsidP="0064314D">
      <w:pPr>
        <w:pStyle w:val="NoSpacing"/>
        <w:ind w:left="720" w:right="389"/>
        <w:jc w:val="both"/>
        <w:rPr>
          <w:rFonts w:ascii="Arial" w:hAnsi="Arial" w:cs="Arial"/>
          <w:i/>
          <w:color w:val="000000" w:themeColor="text1"/>
        </w:rPr>
      </w:pPr>
    </w:p>
    <w:p w14:paraId="4FF1D89D" w14:textId="77777777" w:rsidR="0064314D" w:rsidRPr="00345AA4" w:rsidRDefault="0064314D" w:rsidP="00010DB6">
      <w:pPr>
        <w:pStyle w:val="NoSpacing"/>
        <w:ind w:left="1440" w:right="702"/>
        <w:jc w:val="both"/>
        <w:rPr>
          <w:rFonts w:ascii="Arial" w:hAnsi="Arial" w:cs="Arial"/>
          <w:i/>
          <w:color w:val="000000" w:themeColor="text1"/>
        </w:rPr>
      </w:pPr>
      <w:r w:rsidRPr="00345AA4">
        <w:rPr>
          <w:rFonts w:ascii="Arial" w:hAnsi="Arial" w:cs="Arial"/>
          <w:i/>
          <w:color w:val="000000" w:themeColor="text1"/>
        </w:rPr>
        <w:t xml:space="preserve">The </w:t>
      </w:r>
      <w:r w:rsidRPr="00345AA4">
        <w:rPr>
          <w:rFonts w:ascii="Arial" w:hAnsi="Arial" w:cs="Arial"/>
          <w:b/>
          <w:i/>
          <w:color w:val="000000" w:themeColor="text1"/>
        </w:rPr>
        <w:t>owner has the right to enjoy and dispose of a thing, without other limitations than those established by law</w:t>
      </w:r>
      <w:r w:rsidRPr="00345AA4">
        <w:rPr>
          <w:rFonts w:ascii="Arial" w:hAnsi="Arial" w:cs="Arial"/>
          <w:i/>
          <w:color w:val="000000" w:themeColor="text1"/>
        </w:rPr>
        <w:t xml:space="preserve">.  The owner has also a right of action against the holder and possessor of the thing in order to recover it. </w:t>
      </w:r>
      <w:r w:rsidRPr="00345AA4">
        <w:rPr>
          <w:rFonts w:ascii="Arial" w:hAnsi="Arial" w:cs="Arial"/>
          <w:iCs/>
          <w:color w:val="000000" w:themeColor="text1"/>
        </w:rPr>
        <w:t>(Emphasis supplied)</w:t>
      </w:r>
    </w:p>
    <w:p w14:paraId="0C0FEE3B" w14:textId="77777777" w:rsidR="0064314D" w:rsidRPr="00345AA4" w:rsidRDefault="0064314D" w:rsidP="0064314D">
      <w:pPr>
        <w:pStyle w:val="NoSpacing"/>
        <w:jc w:val="both"/>
        <w:rPr>
          <w:rFonts w:ascii="Arial" w:hAnsi="Arial" w:cs="Arial"/>
          <w:color w:val="000000" w:themeColor="text1"/>
        </w:rPr>
      </w:pPr>
    </w:p>
    <w:p w14:paraId="5A331630" w14:textId="114953B4" w:rsidR="0064314D" w:rsidRPr="00345AA4" w:rsidRDefault="0064314D" w:rsidP="0064314D">
      <w:pPr>
        <w:pStyle w:val="ListParagraph"/>
        <w:numPr>
          <w:ilvl w:val="1"/>
          <w:numId w:val="1"/>
        </w:numPr>
        <w:ind w:left="900" w:hanging="540"/>
        <w:contextualSpacing/>
        <w:jc w:val="both"/>
        <w:rPr>
          <w:rFonts w:ascii="Arial" w:hAnsi="Arial" w:cs="Arial"/>
          <w:bCs/>
          <w:color w:val="000000" w:themeColor="text1"/>
          <w:sz w:val="22"/>
          <w:szCs w:val="22"/>
        </w:rPr>
      </w:pPr>
      <w:r w:rsidRPr="00345AA4">
        <w:rPr>
          <w:rFonts w:ascii="Arial" w:hAnsi="Arial" w:cs="Arial"/>
          <w:bCs/>
          <w:color w:val="000000" w:themeColor="text1"/>
          <w:sz w:val="22"/>
          <w:szCs w:val="22"/>
        </w:rPr>
        <w:t>The subject foreclosed properties are composed of land, commercial, residential and accessory unit of the hotel as well as the parking area.  The property has two towers located at Remedios St</w:t>
      </w:r>
      <w:r w:rsidR="004B4FEC" w:rsidRPr="00345AA4">
        <w:rPr>
          <w:rFonts w:ascii="Arial" w:hAnsi="Arial" w:cs="Arial"/>
          <w:bCs/>
          <w:color w:val="000000" w:themeColor="text1"/>
          <w:sz w:val="22"/>
          <w:szCs w:val="22"/>
        </w:rPr>
        <w:t>reet</w:t>
      </w:r>
      <w:r w:rsidRPr="00345AA4">
        <w:rPr>
          <w:rFonts w:ascii="Arial" w:hAnsi="Arial" w:cs="Arial"/>
          <w:bCs/>
          <w:color w:val="000000" w:themeColor="text1"/>
          <w:sz w:val="22"/>
          <w:szCs w:val="22"/>
        </w:rPr>
        <w:t>, Malate, Manila.</w:t>
      </w:r>
    </w:p>
    <w:p w14:paraId="74E71796" w14:textId="77777777" w:rsidR="00100368" w:rsidRPr="00345AA4" w:rsidRDefault="00100368" w:rsidP="0064314D">
      <w:pPr>
        <w:pStyle w:val="NoSpacing"/>
        <w:jc w:val="both"/>
        <w:rPr>
          <w:rFonts w:ascii="Arial" w:hAnsi="Arial" w:cs="Arial"/>
          <w:color w:val="000000" w:themeColor="text1"/>
        </w:rPr>
      </w:pPr>
    </w:p>
    <w:p w14:paraId="6080C1C3" w14:textId="77777777" w:rsidR="0064314D" w:rsidRPr="00345AA4" w:rsidRDefault="0064314D" w:rsidP="0064314D">
      <w:pPr>
        <w:pStyle w:val="ListParagraph"/>
        <w:numPr>
          <w:ilvl w:val="1"/>
          <w:numId w:val="1"/>
        </w:numPr>
        <w:ind w:left="900" w:hanging="540"/>
        <w:contextualSpacing/>
        <w:jc w:val="both"/>
        <w:rPr>
          <w:rFonts w:ascii="Arial" w:hAnsi="Arial" w:cs="Arial"/>
          <w:bCs/>
          <w:color w:val="000000" w:themeColor="text1"/>
          <w:sz w:val="22"/>
          <w:szCs w:val="22"/>
        </w:rPr>
      </w:pPr>
      <w:r w:rsidRPr="00345AA4">
        <w:rPr>
          <w:rFonts w:ascii="Arial" w:hAnsi="Arial" w:cs="Arial"/>
          <w:bCs/>
          <w:color w:val="000000" w:themeColor="text1"/>
          <w:sz w:val="22"/>
          <w:szCs w:val="22"/>
        </w:rPr>
        <w:t>The ocular inspection of the property on February 13, 2020 disclosed the following:</w:t>
      </w:r>
    </w:p>
    <w:p w14:paraId="469641D0" w14:textId="77777777" w:rsidR="0064314D" w:rsidRPr="00345AA4" w:rsidRDefault="0064314D" w:rsidP="0064314D">
      <w:pPr>
        <w:pStyle w:val="NoSpacing"/>
        <w:ind w:firstLine="720"/>
        <w:jc w:val="both"/>
        <w:rPr>
          <w:rFonts w:ascii="Arial" w:hAnsi="Arial" w:cs="Arial"/>
          <w:color w:val="000000" w:themeColor="text1"/>
        </w:rPr>
      </w:pPr>
    </w:p>
    <w:p w14:paraId="0D679897" w14:textId="451CCE66" w:rsidR="0064314D" w:rsidRPr="00345AA4" w:rsidRDefault="0064314D" w:rsidP="0064314D">
      <w:pPr>
        <w:pStyle w:val="NoSpacing"/>
        <w:numPr>
          <w:ilvl w:val="2"/>
          <w:numId w:val="1"/>
        </w:numPr>
        <w:ind w:left="1418" w:hanging="425"/>
        <w:jc w:val="both"/>
        <w:rPr>
          <w:rFonts w:ascii="Arial" w:hAnsi="Arial" w:cs="Arial"/>
          <w:color w:val="000000" w:themeColor="text1"/>
        </w:rPr>
      </w:pPr>
      <w:r w:rsidRPr="00345AA4">
        <w:rPr>
          <w:rFonts w:ascii="Arial" w:hAnsi="Arial" w:cs="Arial"/>
          <w:color w:val="000000" w:themeColor="text1"/>
        </w:rPr>
        <w:t>The office space unit 1001A located at the 10</w:t>
      </w:r>
      <w:r w:rsidR="004B4FEC" w:rsidRPr="00345AA4">
        <w:rPr>
          <w:rFonts w:ascii="Arial" w:hAnsi="Arial" w:cs="Arial"/>
          <w:color w:val="000000" w:themeColor="text1"/>
        </w:rPr>
        <w:t>th</w:t>
      </w:r>
      <w:r w:rsidRPr="00345AA4">
        <w:rPr>
          <w:rFonts w:ascii="Arial" w:hAnsi="Arial" w:cs="Arial"/>
          <w:color w:val="000000" w:themeColor="text1"/>
        </w:rPr>
        <w:t xml:space="preserve"> floor of Tower A with </w:t>
      </w:r>
      <w:r w:rsidR="001B03AB" w:rsidRPr="00345AA4">
        <w:rPr>
          <w:rFonts w:ascii="Arial" w:hAnsi="Arial" w:cs="Arial"/>
          <w:color w:val="000000" w:themeColor="text1"/>
        </w:rPr>
        <w:t xml:space="preserve">an </w:t>
      </w:r>
      <w:r w:rsidRPr="00345AA4">
        <w:rPr>
          <w:rFonts w:ascii="Arial" w:hAnsi="Arial" w:cs="Arial"/>
          <w:color w:val="000000" w:themeColor="text1"/>
        </w:rPr>
        <w:t>area of 963.77 sqm is being rented by a manning agency for a period of five years</w:t>
      </w:r>
      <w:r w:rsidR="00F96B75" w:rsidRPr="00345AA4">
        <w:rPr>
          <w:rFonts w:ascii="Arial" w:hAnsi="Arial" w:cs="Arial"/>
          <w:color w:val="000000" w:themeColor="text1"/>
        </w:rPr>
        <w:t xml:space="preserve"> since</w:t>
      </w:r>
      <w:r w:rsidRPr="00345AA4">
        <w:rPr>
          <w:rFonts w:ascii="Arial" w:hAnsi="Arial" w:cs="Arial"/>
          <w:color w:val="000000" w:themeColor="text1"/>
        </w:rPr>
        <w:t xml:space="preserve"> November 11, 2019; </w:t>
      </w:r>
    </w:p>
    <w:p w14:paraId="5A558C08" w14:textId="77777777" w:rsidR="0064314D" w:rsidRPr="00345AA4" w:rsidRDefault="0064314D" w:rsidP="0064314D">
      <w:pPr>
        <w:pStyle w:val="NoSpacing"/>
        <w:ind w:left="720"/>
        <w:jc w:val="both"/>
        <w:rPr>
          <w:rFonts w:ascii="Arial" w:hAnsi="Arial" w:cs="Arial"/>
          <w:color w:val="000000" w:themeColor="text1"/>
        </w:rPr>
      </w:pPr>
    </w:p>
    <w:p w14:paraId="1EE9EB12" w14:textId="77777777" w:rsidR="0064314D" w:rsidRPr="00345AA4" w:rsidRDefault="0064314D" w:rsidP="0064314D">
      <w:pPr>
        <w:pStyle w:val="NoSpacing"/>
        <w:numPr>
          <w:ilvl w:val="2"/>
          <w:numId w:val="1"/>
        </w:numPr>
        <w:ind w:left="1418" w:hanging="425"/>
        <w:jc w:val="both"/>
        <w:rPr>
          <w:rFonts w:ascii="Arial" w:hAnsi="Arial" w:cs="Arial"/>
          <w:color w:val="000000" w:themeColor="text1"/>
        </w:rPr>
      </w:pPr>
      <w:r w:rsidRPr="00345AA4">
        <w:rPr>
          <w:rFonts w:ascii="Arial" w:hAnsi="Arial" w:cs="Arial"/>
          <w:color w:val="000000" w:themeColor="text1"/>
        </w:rPr>
        <w:t xml:space="preserve">There are improvements being introduced by the previous owner in the 10th, 11th, 12th and 14th floors of Tower B; </w:t>
      </w:r>
    </w:p>
    <w:p w14:paraId="0EEBD50E" w14:textId="77777777" w:rsidR="0064314D" w:rsidRPr="00345AA4" w:rsidRDefault="0064314D" w:rsidP="0064314D">
      <w:pPr>
        <w:pStyle w:val="NoSpacing"/>
        <w:ind w:left="720"/>
        <w:jc w:val="both"/>
        <w:rPr>
          <w:rFonts w:ascii="Arial" w:hAnsi="Arial" w:cs="Arial"/>
          <w:color w:val="000000" w:themeColor="text1"/>
        </w:rPr>
      </w:pPr>
    </w:p>
    <w:p w14:paraId="08592074" w14:textId="77777777" w:rsidR="0064314D" w:rsidRPr="00345AA4" w:rsidRDefault="0064314D" w:rsidP="0064314D">
      <w:pPr>
        <w:pStyle w:val="NoSpacing"/>
        <w:numPr>
          <w:ilvl w:val="2"/>
          <w:numId w:val="1"/>
        </w:numPr>
        <w:ind w:left="1418" w:hanging="425"/>
        <w:jc w:val="both"/>
        <w:rPr>
          <w:rFonts w:ascii="Arial" w:hAnsi="Arial" w:cs="Arial"/>
          <w:color w:val="000000" w:themeColor="text1"/>
        </w:rPr>
      </w:pPr>
      <w:r w:rsidRPr="00345AA4">
        <w:rPr>
          <w:rFonts w:ascii="Arial" w:hAnsi="Arial" w:cs="Arial"/>
          <w:color w:val="000000" w:themeColor="text1"/>
        </w:rPr>
        <w:t>The parking area located at the third floor is also leased to various lessees; and</w:t>
      </w:r>
    </w:p>
    <w:p w14:paraId="5E3EB59D" w14:textId="77777777" w:rsidR="0064314D" w:rsidRPr="00345AA4" w:rsidRDefault="0064314D" w:rsidP="0064314D">
      <w:pPr>
        <w:pStyle w:val="NoSpacing"/>
        <w:ind w:left="720"/>
        <w:jc w:val="both"/>
        <w:rPr>
          <w:rFonts w:ascii="Arial" w:hAnsi="Arial" w:cs="Arial"/>
          <w:color w:val="000000" w:themeColor="text1"/>
        </w:rPr>
      </w:pPr>
    </w:p>
    <w:p w14:paraId="26CA4012" w14:textId="77777777" w:rsidR="0064314D" w:rsidRPr="00345AA4" w:rsidRDefault="0064314D" w:rsidP="0064314D">
      <w:pPr>
        <w:pStyle w:val="NoSpacing"/>
        <w:numPr>
          <w:ilvl w:val="2"/>
          <w:numId w:val="1"/>
        </w:numPr>
        <w:ind w:left="1418" w:hanging="425"/>
        <w:jc w:val="both"/>
        <w:rPr>
          <w:rFonts w:ascii="Arial" w:hAnsi="Arial" w:cs="Arial"/>
          <w:color w:val="000000" w:themeColor="text1"/>
        </w:rPr>
      </w:pPr>
      <w:r w:rsidRPr="00345AA4">
        <w:rPr>
          <w:rFonts w:ascii="Arial" w:hAnsi="Arial" w:cs="Arial"/>
          <w:color w:val="000000" w:themeColor="text1"/>
        </w:rPr>
        <w:t>The properties in Tower A are finished units while the properties in Tower B are unhabitable and unfinished.</w:t>
      </w:r>
    </w:p>
    <w:p w14:paraId="3808CBEE" w14:textId="77777777" w:rsidR="0064314D" w:rsidRPr="00345AA4" w:rsidRDefault="0064314D" w:rsidP="0064314D">
      <w:pPr>
        <w:pStyle w:val="NoSpacing"/>
        <w:jc w:val="both"/>
        <w:rPr>
          <w:rFonts w:ascii="Arial" w:hAnsi="Arial" w:cs="Arial"/>
          <w:color w:val="000000" w:themeColor="text1"/>
        </w:rPr>
      </w:pPr>
    </w:p>
    <w:p w14:paraId="448437B0" w14:textId="251F0B2A" w:rsidR="0064314D" w:rsidRPr="00345AA4" w:rsidRDefault="0064314D" w:rsidP="0064314D">
      <w:pPr>
        <w:pStyle w:val="ListParagraph"/>
        <w:numPr>
          <w:ilvl w:val="1"/>
          <w:numId w:val="1"/>
        </w:numPr>
        <w:ind w:left="900" w:hanging="540"/>
        <w:contextualSpacing/>
        <w:jc w:val="both"/>
        <w:rPr>
          <w:rFonts w:ascii="Arial" w:hAnsi="Arial" w:cs="Arial"/>
          <w:color w:val="000000" w:themeColor="text1"/>
          <w:sz w:val="22"/>
          <w:szCs w:val="22"/>
        </w:rPr>
      </w:pPr>
      <w:r w:rsidRPr="00345AA4">
        <w:rPr>
          <w:rFonts w:ascii="Arial" w:hAnsi="Arial" w:cs="Arial"/>
          <w:bCs/>
          <w:color w:val="000000" w:themeColor="text1"/>
          <w:sz w:val="22"/>
          <w:szCs w:val="22"/>
        </w:rPr>
        <w:t>In</w:t>
      </w:r>
      <w:r w:rsidRPr="00345AA4">
        <w:rPr>
          <w:rFonts w:ascii="Arial" w:hAnsi="Arial" w:cs="Arial"/>
          <w:color w:val="000000" w:themeColor="text1"/>
          <w:sz w:val="22"/>
          <w:szCs w:val="22"/>
        </w:rPr>
        <w:t xml:space="preserve"> 2012, AFPRSBS instituted an extra-judicial foreclosure proceeding against the Real Estate Mortgage and cause</w:t>
      </w:r>
      <w:r w:rsidR="001B03AB" w:rsidRPr="00345AA4">
        <w:rPr>
          <w:rFonts w:ascii="Arial" w:hAnsi="Arial" w:cs="Arial"/>
          <w:color w:val="000000" w:themeColor="text1"/>
          <w:sz w:val="22"/>
          <w:szCs w:val="22"/>
        </w:rPr>
        <w:t>d</w:t>
      </w:r>
      <w:r w:rsidRPr="00345AA4">
        <w:rPr>
          <w:rFonts w:ascii="Arial" w:hAnsi="Arial" w:cs="Arial"/>
          <w:color w:val="000000" w:themeColor="text1"/>
          <w:sz w:val="22"/>
          <w:szCs w:val="22"/>
        </w:rPr>
        <w:t xml:space="preserve"> the sale at public auction of the mortgaged properties, where AFPRSBS was awarded the certificate of sale dated February 28, 2013.  In the said certificate of sale, it is stated that the </w:t>
      </w:r>
      <w:r w:rsidRPr="00345AA4">
        <w:rPr>
          <w:rFonts w:ascii="Arial" w:hAnsi="Arial" w:cs="Arial"/>
          <w:b/>
          <w:color w:val="000000" w:themeColor="text1"/>
          <w:sz w:val="22"/>
          <w:szCs w:val="22"/>
        </w:rPr>
        <w:t>period of redemption of real property will expire one year from and after the date of registration of the certificate of sale with the corresponding Registry of Deeds (RD).</w:t>
      </w:r>
      <w:r w:rsidRPr="00345AA4">
        <w:rPr>
          <w:rFonts w:ascii="Arial" w:hAnsi="Arial" w:cs="Arial"/>
          <w:color w:val="000000" w:themeColor="text1"/>
          <w:sz w:val="22"/>
          <w:szCs w:val="22"/>
        </w:rPr>
        <w:t xml:space="preserve">  Inquiry with Management disclosed that as of to date, certificate of sale is not yet registered with </w:t>
      </w:r>
      <w:r w:rsidR="001B03AB" w:rsidRPr="00345AA4">
        <w:rPr>
          <w:rFonts w:ascii="Arial" w:hAnsi="Arial" w:cs="Arial"/>
          <w:color w:val="000000" w:themeColor="text1"/>
          <w:sz w:val="22"/>
          <w:szCs w:val="22"/>
        </w:rPr>
        <w:t xml:space="preserve">the </w:t>
      </w:r>
      <w:r w:rsidRPr="00345AA4">
        <w:rPr>
          <w:rFonts w:ascii="Arial" w:hAnsi="Arial" w:cs="Arial"/>
          <w:color w:val="000000" w:themeColor="text1"/>
          <w:sz w:val="22"/>
          <w:szCs w:val="22"/>
        </w:rPr>
        <w:t xml:space="preserve">RD because AFPRSBS does not have yet the Certificate Authorizing Registration (CAR) which is a requirement for the registration of certificate of sale with </w:t>
      </w:r>
      <w:r w:rsidR="001B03AB" w:rsidRPr="00345AA4">
        <w:rPr>
          <w:rFonts w:ascii="Arial" w:hAnsi="Arial" w:cs="Arial"/>
          <w:color w:val="000000" w:themeColor="text1"/>
          <w:sz w:val="22"/>
          <w:szCs w:val="22"/>
        </w:rPr>
        <w:t xml:space="preserve">the </w:t>
      </w:r>
      <w:r w:rsidRPr="00345AA4">
        <w:rPr>
          <w:rFonts w:ascii="Arial" w:hAnsi="Arial" w:cs="Arial"/>
          <w:color w:val="000000" w:themeColor="text1"/>
          <w:sz w:val="22"/>
          <w:szCs w:val="22"/>
        </w:rPr>
        <w:t xml:space="preserve">RD.  Further inquiry revealed that the Bureau of Internal Revenue (BIR) has not yet issued the CAR because of the deficiency assessment it issued against AFPRSBS. </w:t>
      </w:r>
    </w:p>
    <w:p w14:paraId="1F5926B1" w14:textId="77777777" w:rsidR="0064314D" w:rsidRPr="00345AA4" w:rsidRDefault="0064314D" w:rsidP="0064314D">
      <w:pPr>
        <w:pStyle w:val="NoSpacing"/>
        <w:jc w:val="both"/>
        <w:rPr>
          <w:rFonts w:ascii="Arial" w:hAnsi="Arial" w:cs="Arial"/>
          <w:color w:val="000000" w:themeColor="text1"/>
        </w:rPr>
      </w:pPr>
    </w:p>
    <w:p w14:paraId="3A2E2047" w14:textId="7CFE2F00" w:rsidR="0064314D" w:rsidRPr="00345AA4" w:rsidRDefault="004B4FEC" w:rsidP="0064314D">
      <w:pPr>
        <w:pStyle w:val="ListParagraph"/>
        <w:tabs>
          <w:tab w:val="left" w:pos="990"/>
        </w:tabs>
        <w:ind w:left="90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O</w:t>
      </w:r>
      <w:r w:rsidR="0064314D" w:rsidRPr="00345AA4">
        <w:rPr>
          <w:rFonts w:ascii="Arial" w:hAnsi="Arial" w:cs="Arial"/>
          <w:color w:val="000000" w:themeColor="text1"/>
          <w:sz w:val="22"/>
          <w:szCs w:val="22"/>
        </w:rPr>
        <w:t xml:space="preserve">n </w:t>
      </w:r>
      <w:r w:rsidR="0064314D" w:rsidRPr="00345AA4">
        <w:rPr>
          <w:rFonts w:ascii="Arial" w:hAnsi="Arial" w:cs="Arial"/>
          <w:bCs/>
          <w:color w:val="000000" w:themeColor="text1"/>
          <w:sz w:val="22"/>
          <w:szCs w:val="22"/>
        </w:rPr>
        <w:t>August</w:t>
      </w:r>
      <w:r w:rsidR="0064314D" w:rsidRPr="00345AA4">
        <w:rPr>
          <w:rFonts w:ascii="Arial" w:hAnsi="Arial" w:cs="Arial"/>
          <w:color w:val="000000" w:themeColor="text1"/>
          <w:sz w:val="22"/>
          <w:szCs w:val="22"/>
        </w:rPr>
        <w:t xml:space="preserve"> 10, 2017, AFPRSBS received the Preliminary Assessment Notice (PAN) regarding the alleged deficiency taxes arising from the extra-judicial foreclosure of the land and 329 condominium units.  </w:t>
      </w:r>
      <w:r w:rsidRPr="00345AA4">
        <w:rPr>
          <w:rFonts w:ascii="Arial" w:hAnsi="Arial" w:cs="Arial"/>
          <w:color w:val="000000" w:themeColor="text1"/>
          <w:sz w:val="22"/>
          <w:szCs w:val="22"/>
        </w:rPr>
        <w:t>On</w:t>
      </w:r>
      <w:r w:rsidR="0064314D" w:rsidRPr="00345AA4">
        <w:rPr>
          <w:rFonts w:ascii="Arial" w:hAnsi="Arial" w:cs="Arial"/>
          <w:color w:val="000000" w:themeColor="text1"/>
          <w:sz w:val="22"/>
          <w:szCs w:val="22"/>
        </w:rPr>
        <w:t xml:space="preserve"> August 18, 2017, </w:t>
      </w:r>
      <w:r w:rsidR="0064314D" w:rsidRPr="00345AA4">
        <w:rPr>
          <w:rFonts w:ascii="Arial" w:hAnsi="Arial" w:cs="Arial"/>
          <w:color w:val="000000" w:themeColor="text1"/>
          <w:sz w:val="22"/>
          <w:szCs w:val="22"/>
        </w:rPr>
        <w:lastRenderedPageBreak/>
        <w:t>AFPRSBS filed a protest/opposition to the PAN asserting that it should not be liable to pay the alleged deficiency taxes, penalties, surcharges and that it already filed a request for re-zonal or re-evaluation</w:t>
      </w:r>
      <w:r w:rsidR="00EA7B4A" w:rsidRPr="00345AA4">
        <w:rPr>
          <w:rFonts w:ascii="Arial" w:hAnsi="Arial" w:cs="Arial"/>
          <w:color w:val="000000" w:themeColor="text1"/>
          <w:sz w:val="22"/>
          <w:szCs w:val="22"/>
        </w:rPr>
        <w:t xml:space="preserve"> on June 17, 2013</w:t>
      </w:r>
      <w:r w:rsidR="0064314D" w:rsidRPr="00345AA4">
        <w:rPr>
          <w:rFonts w:ascii="Arial" w:hAnsi="Arial" w:cs="Arial"/>
          <w:color w:val="000000" w:themeColor="text1"/>
          <w:sz w:val="22"/>
          <w:szCs w:val="22"/>
        </w:rPr>
        <w:t xml:space="preserve"> </w:t>
      </w:r>
      <w:r w:rsidR="00EA7B4A" w:rsidRPr="00345AA4">
        <w:rPr>
          <w:rFonts w:ascii="Arial" w:hAnsi="Arial" w:cs="Arial"/>
          <w:color w:val="000000" w:themeColor="text1"/>
          <w:sz w:val="22"/>
          <w:szCs w:val="22"/>
        </w:rPr>
        <w:t xml:space="preserve">because </w:t>
      </w:r>
      <w:r w:rsidR="0064314D" w:rsidRPr="00345AA4">
        <w:rPr>
          <w:rFonts w:ascii="Arial" w:hAnsi="Arial" w:cs="Arial"/>
          <w:color w:val="000000" w:themeColor="text1"/>
          <w:sz w:val="22"/>
          <w:szCs w:val="22"/>
        </w:rPr>
        <w:t>the subject property is composed of finished and unfinished condominium units.</w:t>
      </w:r>
    </w:p>
    <w:p w14:paraId="169924AE" w14:textId="77777777" w:rsidR="0064314D" w:rsidRPr="00345AA4" w:rsidRDefault="0064314D" w:rsidP="0064314D">
      <w:pPr>
        <w:pStyle w:val="NoSpacing"/>
        <w:jc w:val="both"/>
        <w:rPr>
          <w:rFonts w:ascii="Arial" w:hAnsi="Arial" w:cs="Arial"/>
          <w:color w:val="000000" w:themeColor="text1"/>
        </w:rPr>
      </w:pPr>
    </w:p>
    <w:p w14:paraId="0C20D55F" w14:textId="77777777" w:rsidR="0064314D" w:rsidRPr="00345AA4" w:rsidRDefault="0064314D" w:rsidP="0064314D">
      <w:pPr>
        <w:pStyle w:val="ListParagraph"/>
        <w:numPr>
          <w:ilvl w:val="1"/>
          <w:numId w:val="1"/>
        </w:numPr>
        <w:ind w:left="900" w:hanging="540"/>
        <w:contextualSpacing/>
        <w:jc w:val="both"/>
        <w:rPr>
          <w:rFonts w:ascii="Arial" w:hAnsi="Arial" w:cs="Arial"/>
          <w:color w:val="000000" w:themeColor="text1"/>
          <w:sz w:val="22"/>
          <w:szCs w:val="22"/>
        </w:rPr>
      </w:pPr>
      <w:r w:rsidRPr="00345AA4">
        <w:rPr>
          <w:rFonts w:ascii="Arial" w:hAnsi="Arial" w:cs="Arial"/>
          <w:bCs/>
          <w:color w:val="000000" w:themeColor="text1"/>
          <w:sz w:val="22"/>
          <w:szCs w:val="22"/>
        </w:rPr>
        <w:t>AFP</w:t>
      </w:r>
      <w:r w:rsidRPr="00345AA4">
        <w:rPr>
          <w:rFonts w:ascii="Arial" w:hAnsi="Arial" w:cs="Arial"/>
          <w:color w:val="000000" w:themeColor="text1"/>
          <w:sz w:val="22"/>
          <w:szCs w:val="22"/>
        </w:rPr>
        <w:t xml:space="preserve">RSBS </w:t>
      </w:r>
      <w:r w:rsidR="00151676" w:rsidRPr="00345AA4">
        <w:rPr>
          <w:rFonts w:ascii="Arial" w:hAnsi="Arial" w:cs="Arial"/>
          <w:color w:val="000000" w:themeColor="text1"/>
          <w:sz w:val="22"/>
          <w:szCs w:val="22"/>
        </w:rPr>
        <w:t xml:space="preserve">was </w:t>
      </w:r>
      <w:r w:rsidRPr="00345AA4">
        <w:rPr>
          <w:rFonts w:ascii="Arial" w:hAnsi="Arial" w:cs="Arial"/>
          <w:color w:val="000000" w:themeColor="text1"/>
          <w:sz w:val="22"/>
          <w:szCs w:val="22"/>
        </w:rPr>
        <w:t>unable to cause the registration of the certificate of sale before the corresponding RD because it did not pay or settle the tax deficiency.  Accordingly, the effects are as follows:</w:t>
      </w:r>
    </w:p>
    <w:p w14:paraId="62A64CCA" w14:textId="77777777" w:rsidR="0064314D" w:rsidRPr="00345AA4" w:rsidRDefault="0064314D" w:rsidP="0064314D">
      <w:pPr>
        <w:pStyle w:val="NoSpacing"/>
        <w:jc w:val="both"/>
        <w:rPr>
          <w:rFonts w:ascii="Arial" w:hAnsi="Arial" w:cs="Arial"/>
          <w:color w:val="000000" w:themeColor="text1"/>
        </w:rPr>
      </w:pPr>
    </w:p>
    <w:p w14:paraId="20DCD2D4" w14:textId="77777777" w:rsidR="0064314D" w:rsidRPr="00345AA4" w:rsidRDefault="0064314D" w:rsidP="0064314D">
      <w:pPr>
        <w:pStyle w:val="NoSpacing"/>
        <w:numPr>
          <w:ilvl w:val="2"/>
          <w:numId w:val="1"/>
        </w:numPr>
        <w:ind w:left="1418" w:hanging="425"/>
        <w:jc w:val="both"/>
        <w:rPr>
          <w:rFonts w:ascii="Arial" w:hAnsi="Arial" w:cs="Arial"/>
          <w:color w:val="000000" w:themeColor="text1"/>
        </w:rPr>
      </w:pPr>
      <w:r w:rsidRPr="00345AA4">
        <w:rPr>
          <w:rFonts w:ascii="Arial" w:hAnsi="Arial" w:cs="Arial"/>
          <w:color w:val="000000" w:themeColor="text1"/>
        </w:rPr>
        <w:t>The title of the foreclosed properties cannot be transferred under the name of AFPRSBS;</w:t>
      </w:r>
    </w:p>
    <w:p w14:paraId="5290C2A4" w14:textId="77777777" w:rsidR="0064314D" w:rsidRPr="00345AA4" w:rsidRDefault="0064314D" w:rsidP="0064314D">
      <w:pPr>
        <w:pStyle w:val="NoSpacing"/>
        <w:ind w:left="720"/>
        <w:jc w:val="both"/>
        <w:rPr>
          <w:rFonts w:ascii="Arial" w:hAnsi="Arial" w:cs="Arial"/>
          <w:color w:val="000000" w:themeColor="text1"/>
        </w:rPr>
      </w:pPr>
      <w:r w:rsidRPr="00345AA4">
        <w:rPr>
          <w:rFonts w:ascii="Arial" w:hAnsi="Arial" w:cs="Arial"/>
          <w:color w:val="000000" w:themeColor="text1"/>
        </w:rPr>
        <w:t xml:space="preserve"> </w:t>
      </w:r>
    </w:p>
    <w:p w14:paraId="1687ED31" w14:textId="6DB7B28B" w:rsidR="0064314D" w:rsidRPr="00345AA4" w:rsidRDefault="0064314D" w:rsidP="0064314D">
      <w:pPr>
        <w:pStyle w:val="NoSpacing"/>
        <w:numPr>
          <w:ilvl w:val="2"/>
          <w:numId w:val="1"/>
        </w:numPr>
        <w:ind w:left="1418" w:hanging="425"/>
        <w:jc w:val="both"/>
        <w:rPr>
          <w:rFonts w:ascii="Arial" w:hAnsi="Arial" w:cs="Arial"/>
          <w:color w:val="000000" w:themeColor="text1"/>
        </w:rPr>
      </w:pPr>
      <w:r w:rsidRPr="00345AA4">
        <w:rPr>
          <w:rFonts w:ascii="Arial" w:hAnsi="Arial" w:cs="Arial"/>
          <w:color w:val="000000" w:themeColor="text1"/>
        </w:rPr>
        <w:t>The one</w:t>
      </w:r>
      <w:r w:rsidR="00730D0C" w:rsidRPr="00345AA4">
        <w:rPr>
          <w:rFonts w:ascii="Arial" w:hAnsi="Arial" w:cs="Arial"/>
          <w:color w:val="000000" w:themeColor="text1"/>
        </w:rPr>
        <w:t xml:space="preserve"> </w:t>
      </w:r>
      <w:r w:rsidRPr="00345AA4">
        <w:rPr>
          <w:rFonts w:ascii="Arial" w:hAnsi="Arial" w:cs="Arial"/>
          <w:color w:val="000000" w:themeColor="text1"/>
        </w:rPr>
        <w:t xml:space="preserve">year redemption period will not start to run, thereby, depriving AFPRSBS the occasion to consolidate ownership after the expiration of the redemption period as a matter of right.  Considering that the certificate of sale is dated February 28, 2013, had AFPRSBS caused its registration with </w:t>
      </w:r>
      <w:r w:rsidR="00730D0C" w:rsidRPr="00345AA4">
        <w:rPr>
          <w:rFonts w:ascii="Arial" w:hAnsi="Arial" w:cs="Arial"/>
          <w:color w:val="000000" w:themeColor="text1"/>
        </w:rPr>
        <w:t xml:space="preserve">the </w:t>
      </w:r>
      <w:r w:rsidRPr="00345AA4">
        <w:rPr>
          <w:rFonts w:ascii="Arial" w:hAnsi="Arial" w:cs="Arial"/>
          <w:color w:val="000000" w:themeColor="text1"/>
        </w:rPr>
        <w:t>RD during the same year, the running of the one</w:t>
      </w:r>
      <w:r w:rsidR="00730D0C" w:rsidRPr="00345AA4">
        <w:rPr>
          <w:rFonts w:ascii="Arial" w:hAnsi="Arial" w:cs="Arial"/>
          <w:color w:val="000000" w:themeColor="text1"/>
        </w:rPr>
        <w:t xml:space="preserve"> </w:t>
      </w:r>
      <w:r w:rsidRPr="00345AA4">
        <w:rPr>
          <w:rFonts w:ascii="Arial" w:hAnsi="Arial" w:cs="Arial"/>
          <w:color w:val="000000" w:themeColor="text1"/>
        </w:rPr>
        <w:t xml:space="preserve">year prescriptive period to redeem could have started and by the expiration of the redemption period would have capacitated AFPRSBS to consolidate ownership as a matter of right.  It appears thereon that </w:t>
      </w:r>
      <w:r w:rsidR="00730D0C" w:rsidRPr="00345AA4">
        <w:rPr>
          <w:rFonts w:ascii="Arial" w:hAnsi="Arial" w:cs="Arial"/>
          <w:color w:val="000000" w:themeColor="text1"/>
        </w:rPr>
        <w:t xml:space="preserve">for </w:t>
      </w:r>
      <w:r w:rsidRPr="00345AA4">
        <w:rPr>
          <w:rFonts w:ascii="Arial" w:hAnsi="Arial" w:cs="Arial"/>
          <w:color w:val="000000" w:themeColor="text1"/>
        </w:rPr>
        <w:t xml:space="preserve">more than five years </w:t>
      </w:r>
      <w:r w:rsidR="00730D0C" w:rsidRPr="00345AA4">
        <w:rPr>
          <w:rFonts w:ascii="Arial" w:hAnsi="Arial" w:cs="Arial"/>
          <w:color w:val="000000" w:themeColor="text1"/>
        </w:rPr>
        <w:t xml:space="preserve">that </w:t>
      </w:r>
      <w:r w:rsidRPr="00345AA4">
        <w:rPr>
          <w:rFonts w:ascii="Arial" w:hAnsi="Arial" w:cs="Arial"/>
          <w:color w:val="000000" w:themeColor="text1"/>
        </w:rPr>
        <w:t>had passed</w:t>
      </w:r>
      <w:r w:rsidR="00730D0C" w:rsidRPr="00345AA4">
        <w:rPr>
          <w:rFonts w:ascii="Arial" w:hAnsi="Arial" w:cs="Arial"/>
          <w:color w:val="000000" w:themeColor="text1"/>
        </w:rPr>
        <w:t>,</w:t>
      </w:r>
      <w:r w:rsidRPr="00345AA4">
        <w:rPr>
          <w:rFonts w:ascii="Arial" w:hAnsi="Arial" w:cs="Arial"/>
          <w:color w:val="000000" w:themeColor="text1"/>
        </w:rPr>
        <w:t xml:space="preserve"> AFPRSBS </w:t>
      </w:r>
      <w:r w:rsidR="00730D0C" w:rsidRPr="00345AA4">
        <w:rPr>
          <w:rFonts w:ascii="Arial" w:hAnsi="Arial" w:cs="Arial"/>
          <w:color w:val="000000" w:themeColor="text1"/>
        </w:rPr>
        <w:t>has been</w:t>
      </w:r>
      <w:r w:rsidRPr="00345AA4">
        <w:rPr>
          <w:rFonts w:ascii="Arial" w:hAnsi="Arial" w:cs="Arial"/>
          <w:color w:val="000000" w:themeColor="text1"/>
        </w:rPr>
        <w:t xml:space="preserve"> deprived of economic benefits accruing from the said foreclosed properties; and</w:t>
      </w:r>
    </w:p>
    <w:p w14:paraId="77A31B95" w14:textId="77777777" w:rsidR="0064314D" w:rsidRPr="00345AA4" w:rsidRDefault="0064314D" w:rsidP="0064314D">
      <w:pPr>
        <w:pStyle w:val="NoSpacing"/>
        <w:ind w:firstLine="720"/>
        <w:jc w:val="both"/>
        <w:rPr>
          <w:rFonts w:ascii="Arial" w:hAnsi="Arial" w:cs="Arial"/>
          <w:color w:val="000000" w:themeColor="text1"/>
        </w:rPr>
      </w:pPr>
    </w:p>
    <w:p w14:paraId="47661877" w14:textId="77777777" w:rsidR="0064314D" w:rsidRPr="00345AA4" w:rsidRDefault="0064314D" w:rsidP="0064314D">
      <w:pPr>
        <w:pStyle w:val="NoSpacing"/>
        <w:numPr>
          <w:ilvl w:val="2"/>
          <w:numId w:val="1"/>
        </w:numPr>
        <w:ind w:left="1418" w:hanging="425"/>
        <w:jc w:val="both"/>
        <w:rPr>
          <w:rFonts w:ascii="Arial" w:hAnsi="Arial" w:cs="Arial"/>
          <w:color w:val="000000" w:themeColor="text1"/>
        </w:rPr>
      </w:pPr>
      <w:r w:rsidRPr="00345AA4">
        <w:rPr>
          <w:rFonts w:ascii="Arial" w:hAnsi="Arial" w:cs="Arial"/>
          <w:color w:val="000000" w:themeColor="text1"/>
        </w:rPr>
        <w:t xml:space="preserve">AFPRSBS is denied of actual possession of the properties. </w:t>
      </w:r>
    </w:p>
    <w:p w14:paraId="32C57874" w14:textId="77777777" w:rsidR="0064314D" w:rsidRPr="00345AA4" w:rsidRDefault="0064314D" w:rsidP="0064314D">
      <w:pPr>
        <w:pStyle w:val="NoSpacing"/>
        <w:jc w:val="both"/>
        <w:rPr>
          <w:rFonts w:ascii="Arial" w:hAnsi="Arial" w:cs="Arial"/>
          <w:color w:val="000000" w:themeColor="text1"/>
        </w:rPr>
      </w:pPr>
    </w:p>
    <w:p w14:paraId="5CAAD135" w14:textId="3E5E0D5C" w:rsidR="0064314D" w:rsidRPr="00345AA4" w:rsidRDefault="0064314D" w:rsidP="0064314D">
      <w:pPr>
        <w:pStyle w:val="ListParagraph"/>
        <w:numPr>
          <w:ilvl w:val="1"/>
          <w:numId w:val="1"/>
        </w:numPr>
        <w:ind w:left="900" w:hanging="540"/>
        <w:contextualSpacing/>
        <w:jc w:val="both"/>
        <w:rPr>
          <w:rFonts w:ascii="Arial" w:hAnsi="Arial" w:cs="Arial"/>
          <w:color w:val="000000" w:themeColor="text1"/>
          <w:sz w:val="22"/>
          <w:szCs w:val="22"/>
        </w:rPr>
      </w:pPr>
      <w:r w:rsidRPr="00345AA4">
        <w:rPr>
          <w:rFonts w:ascii="Arial" w:hAnsi="Arial" w:cs="Arial"/>
          <w:bCs/>
          <w:color w:val="000000" w:themeColor="text1"/>
          <w:sz w:val="22"/>
          <w:szCs w:val="22"/>
        </w:rPr>
        <w:t>Had</w:t>
      </w:r>
      <w:r w:rsidRPr="00345AA4">
        <w:rPr>
          <w:rFonts w:ascii="Arial" w:hAnsi="Arial" w:cs="Arial"/>
          <w:color w:val="000000" w:themeColor="text1"/>
          <w:sz w:val="22"/>
          <w:szCs w:val="22"/>
        </w:rPr>
        <w:t xml:space="preserve"> AFPRSBS paid the Capital Gains Tax (CGT) as per BIR assessment, the registration of certificate of sale would have been registered with </w:t>
      </w:r>
      <w:r w:rsidR="000F733C" w:rsidRPr="00345AA4">
        <w:rPr>
          <w:rFonts w:ascii="Arial" w:hAnsi="Arial" w:cs="Arial"/>
          <w:color w:val="000000" w:themeColor="text1"/>
          <w:sz w:val="22"/>
          <w:szCs w:val="22"/>
        </w:rPr>
        <w:t xml:space="preserve">the </w:t>
      </w:r>
      <w:r w:rsidRPr="00345AA4">
        <w:rPr>
          <w:rFonts w:ascii="Arial" w:hAnsi="Arial" w:cs="Arial"/>
          <w:color w:val="000000" w:themeColor="text1"/>
          <w:sz w:val="22"/>
          <w:szCs w:val="22"/>
        </w:rPr>
        <w:t xml:space="preserve">RD and caused consolidation of ownership.  By then, it would </w:t>
      </w:r>
      <w:r w:rsidR="000F733C" w:rsidRPr="00345AA4">
        <w:rPr>
          <w:rFonts w:ascii="Arial" w:hAnsi="Arial" w:cs="Arial"/>
          <w:color w:val="000000" w:themeColor="text1"/>
          <w:sz w:val="22"/>
          <w:szCs w:val="22"/>
        </w:rPr>
        <w:t xml:space="preserve">have </w:t>
      </w:r>
      <w:r w:rsidRPr="00345AA4">
        <w:rPr>
          <w:rFonts w:ascii="Arial" w:hAnsi="Arial" w:cs="Arial"/>
          <w:color w:val="000000" w:themeColor="text1"/>
          <w:sz w:val="22"/>
          <w:szCs w:val="22"/>
        </w:rPr>
        <w:t>be</w:t>
      </w:r>
      <w:r w:rsidR="000F733C" w:rsidRPr="00345AA4">
        <w:rPr>
          <w:rFonts w:ascii="Arial" w:hAnsi="Arial" w:cs="Arial"/>
          <w:color w:val="000000" w:themeColor="text1"/>
          <w:sz w:val="22"/>
          <w:szCs w:val="22"/>
        </w:rPr>
        <w:t>en</w:t>
      </w:r>
      <w:r w:rsidRPr="00345AA4">
        <w:rPr>
          <w:rFonts w:ascii="Arial" w:hAnsi="Arial" w:cs="Arial"/>
          <w:color w:val="000000" w:themeColor="text1"/>
          <w:sz w:val="22"/>
          <w:szCs w:val="22"/>
        </w:rPr>
        <w:t xml:space="preserve"> able to exercise all the rights of an owner without any limitation except those provided by the law.  Likewise, AFPRSBS could have already started enjoying its economic benefits including rental income and enforced its right to dispose the propert</w:t>
      </w:r>
      <w:r w:rsidR="00EA7B4A" w:rsidRPr="00345AA4">
        <w:rPr>
          <w:rFonts w:ascii="Arial" w:hAnsi="Arial" w:cs="Arial"/>
          <w:color w:val="000000" w:themeColor="text1"/>
          <w:sz w:val="22"/>
          <w:szCs w:val="22"/>
        </w:rPr>
        <w:t>ies</w:t>
      </w:r>
      <w:r w:rsidRPr="00345AA4">
        <w:rPr>
          <w:rFonts w:ascii="Arial" w:hAnsi="Arial" w:cs="Arial"/>
          <w:color w:val="000000" w:themeColor="text1"/>
          <w:sz w:val="22"/>
          <w:szCs w:val="22"/>
        </w:rPr>
        <w:t xml:space="preserve"> on an “as is, where is” basis.  Until such time that the title of the foreclosed properties is consolidated under the name of AFPRSBS, it would not be subrogated to the rights of the real estate corporation.</w:t>
      </w:r>
    </w:p>
    <w:p w14:paraId="2028BAA5" w14:textId="77777777" w:rsidR="0064314D" w:rsidRPr="00345AA4" w:rsidRDefault="0064314D" w:rsidP="0064314D">
      <w:pPr>
        <w:pStyle w:val="NoSpacing"/>
        <w:jc w:val="both"/>
        <w:rPr>
          <w:rFonts w:ascii="Arial" w:hAnsi="Arial" w:cs="Arial"/>
          <w:color w:val="000000" w:themeColor="text1"/>
        </w:rPr>
      </w:pPr>
    </w:p>
    <w:p w14:paraId="558CFDFE" w14:textId="1CCF65F5" w:rsidR="0064314D" w:rsidRPr="00345AA4" w:rsidRDefault="0064314D" w:rsidP="0064314D">
      <w:pPr>
        <w:pStyle w:val="ListParagraph"/>
        <w:numPr>
          <w:ilvl w:val="1"/>
          <w:numId w:val="1"/>
        </w:numPr>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Furthermore, in the case of </w:t>
      </w:r>
      <w:proofErr w:type="spellStart"/>
      <w:r w:rsidRPr="00424394">
        <w:rPr>
          <w:rFonts w:ascii="Arial" w:hAnsi="Arial" w:cs="Arial"/>
          <w:iCs/>
          <w:color w:val="000000" w:themeColor="text1"/>
          <w:sz w:val="22"/>
          <w:szCs w:val="22"/>
        </w:rPr>
        <w:t>Mahinay</w:t>
      </w:r>
      <w:proofErr w:type="spellEnd"/>
      <w:r w:rsidRPr="00424394">
        <w:rPr>
          <w:rFonts w:ascii="Arial" w:hAnsi="Arial" w:cs="Arial"/>
          <w:iCs/>
          <w:color w:val="000000" w:themeColor="text1"/>
          <w:sz w:val="22"/>
          <w:szCs w:val="22"/>
        </w:rPr>
        <w:t xml:space="preserve"> vs. Dura</w:t>
      </w:r>
      <w:r w:rsidRPr="00345AA4">
        <w:rPr>
          <w:rFonts w:ascii="Arial" w:hAnsi="Arial" w:cs="Arial"/>
          <w:i/>
          <w:color w:val="000000" w:themeColor="text1"/>
          <w:sz w:val="22"/>
          <w:szCs w:val="22"/>
        </w:rPr>
        <w:t xml:space="preserve">, </w:t>
      </w:r>
      <w:r w:rsidRPr="00345AA4">
        <w:rPr>
          <w:rFonts w:ascii="Arial" w:hAnsi="Arial" w:cs="Arial"/>
          <w:color w:val="000000" w:themeColor="text1"/>
          <w:sz w:val="22"/>
          <w:szCs w:val="22"/>
        </w:rPr>
        <w:t>G.R. No.194152, June 5, 2017</w:t>
      </w:r>
      <w:r w:rsidRPr="00345AA4">
        <w:rPr>
          <w:rFonts w:ascii="Arial" w:hAnsi="Arial" w:cs="Arial"/>
          <w:i/>
          <w:color w:val="000000" w:themeColor="text1"/>
          <w:sz w:val="22"/>
          <w:szCs w:val="22"/>
        </w:rPr>
        <w:t xml:space="preserve"> </w:t>
      </w:r>
      <w:r w:rsidRPr="00345AA4">
        <w:rPr>
          <w:rFonts w:ascii="Arial" w:hAnsi="Arial" w:cs="Arial"/>
          <w:color w:val="000000" w:themeColor="text1"/>
          <w:sz w:val="22"/>
          <w:szCs w:val="22"/>
        </w:rPr>
        <w:t xml:space="preserve">the Court ruled that a pending action to annul the foreclosure sale does not toll the running of the one-year period of redemption under Act No. 3135.  Therefore, although there is a pending case for annulment of extrajudicial foreclosure of real estate mortgage filed by the </w:t>
      </w:r>
      <w:r w:rsidR="00F96B75" w:rsidRPr="00345AA4">
        <w:rPr>
          <w:rFonts w:ascii="Arial" w:hAnsi="Arial" w:cs="Arial"/>
          <w:color w:val="000000" w:themeColor="text1"/>
          <w:sz w:val="22"/>
          <w:szCs w:val="22"/>
        </w:rPr>
        <w:t>previous owner</w:t>
      </w:r>
      <w:r w:rsidRPr="00345AA4">
        <w:rPr>
          <w:rFonts w:ascii="Arial" w:hAnsi="Arial" w:cs="Arial"/>
          <w:color w:val="000000" w:themeColor="text1"/>
          <w:sz w:val="22"/>
          <w:szCs w:val="22"/>
        </w:rPr>
        <w:t xml:space="preserve"> against AFPRSBS, it would not bar the running of the period to redeem if only AFPRSBS had registered the certificate of sale with </w:t>
      </w:r>
      <w:r w:rsidR="000F733C" w:rsidRPr="00345AA4">
        <w:rPr>
          <w:rFonts w:ascii="Arial" w:hAnsi="Arial" w:cs="Arial"/>
          <w:color w:val="000000" w:themeColor="text1"/>
          <w:sz w:val="22"/>
          <w:szCs w:val="22"/>
        </w:rPr>
        <w:t xml:space="preserve">the </w:t>
      </w:r>
      <w:r w:rsidRPr="00345AA4">
        <w:rPr>
          <w:rFonts w:ascii="Arial" w:hAnsi="Arial" w:cs="Arial"/>
          <w:color w:val="000000" w:themeColor="text1"/>
          <w:sz w:val="22"/>
          <w:szCs w:val="22"/>
        </w:rPr>
        <w:t>RD.  Seemingly,</w:t>
      </w:r>
      <w:r w:rsidR="00C7315A" w:rsidRPr="00345AA4">
        <w:rPr>
          <w:rFonts w:ascii="Arial" w:hAnsi="Arial" w:cs="Arial"/>
          <w:color w:val="000000" w:themeColor="text1"/>
          <w:sz w:val="22"/>
          <w:szCs w:val="22"/>
        </w:rPr>
        <w:t xml:space="preserve"> the failure of AFPRSBS to aggressively assert its right has caused undue disadvantage to the System</w:t>
      </w:r>
      <w:r w:rsidRPr="00345AA4">
        <w:rPr>
          <w:rFonts w:ascii="Arial" w:hAnsi="Arial" w:cs="Arial"/>
          <w:color w:val="000000" w:themeColor="text1"/>
          <w:sz w:val="22"/>
          <w:szCs w:val="22"/>
        </w:rPr>
        <w:t>.</w:t>
      </w:r>
    </w:p>
    <w:p w14:paraId="1CF8E001" w14:textId="77777777" w:rsidR="0064314D" w:rsidRPr="00345AA4" w:rsidRDefault="0064314D" w:rsidP="0064314D">
      <w:pPr>
        <w:spacing w:after="0" w:line="240" w:lineRule="auto"/>
        <w:rPr>
          <w:rFonts w:ascii="Arial" w:hAnsi="Arial" w:cs="Arial"/>
          <w:color w:val="000000" w:themeColor="text1"/>
        </w:rPr>
      </w:pPr>
    </w:p>
    <w:p w14:paraId="12B63AF7" w14:textId="32FC9A18" w:rsidR="0064314D" w:rsidRPr="00345AA4" w:rsidRDefault="0064314D" w:rsidP="0064314D">
      <w:pPr>
        <w:pStyle w:val="ListParagraph"/>
        <w:numPr>
          <w:ilvl w:val="1"/>
          <w:numId w:val="1"/>
        </w:numPr>
        <w:tabs>
          <w:tab w:val="left" w:pos="990"/>
        </w:tabs>
        <w:ind w:left="900" w:hanging="540"/>
        <w:contextualSpacing/>
        <w:jc w:val="both"/>
        <w:rPr>
          <w:rFonts w:ascii="Arial" w:hAnsi="Arial" w:cs="Arial"/>
          <w:b/>
          <w:color w:val="000000" w:themeColor="text1"/>
          <w:sz w:val="22"/>
          <w:szCs w:val="22"/>
        </w:rPr>
      </w:pPr>
      <w:r w:rsidRPr="00345AA4">
        <w:rPr>
          <w:rFonts w:ascii="Arial" w:hAnsi="Arial" w:cs="Arial"/>
          <w:b/>
          <w:bCs/>
          <w:color w:val="000000" w:themeColor="text1"/>
          <w:sz w:val="22"/>
          <w:szCs w:val="22"/>
        </w:rPr>
        <w:t>We</w:t>
      </w:r>
      <w:r w:rsidRPr="00345AA4">
        <w:rPr>
          <w:rFonts w:ascii="Arial" w:hAnsi="Arial" w:cs="Arial"/>
          <w:b/>
          <w:color w:val="000000" w:themeColor="text1"/>
          <w:sz w:val="22"/>
          <w:szCs w:val="22"/>
        </w:rPr>
        <w:t xml:space="preserve"> recommended and Management agreed to pay the deficiency tax assessments and cause the registration of certificate of sale with </w:t>
      </w:r>
      <w:r w:rsidR="00360374" w:rsidRPr="00345AA4">
        <w:rPr>
          <w:rFonts w:ascii="Arial" w:hAnsi="Arial" w:cs="Arial"/>
          <w:b/>
          <w:color w:val="000000" w:themeColor="text1"/>
          <w:sz w:val="22"/>
          <w:szCs w:val="22"/>
        </w:rPr>
        <w:t xml:space="preserve">the </w:t>
      </w:r>
      <w:r w:rsidRPr="00345AA4">
        <w:rPr>
          <w:rFonts w:ascii="Arial" w:hAnsi="Arial" w:cs="Arial"/>
          <w:b/>
          <w:color w:val="000000" w:themeColor="text1"/>
          <w:sz w:val="22"/>
          <w:szCs w:val="22"/>
        </w:rPr>
        <w:t>RD.</w:t>
      </w:r>
    </w:p>
    <w:p w14:paraId="7400DCD6" w14:textId="77777777" w:rsidR="0064314D" w:rsidRPr="00345AA4" w:rsidRDefault="0064314D" w:rsidP="0064314D">
      <w:pPr>
        <w:pStyle w:val="ListParagraph"/>
        <w:ind w:left="426"/>
        <w:contextualSpacing/>
        <w:jc w:val="both"/>
        <w:rPr>
          <w:rFonts w:ascii="Arial" w:hAnsi="Arial" w:cs="Arial"/>
          <w:b/>
          <w:color w:val="000000" w:themeColor="text1"/>
          <w:sz w:val="22"/>
          <w:szCs w:val="22"/>
        </w:rPr>
      </w:pPr>
    </w:p>
    <w:p w14:paraId="6024E60A" w14:textId="77777777" w:rsidR="0064314D" w:rsidRPr="00345AA4" w:rsidRDefault="0064314D" w:rsidP="0064314D">
      <w:pPr>
        <w:pStyle w:val="ListParagraph"/>
        <w:ind w:left="426"/>
        <w:contextualSpacing/>
        <w:jc w:val="both"/>
        <w:rPr>
          <w:rFonts w:ascii="Arial" w:hAnsi="Arial" w:cs="Arial"/>
          <w:b/>
          <w:color w:val="000000" w:themeColor="text1"/>
          <w:sz w:val="22"/>
          <w:szCs w:val="22"/>
        </w:rPr>
      </w:pPr>
    </w:p>
    <w:p w14:paraId="029A07D8" w14:textId="68B16706" w:rsidR="000C3538" w:rsidRPr="00345AA4" w:rsidRDefault="000C3538" w:rsidP="000C3538">
      <w:pPr>
        <w:pStyle w:val="ListParagraph"/>
        <w:numPr>
          <w:ilvl w:val="0"/>
          <w:numId w:val="1"/>
        </w:numPr>
        <w:ind w:left="426" w:hanging="426"/>
        <w:contextualSpacing/>
        <w:jc w:val="both"/>
        <w:rPr>
          <w:rFonts w:ascii="Arial" w:hAnsi="Arial" w:cs="Arial"/>
          <w:b/>
          <w:color w:val="000000" w:themeColor="text1"/>
          <w:sz w:val="22"/>
          <w:szCs w:val="22"/>
        </w:rPr>
      </w:pPr>
      <w:r w:rsidRPr="00345AA4">
        <w:rPr>
          <w:rFonts w:ascii="Arial" w:hAnsi="Arial" w:cs="Arial"/>
          <w:b/>
          <w:color w:val="000000" w:themeColor="text1"/>
          <w:sz w:val="22"/>
          <w:szCs w:val="22"/>
        </w:rPr>
        <w:lastRenderedPageBreak/>
        <w:t xml:space="preserve">Monthly rental payments were not remitted and collected from January 1, 2017 to December 31, 2019, contrary to Sections 3.2.1 and 3.3.2 of the lease contract between AFPRSBS and </w:t>
      </w:r>
      <w:r w:rsidR="00A42CC1" w:rsidRPr="00345AA4">
        <w:rPr>
          <w:rFonts w:ascii="Arial" w:hAnsi="Arial" w:cs="Arial"/>
          <w:b/>
          <w:color w:val="000000" w:themeColor="text1"/>
          <w:sz w:val="22"/>
          <w:szCs w:val="22"/>
        </w:rPr>
        <w:t>its</w:t>
      </w:r>
      <w:r w:rsidRPr="00345AA4">
        <w:rPr>
          <w:rFonts w:ascii="Arial" w:hAnsi="Arial" w:cs="Arial"/>
          <w:b/>
          <w:color w:val="000000" w:themeColor="text1"/>
          <w:sz w:val="22"/>
          <w:szCs w:val="22"/>
        </w:rPr>
        <w:t xml:space="preserve"> </w:t>
      </w:r>
      <w:r w:rsidR="001F0410" w:rsidRPr="00345AA4">
        <w:rPr>
          <w:rFonts w:ascii="Arial" w:hAnsi="Arial" w:cs="Arial"/>
          <w:b/>
          <w:color w:val="000000" w:themeColor="text1"/>
          <w:sz w:val="22"/>
          <w:szCs w:val="22"/>
        </w:rPr>
        <w:t>subsidiary</w:t>
      </w:r>
      <w:r w:rsidR="00360374" w:rsidRPr="00345AA4">
        <w:rPr>
          <w:rFonts w:ascii="Arial" w:hAnsi="Arial" w:cs="Arial"/>
          <w:b/>
          <w:color w:val="000000" w:themeColor="text1"/>
          <w:sz w:val="22"/>
          <w:szCs w:val="22"/>
        </w:rPr>
        <w:t>, thus,</w:t>
      </w:r>
      <w:r w:rsidR="00C7315A" w:rsidRPr="00345AA4">
        <w:rPr>
          <w:rFonts w:ascii="Arial" w:hAnsi="Arial" w:cs="Arial"/>
          <w:b/>
          <w:color w:val="000000" w:themeColor="text1"/>
          <w:sz w:val="22"/>
          <w:szCs w:val="22"/>
        </w:rPr>
        <w:t xml:space="preserve"> deprives the System of additional fund</w:t>
      </w:r>
      <w:r w:rsidR="001D5B0F">
        <w:rPr>
          <w:rFonts w:ascii="Arial" w:hAnsi="Arial" w:cs="Arial"/>
          <w:b/>
          <w:color w:val="000000" w:themeColor="text1"/>
          <w:sz w:val="22"/>
          <w:szCs w:val="22"/>
        </w:rPr>
        <w:t>s</w:t>
      </w:r>
      <w:r w:rsidR="00C7315A" w:rsidRPr="00345AA4">
        <w:rPr>
          <w:rFonts w:ascii="Arial" w:hAnsi="Arial" w:cs="Arial"/>
          <w:b/>
          <w:color w:val="000000" w:themeColor="text1"/>
          <w:sz w:val="22"/>
          <w:szCs w:val="22"/>
        </w:rPr>
        <w:t xml:space="preserve"> for its operations amounting to P3.600 million.</w:t>
      </w:r>
      <w:r w:rsidRPr="00345AA4">
        <w:rPr>
          <w:rFonts w:ascii="Arial" w:hAnsi="Arial" w:cs="Arial"/>
          <w:b/>
          <w:color w:val="000000" w:themeColor="text1"/>
          <w:sz w:val="22"/>
          <w:szCs w:val="22"/>
        </w:rPr>
        <w:t xml:space="preserve">  Moreover, rental receivables, if not collected is prejudicial to the interest of System upon the eventual disposal of the </w:t>
      </w:r>
      <w:r w:rsidR="00A42CC1" w:rsidRPr="00345AA4">
        <w:rPr>
          <w:rFonts w:ascii="Arial" w:hAnsi="Arial" w:cs="Arial"/>
          <w:b/>
          <w:color w:val="000000" w:themeColor="text1"/>
          <w:sz w:val="22"/>
          <w:szCs w:val="22"/>
        </w:rPr>
        <w:t>subsidiary</w:t>
      </w:r>
      <w:r w:rsidRPr="00345AA4">
        <w:rPr>
          <w:rFonts w:ascii="Arial" w:hAnsi="Arial" w:cs="Arial"/>
          <w:b/>
          <w:color w:val="000000" w:themeColor="text1"/>
          <w:sz w:val="22"/>
          <w:szCs w:val="22"/>
        </w:rPr>
        <w:t>.</w:t>
      </w:r>
    </w:p>
    <w:p w14:paraId="6A2BA6C2" w14:textId="77777777" w:rsidR="000C3538" w:rsidRPr="00345AA4" w:rsidRDefault="000C3538" w:rsidP="000C3538">
      <w:pPr>
        <w:pStyle w:val="ListParagraph"/>
        <w:ind w:left="426"/>
        <w:contextualSpacing/>
        <w:jc w:val="both"/>
        <w:rPr>
          <w:rFonts w:ascii="Arial" w:hAnsi="Arial" w:cs="Arial"/>
          <w:b/>
          <w:color w:val="000000" w:themeColor="text1"/>
          <w:sz w:val="22"/>
          <w:szCs w:val="22"/>
        </w:rPr>
      </w:pPr>
    </w:p>
    <w:p w14:paraId="27A950A6" w14:textId="77777777" w:rsidR="000C3538" w:rsidRPr="00345AA4" w:rsidRDefault="000C3538" w:rsidP="000C3538">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The contract of lease provides:</w:t>
      </w:r>
    </w:p>
    <w:p w14:paraId="2587B790" w14:textId="77777777" w:rsidR="000C3538" w:rsidRPr="00345AA4" w:rsidRDefault="000C3538" w:rsidP="000C3538">
      <w:pPr>
        <w:pStyle w:val="ListParagraph"/>
        <w:tabs>
          <w:tab w:val="left" w:pos="990"/>
        </w:tabs>
        <w:ind w:left="900"/>
        <w:contextualSpacing/>
        <w:jc w:val="both"/>
        <w:rPr>
          <w:rFonts w:ascii="Arial" w:hAnsi="Arial" w:cs="Arial"/>
          <w:color w:val="000000" w:themeColor="text1"/>
          <w:sz w:val="22"/>
          <w:szCs w:val="22"/>
        </w:rPr>
      </w:pPr>
    </w:p>
    <w:p w14:paraId="6299DF2F" w14:textId="77777777" w:rsidR="000C3538" w:rsidRPr="00345AA4" w:rsidRDefault="000C3538" w:rsidP="001F0410">
      <w:pPr>
        <w:pStyle w:val="NoSpacing"/>
        <w:ind w:left="1440" w:right="702"/>
        <w:jc w:val="both"/>
        <w:rPr>
          <w:rFonts w:ascii="Arial" w:hAnsi="Arial" w:cs="Arial"/>
          <w:i/>
          <w:color w:val="000000" w:themeColor="text1"/>
        </w:rPr>
      </w:pPr>
      <w:r w:rsidRPr="00345AA4">
        <w:rPr>
          <w:rFonts w:ascii="Arial" w:hAnsi="Arial" w:cs="Arial"/>
          <w:i/>
          <w:color w:val="000000" w:themeColor="text1"/>
        </w:rPr>
        <w:t>Section 3.3.1. Without need of demand of whatever kind, an initial payment equivalent to rental of one (1) calendar month or the total sum of One Hundred Thousand (P100,000) Philippine Pesos, shall be paid upon signing of this contract not later than at noon the fifth (5</w:t>
      </w:r>
      <w:r w:rsidRPr="00345AA4">
        <w:rPr>
          <w:rFonts w:ascii="Arial" w:hAnsi="Arial" w:cs="Arial"/>
          <w:i/>
          <w:color w:val="000000" w:themeColor="text1"/>
          <w:vertAlign w:val="superscript"/>
        </w:rPr>
        <w:t>th</w:t>
      </w:r>
      <w:r w:rsidRPr="00345AA4">
        <w:rPr>
          <w:rFonts w:ascii="Arial" w:hAnsi="Arial" w:cs="Arial"/>
          <w:i/>
          <w:color w:val="000000" w:themeColor="text1"/>
        </w:rPr>
        <w:t>) regular business day following the date this Lease Contract signed by the Parties.</w:t>
      </w:r>
    </w:p>
    <w:p w14:paraId="4414000A" w14:textId="77777777" w:rsidR="00AE6CBD" w:rsidRPr="00345AA4" w:rsidRDefault="00AE6CBD" w:rsidP="00AE6CBD">
      <w:pPr>
        <w:pStyle w:val="NoSpacing"/>
        <w:ind w:left="993" w:right="702"/>
        <w:jc w:val="both"/>
        <w:rPr>
          <w:rFonts w:ascii="Arial" w:hAnsi="Arial" w:cs="Arial"/>
          <w:i/>
          <w:color w:val="000000" w:themeColor="text1"/>
        </w:rPr>
      </w:pPr>
    </w:p>
    <w:p w14:paraId="4E526409" w14:textId="77777777" w:rsidR="00100368" w:rsidRPr="00345AA4" w:rsidRDefault="000C3538" w:rsidP="002C39EB">
      <w:pPr>
        <w:pStyle w:val="NoSpacing"/>
        <w:ind w:left="1440" w:right="702"/>
        <w:jc w:val="both"/>
        <w:rPr>
          <w:rFonts w:ascii="Arial" w:hAnsi="Arial" w:cs="Arial"/>
          <w:i/>
          <w:color w:val="000000" w:themeColor="text1"/>
        </w:rPr>
      </w:pPr>
      <w:r w:rsidRPr="00345AA4">
        <w:rPr>
          <w:rFonts w:ascii="Arial" w:hAnsi="Arial" w:cs="Arial"/>
          <w:i/>
          <w:color w:val="000000" w:themeColor="text1"/>
        </w:rPr>
        <w:t xml:space="preserve">Section 3.3.2.  </w:t>
      </w:r>
      <w:r w:rsidRPr="00345AA4">
        <w:rPr>
          <w:rFonts w:ascii="Arial" w:hAnsi="Arial" w:cs="Arial"/>
          <w:b/>
          <w:i/>
          <w:color w:val="000000" w:themeColor="text1"/>
        </w:rPr>
        <w:t>Without the need of demand, all subsequent payments of monthly rentals shall be made at or before noon on the fifth (5</w:t>
      </w:r>
      <w:r w:rsidRPr="00345AA4">
        <w:rPr>
          <w:rFonts w:ascii="Arial" w:hAnsi="Arial" w:cs="Arial"/>
          <w:b/>
          <w:i/>
          <w:color w:val="000000" w:themeColor="text1"/>
          <w:vertAlign w:val="superscript"/>
        </w:rPr>
        <w:t>th</w:t>
      </w:r>
      <w:r w:rsidRPr="00345AA4">
        <w:rPr>
          <w:rFonts w:ascii="Arial" w:hAnsi="Arial" w:cs="Arial"/>
          <w:b/>
          <w:i/>
          <w:color w:val="000000" w:themeColor="text1"/>
        </w:rPr>
        <w:t xml:space="preserve">) regular day of the month. </w:t>
      </w:r>
      <w:r w:rsidR="002C39EB" w:rsidRPr="00345AA4">
        <w:rPr>
          <w:rFonts w:ascii="Arial" w:hAnsi="Arial" w:cs="Arial"/>
          <w:i/>
          <w:color w:val="000000" w:themeColor="text1"/>
        </w:rPr>
        <w:t>(</w:t>
      </w:r>
      <w:r w:rsidR="002C39EB" w:rsidRPr="00164E8C">
        <w:rPr>
          <w:rFonts w:ascii="Arial" w:hAnsi="Arial" w:cs="Arial"/>
          <w:color w:val="000000" w:themeColor="text1"/>
        </w:rPr>
        <w:t>Emphasis supplied</w:t>
      </w:r>
      <w:r w:rsidR="002C39EB" w:rsidRPr="00345AA4">
        <w:rPr>
          <w:rFonts w:ascii="Arial" w:hAnsi="Arial" w:cs="Arial"/>
          <w:i/>
          <w:color w:val="000000" w:themeColor="text1"/>
        </w:rPr>
        <w:t>)</w:t>
      </w:r>
      <w:r w:rsidR="002C39EB" w:rsidRPr="00345AA4">
        <w:rPr>
          <w:rFonts w:ascii="Arial" w:hAnsi="Arial" w:cs="Arial"/>
          <w:i/>
          <w:color w:val="000000" w:themeColor="text1"/>
        </w:rPr>
        <w:tab/>
      </w:r>
    </w:p>
    <w:p w14:paraId="49D49665" w14:textId="77777777" w:rsidR="00100368" w:rsidRPr="00345AA4" w:rsidRDefault="00100368" w:rsidP="00AE6CBD">
      <w:pPr>
        <w:pStyle w:val="NoSpacing"/>
        <w:ind w:left="993" w:right="702"/>
        <w:jc w:val="both"/>
        <w:rPr>
          <w:rFonts w:ascii="Arial" w:hAnsi="Arial" w:cs="Arial"/>
          <w:i/>
          <w:color w:val="000000" w:themeColor="text1"/>
        </w:rPr>
      </w:pPr>
    </w:p>
    <w:p w14:paraId="5B24349A" w14:textId="40F5EA7E" w:rsidR="000C3538" w:rsidRPr="00345AA4" w:rsidRDefault="000C3538" w:rsidP="000C3538">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The lessee water utility corporation, a wholly owned subsidiary of the System, whose primary purpose is to operate, maintain and manage water utilities including but not limited to water distribution, deep well servicing, repair or rehabilitation of water systems and operations of water refilling station/s</w:t>
      </w:r>
      <w:r w:rsidR="00EA7B4A" w:rsidRPr="00345AA4">
        <w:rPr>
          <w:rFonts w:ascii="Arial" w:hAnsi="Arial" w:cs="Arial"/>
          <w:color w:val="000000" w:themeColor="text1"/>
          <w:sz w:val="22"/>
          <w:szCs w:val="22"/>
        </w:rPr>
        <w:t>,</w:t>
      </w:r>
      <w:r w:rsidRPr="00345AA4">
        <w:rPr>
          <w:rFonts w:ascii="Arial" w:hAnsi="Arial" w:cs="Arial"/>
          <w:color w:val="000000" w:themeColor="text1"/>
          <w:sz w:val="22"/>
          <w:szCs w:val="22"/>
        </w:rPr>
        <w:t xml:space="preserve"> entered into a contract of lease with AFPRSBS, as the lessor, who owned the seven water tank lots </w:t>
      </w:r>
      <w:r w:rsidR="004A19AE" w:rsidRPr="00345AA4">
        <w:rPr>
          <w:rFonts w:ascii="Arial" w:hAnsi="Arial" w:cs="Arial"/>
          <w:color w:val="000000" w:themeColor="text1"/>
          <w:sz w:val="22"/>
          <w:szCs w:val="22"/>
        </w:rPr>
        <w:t xml:space="preserve">for </w:t>
      </w:r>
      <w:r w:rsidRPr="00345AA4">
        <w:rPr>
          <w:rFonts w:ascii="Arial" w:hAnsi="Arial" w:cs="Arial"/>
          <w:color w:val="000000" w:themeColor="text1"/>
          <w:sz w:val="22"/>
          <w:szCs w:val="22"/>
        </w:rPr>
        <w:t xml:space="preserve">use in the operation of the lessee located at a subdivision in Sta. Rosa City, Laguna. </w:t>
      </w:r>
    </w:p>
    <w:p w14:paraId="1702D396" w14:textId="77777777" w:rsidR="000C3538" w:rsidRPr="00345AA4" w:rsidRDefault="000C3538" w:rsidP="000C3538">
      <w:pPr>
        <w:pStyle w:val="ListParagraph"/>
        <w:contextualSpacing/>
        <w:jc w:val="both"/>
        <w:rPr>
          <w:rFonts w:ascii="Arial" w:hAnsi="Arial" w:cs="Arial"/>
          <w:color w:val="000000" w:themeColor="text1"/>
          <w:sz w:val="22"/>
          <w:szCs w:val="22"/>
        </w:rPr>
      </w:pPr>
    </w:p>
    <w:p w14:paraId="627BDA96" w14:textId="77777777" w:rsidR="000C3538" w:rsidRPr="00345AA4" w:rsidRDefault="000C3538" w:rsidP="000C3538">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The term of the contract of lease shall be for a period of one year expiring on December 31, 2016 and provides for an automatic renewal/extension yearly thereafter unless a written notice to the contrary shall be given by the lessee to AFPRSBS within a period of 60 days prior to said expiration.  The agreed monthly lease rate is fixed at P100,000.</w:t>
      </w:r>
    </w:p>
    <w:p w14:paraId="447D9611" w14:textId="77777777" w:rsidR="000C3538" w:rsidRPr="00345AA4" w:rsidRDefault="000C3538" w:rsidP="000C3538">
      <w:pPr>
        <w:pStyle w:val="ListParagraph"/>
        <w:contextualSpacing/>
        <w:jc w:val="both"/>
        <w:rPr>
          <w:rFonts w:ascii="Arial" w:hAnsi="Arial" w:cs="Arial"/>
          <w:color w:val="000000" w:themeColor="text1"/>
          <w:sz w:val="22"/>
          <w:szCs w:val="22"/>
        </w:rPr>
      </w:pPr>
    </w:p>
    <w:p w14:paraId="20F2E165" w14:textId="66DCC65A" w:rsidR="000C3538" w:rsidRPr="00345AA4" w:rsidRDefault="000C3538" w:rsidP="000C3538">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In 2016, the System collected rental payment from the lessee amounting to P1.200 million based on the existing lease contract.  Subsequently, no rental payments were collected covering the period from January 1, 2017 to December 31, 2019 or for three years from the lessee.  Per verification with the lessee, a total of P2.400 million was accrued and reported as tank lot rentals in its audited </w:t>
      </w:r>
      <w:r w:rsidR="00AD45CD" w:rsidRPr="00345AA4">
        <w:rPr>
          <w:rFonts w:ascii="Arial" w:hAnsi="Arial" w:cs="Arial"/>
          <w:color w:val="000000" w:themeColor="text1"/>
          <w:sz w:val="22"/>
          <w:szCs w:val="22"/>
        </w:rPr>
        <w:t>FS</w:t>
      </w:r>
      <w:r w:rsidRPr="00345AA4">
        <w:rPr>
          <w:rFonts w:ascii="Arial" w:hAnsi="Arial" w:cs="Arial"/>
          <w:color w:val="000000" w:themeColor="text1"/>
          <w:sz w:val="22"/>
          <w:szCs w:val="22"/>
        </w:rPr>
        <w:t xml:space="preserve"> in CY 2018 and CY 2017.  In 2019, the lessee accrued tank lot rentals amounting to P1.200 million.</w:t>
      </w:r>
    </w:p>
    <w:p w14:paraId="20BDA3A7" w14:textId="77777777" w:rsidR="000C3538" w:rsidRPr="00345AA4" w:rsidRDefault="000C3538" w:rsidP="000C3538">
      <w:pPr>
        <w:pStyle w:val="ListParagraph"/>
        <w:contextualSpacing/>
        <w:jc w:val="both"/>
        <w:rPr>
          <w:rFonts w:ascii="Arial" w:hAnsi="Arial" w:cs="Arial"/>
          <w:color w:val="000000" w:themeColor="text1"/>
          <w:sz w:val="22"/>
          <w:szCs w:val="22"/>
        </w:rPr>
      </w:pPr>
    </w:p>
    <w:p w14:paraId="263C0DD8" w14:textId="587A87C0" w:rsidR="000C3538" w:rsidRPr="00345AA4" w:rsidRDefault="000C3538" w:rsidP="000C3538">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Inquiry with the AD disclosed that the lease rentals were not collected from the lessee in the belief that the contract was already expired on December 31, 2016.  However, according to the </w:t>
      </w:r>
      <w:r w:rsidR="00617CE2" w:rsidRPr="00345AA4">
        <w:rPr>
          <w:rFonts w:ascii="Arial" w:hAnsi="Arial" w:cs="Arial"/>
          <w:color w:val="000000" w:themeColor="text1"/>
          <w:sz w:val="22"/>
          <w:szCs w:val="22"/>
        </w:rPr>
        <w:t>Property Management and Enhancement Department (</w:t>
      </w:r>
      <w:r w:rsidRPr="00345AA4">
        <w:rPr>
          <w:rFonts w:ascii="Arial" w:hAnsi="Arial" w:cs="Arial"/>
          <w:color w:val="000000" w:themeColor="text1"/>
          <w:sz w:val="22"/>
          <w:szCs w:val="22"/>
        </w:rPr>
        <w:t>PMED</w:t>
      </w:r>
      <w:r w:rsidR="00617CE2" w:rsidRPr="00345AA4">
        <w:rPr>
          <w:rFonts w:ascii="Arial" w:hAnsi="Arial" w:cs="Arial"/>
          <w:color w:val="000000" w:themeColor="text1"/>
          <w:sz w:val="22"/>
          <w:szCs w:val="22"/>
        </w:rPr>
        <w:t>)</w:t>
      </w:r>
      <w:r w:rsidRPr="00345AA4">
        <w:rPr>
          <w:rFonts w:ascii="Arial" w:hAnsi="Arial" w:cs="Arial"/>
          <w:color w:val="000000" w:themeColor="text1"/>
          <w:sz w:val="22"/>
          <w:szCs w:val="22"/>
        </w:rPr>
        <w:t xml:space="preserve">, the Management suspended the collection of the lease rentals from the lessee beginning January 2017 in anticipation of the turn-over of the Subdivision to the </w:t>
      </w:r>
      <w:r w:rsidR="003E6616" w:rsidRPr="00345AA4">
        <w:rPr>
          <w:rFonts w:ascii="Arial" w:hAnsi="Arial" w:cs="Arial"/>
          <w:color w:val="000000" w:themeColor="text1"/>
          <w:sz w:val="22"/>
          <w:szCs w:val="22"/>
        </w:rPr>
        <w:t>Local Government Unit (</w:t>
      </w:r>
      <w:r w:rsidRPr="00345AA4">
        <w:rPr>
          <w:rFonts w:ascii="Arial" w:hAnsi="Arial" w:cs="Arial"/>
          <w:color w:val="000000" w:themeColor="text1"/>
          <w:sz w:val="22"/>
          <w:szCs w:val="22"/>
        </w:rPr>
        <w:t>LGU</w:t>
      </w:r>
      <w:r w:rsidR="003E6616" w:rsidRPr="00345AA4">
        <w:rPr>
          <w:rFonts w:ascii="Arial" w:hAnsi="Arial" w:cs="Arial"/>
          <w:color w:val="000000" w:themeColor="text1"/>
          <w:sz w:val="22"/>
          <w:szCs w:val="22"/>
        </w:rPr>
        <w:t>)</w:t>
      </w:r>
      <w:r w:rsidRPr="00345AA4">
        <w:rPr>
          <w:rFonts w:ascii="Arial" w:hAnsi="Arial" w:cs="Arial"/>
          <w:color w:val="000000" w:themeColor="text1"/>
          <w:sz w:val="22"/>
          <w:szCs w:val="22"/>
        </w:rPr>
        <w:t xml:space="preserve"> of Sta. Rosa City and the impending disposal of the lessee in the same year.  The Audit Team requested from Management a copy of board resolution or any other documentary evidence relative to the suspension of collection of the lease </w:t>
      </w:r>
      <w:r w:rsidRPr="00345AA4">
        <w:rPr>
          <w:rFonts w:ascii="Arial" w:hAnsi="Arial" w:cs="Arial"/>
          <w:color w:val="000000" w:themeColor="text1"/>
          <w:sz w:val="22"/>
          <w:szCs w:val="22"/>
        </w:rPr>
        <w:lastRenderedPageBreak/>
        <w:t>rentals from the lessee.  However, as of to date, Management failed to provide the documents</w:t>
      </w:r>
      <w:r w:rsidR="00EA7B4A" w:rsidRPr="00345AA4">
        <w:rPr>
          <w:rFonts w:ascii="Arial" w:hAnsi="Arial" w:cs="Arial"/>
          <w:color w:val="000000" w:themeColor="text1"/>
          <w:sz w:val="22"/>
          <w:szCs w:val="22"/>
        </w:rPr>
        <w:t xml:space="preserve"> requested by the Audit Team</w:t>
      </w:r>
      <w:r w:rsidRPr="00345AA4">
        <w:rPr>
          <w:rFonts w:ascii="Arial" w:hAnsi="Arial" w:cs="Arial"/>
          <w:color w:val="000000" w:themeColor="text1"/>
          <w:sz w:val="22"/>
          <w:szCs w:val="22"/>
        </w:rPr>
        <w:t>.  As a result of the foregoing, the monthly lease rental of P100,000 was not collected beginning from January 2017 to December 31, 2019 or a total of P3.600 million remains to be uncollected as at reporting date.</w:t>
      </w:r>
    </w:p>
    <w:p w14:paraId="68EBD894" w14:textId="77777777" w:rsidR="000C3538" w:rsidRPr="00345AA4" w:rsidRDefault="000C3538" w:rsidP="000C3538">
      <w:pPr>
        <w:pStyle w:val="ListParagraph"/>
        <w:contextualSpacing/>
        <w:jc w:val="both"/>
        <w:rPr>
          <w:rFonts w:ascii="Arial" w:hAnsi="Arial" w:cs="Arial"/>
          <w:color w:val="000000" w:themeColor="text1"/>
          <w:sz w:val="22"/>
          <w:szCs w:val="22"/>
        </w:rPr>
      </w:pPr>
    </w:p>
    <w:p w14:paraId="3AE0A00D" w14:textId="6BD377A1" w:rsidR="000C3538" w:rsidRPr="00345AA4" w:rsidRDefault="000C3538" w:rsidP="000C3538">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Further, inquiry with </w:t>
      </w:r>
      <w:r w:rsidR="004A19AE" w:rsidRPr="00345AA4">
        <w:rPr>
          <w:rFonts w:ascii="Arial" w:hAnsi="Arial" w:cs="Arial"/>
          <w:color w:val="000000" w:themeColor="text1"/>
          <w:sz w:val="22"/>
          <w:szCs w:val="22"/>
        </w:rPr>
        <w:t xml:space="preserve">the </w:t>
      </w:r>
      <w:r w:rsidRPr="00345AA4">
        <w:rPr>
          <w:rFonts w:ascii="Arial" w:hAnsi="Arial" w:cs="Arial"/>
          <w:color w:val="000000" w:themeColor="text1"/>
          <w:sz w:val="22"/>
          <w:szCs w:val="22"/>
        </w:rPr>
        <w:t>LD disclosed that the stipulations of both contracting parties, the AFPRSBS and the water utility corporation, provided in the lease contract shall govern.  As agreed, the term of the lease contract shall be automatically renewed/extended yearly thereafter, unless a written notice to the contrary shall be given by the lessee to the lessor prior to the said expiration.  Otherwise stated, the contract of lease remains to be valid and effective since there was no documentary evidence to the contrary showing that the lessee submitted the aforementioned written notice prior to the expiration of the contract of lease.  It was also noted that there is no need to issue another contract of lease in case of the automatic renewal and extension of the lease.  All the other terms and conditions in the existing contract shall remain applicable except, only such other terms and conditions, if any, as may be agreed by both AFPRSBS and the water utility corporation in writing.</w:t>
      </w:r>
    </w:p>
    <w:p w14:paraId="5668D6FB" w14:textId="77777777" w:rsidR="000C3538" w:rsidRPr="00345AA4" w:rsidRDefault="000C3538" w:rsidP="000C3538">
      <w:pPr>
        <w:pStyle w:val="ListParagraph"/>
        <w:rPr>
          <w:rFonts w:ascii="Arial" w:hAnsi="Arial" w:cs="Arial"/>
          <w:color w:val="000000" w:themeColor="text1"/>
          <w:sz w:val="22"/>
          <w:szCs w:val="22"/>
        </w:rPr>
      </w:pPr>
    </w:p>
    <w:p w14:paraId="0F0C473C" w14:textId="77777777" w:rsidR="000C3538" w:rsidRPr="00345AA4" w:rsidRDefault="000C3538" w:rsidP="000C3538">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Assuming arguendo that the contract ceased to be valid after its expiration on December 31, 2016, the New Civil Code, with regard to the provisions on Leases, provides that an implied new lease also known as </w:t>
      </w:r>
      <w:proofErr w:type="spellStart"/>
      <w:r w:rsidRPr="00345AA4">
        <w:rPr>
          <w:rFonts w:ascii="Arial" w:hAnsi="Arial" w:cs="Arial"/>
          <w:i/>
          <w:color w:val="000000" w:themeColor="text1"/>
          <w:sz w:val="22"/>
          <w:szCs w:val="22"/>
        </w:rPr>
        <w:t>tacita</w:t>
      </w:r>
      <w:proofErr w:type="spellEnd"/>
      <w:r w:rsidRPr="00345AA4">
        <w:rPr>
          <w:rFonts w:ascii="Arial" w:hAnsi="Arial" w:cs="Arial"/>
          <w:i/>
          <w:color w:val="000000" w:themeColor="text1"/>
          <w:sz w:val="22"/>
          <w:szCs w:val="22"/>
        </w:rPr>
        <w:t xml:space="preserve"> </w:t>
      </w:r>
      <w:proofErr w:type="spellStart"/>
      <w:r w:rsidRPr="00345AA4">
        <w:rPr>
          <w:rFonts w:ascii="Arial" w:hAnsi="Arial" w:cs="Arial"/>
          <w:i/>
          <w:color w:val="000000" w:themeColor="text1"/>
          <w:sz w:val="22"/>
          <w:szCs w:val="22"/>
        </w:rPr>
        <w:t>reconduccion</w:t>
      </w:r>
      <w:proofErr w:type="spellEnd"/>
      <w:r w:rsidRPr="00345AA4">
        <w:rPr>
          <w:rFonts w:ascii="Arial" w:hAnsi="Arial" w:cs="Arial"/>
          <w:color w:val="000000" w:themeColor="text1"/>
          <w:sz w:val="22"/>
          <w:szCs w:val="22"/>
        </w:rPr>
        <w:t xml:space="preserve"> is created:</w:t>
      </w:r>
    </w:p>
    <w:p w14:paraId="6515796C" w14:textId="77777777" w:rsidR="000C3538" w:rsidRPr="00345AA4" w:rsidRDefault="000C3538" w:rsidP="000C3538">
      <w:pPr>
        <w:pStyle w:val="ListParagraph"/>
        <w:rPr>
          <w:rStyle w:val="Strong"/>
          <w:rFonts w:ascii="Arial" w:eastAsia="Calibri" w:hAnsi="Arial" w:cs="Arial"/>
          <w:b w:val="0"/>
          <w:bCs w:val="0"/>
          <w:color w:val="000000" w:themeColor="text1"/>
          <w:sz w:val="22"/>
          <w:szCs w:val="22"/>
        </w:rPr>
      </w:pPr>
    </w:p>
    <w:p w14:paraId="03E02005" w14:textId="77777777" w:rsidR="000C3538" w:rsidRPr="00345AA4" w:rsidRDefault="000C3538" w:rsidP="001F0410">
      <w:pPr>
        <w:pStyle w:val="ListParagraph"/>
        <w:ind w:left="1440" w:right="720"/>
        <w:jc w:val="both"/>
        <w:rPr>
          <w:rStyle w:val="Strong"/>
          <w:rFonts w:ascii="Arial" w:eastAsia="Calibri" w:hAnsi="Arial" w:cs="Arial"/>
          <w:b w:val="0"/>
          <w:bCs w:val="0"/>
          <w:i/>
          <w:color w:val="000000" w:themeColor="text1"/>
          <w:sz w:val="22"/>
          <w:szCs w:val="22"/>
        </w:rPr>
      </w:pPr>
      <w:r w:rsidRPr="00345AA4">
        <w:rPr>
          <w:rStyle w:val="Strong"/>
          <w:rFonts w:ascii="Arial" w:eastAsia="Calibri" w:hAnsi="Arial" w:cs="Arial"/>
          <w:b w:val="0"/>
          <w:i/>
          <w:color w:val="000000" w:themeColor="text1"/>
          <w:sz w:val="22"/>
          <w:szCs w:val="22"/>
        </w:rPr>
        <w:t>Art. 1669.</w:t>
      </w:r>
      <w:r w:rsidRPr="00345AA4">
        <w:rPr>
          <w:rStyle w:val="Strong"/>
          <w:rFonts w:ascii="Arial" w:eastAsia="Calibri" w:hAnsi="Arial" w:cs="Arial"/>
          <w:i/>
          <w:color w:val="000000" w:themeColor="text1"/>
          <w:sz w:val="22"/>
          <w:szCs w:val="22"/>
        </w:rPr>
        <w:t xml:space="preserve"> If the lease was made for a determinate time, it ceases upon the day fixed, without the need of a demand. </w:t>
      </w:r>
    </w:p>
    <w:p w14:paraId="483915FD" w14:textId="77777777" w:rsidR="000C3538" w:rsidRPr="00345AA4" w:rsidRDefault="000C3538" w:rsidP="000C3538">
      <w:pPr>
        <w:pStyle w:val="ListParagraph"/>
        <w:ind w:left="851"/>
        <w:jc w:val="both"/>
        <w:rPr>
          <w:rStyle w:val="Strong"/>
          <w:rFonts w:ascii="Arial" w:eastAsia="Calibri" w:hAnsi="Arial" w:cs="Arial"/>
          <w:i/>
          <w:color w:val="000000" w:themeColor="text1"/>
          <w:sz w:val="22"/>
          <w:szCs w:val="22"/>
        </w:rPr>
      </w:pPr>
    </w:p>
    <w:p w14:paraId="510D7143" w14:textId="77777777" w:rsidR="000C3538" w:rsidRPr="00345AA4" w:rsidRDefault="000C3538" w:rsidP="001F0410">
      <w:pPr>
        <w:pStyle w:val="ListParagraph"/>
        <w:ind w:left="1440" w:right="720"/>
        <w:jc w:val="both"/>
        <w:rPr>
          <w:rStyle w:val="Strong"/>
          <w:rFonts w:ascii="Arial" w:eastAsia="Calibri" w:hAnsi="Arial" w:cs="Arial"/>
          <w:b w:val="0"/>
          <w:bCs w:val="0"/>
          <w:i/>
          <w:color w:val="000000" w:themeColor="text1"/>
          <w:sz w:val="22"/>
          <w:szCs w:val="22"/>
        </w:rPr>
      </w:pPr>
      <w:r w:rsidRPr="00345AA4">
        <w:rPr>
          <w:rStyle w:val="Strong"/>
          <w:rFonts w:ascii="Arial" w:eastAsia="Calibri" w:hAnsi="Arial" w:cs="Arial"/>
          <w:b w:val="0"/>
          <w:i/>
          <w:color w:val="000000" w:themeColor="text1"/>
          <w:sz w:val="22"/>
          <w:szCs w:val="22"/>
        </w:rPr>
        <w:t>Art. 1670.</w:t>
      </w:r>
      <w:r w:rsidRPr="00345AA4">
        <w:rPr>
          <w:rStyle w:val="Strong"/>
          <w:rFonts w:ascii="Arial" w:eastAsia="Calibri" w:hAnsi="Arial" w:cs="Arial"/>
          <w:i/>
          <w:color w:val="000000" w:themeColor="text1"/>
          <w:sz w:val="22"/>
          <w:szCs w:val="22"/>
        </w:rPr>
        <w:t xml:space="preserve"> If at the end of the contract the lessee should continue enjoying the thing leased for fifteen days with the acquiescence of the lessor, and unless a notice to the contrary by either party has previously been given, it is understood that there is an implied new lease, </w:t>
      </w:r>
      <w:r w:rsidRPr="00345AA4">
        <w:rPr>
          <w:rStyle w:val="Strong"/>
          <w:rFonts w:ascii="Arial" w:eastAsia="Calibri" w:hAnsi="Arial" w:cs="Arial"/>
          <w:b w:val="0"/>
          <w:i/>
          <w:color w:val="000000" w:themeColor="text1"/>
          <w:sz w:val="22"/>
          <w:szCs w:val="22"/>
        </w:rPr>
        <w:t xml:space="preserve">not for the period of the original contract, but for the time established in Articles 1682 and 1687.  The other terms of the original contract shall be revived. </w:t>
      </w:r>
    </w:p>
    <w:p w14:paraId="0BBEF5D4" w14:textId="77777777" w:rsidR="000C3538" w:rsidRPr="00345AA4" w:rsidRDefault="000C3538" w:rsidP="000C3538">
      <w:pPr>
        <w:pStyle w:val="ListParagraph"/>
        <w:ind w:left="851" w:right="720"/>
        <w:jc w:val="both"/>
        <w:rPr>
          <w:rStyle w:val="Strong"/>
          <w:rFonts w:ascii="Arial" w:eastAsia="Calibri" w:hAnsi="Arial" w:cs="Arial"/>
          <w:b w:val="0"/>
          <w:bCs w:val="0"/>
          <w:i/>
          <w:color w:val="000000" w:themeColor="text1"/>
          <w:sz w:val="22"/>
          <w:szCs w:val="22"/>
        </w:rPr>
      </w:pPr>
    </w:p>
    <w:p w14:paraId="37E97B5E" w14:textId="77777777" w:rsidR="000C3538" w:rsidRPr="00345AA4" w:rsidRDefault="000C3538" w:rsidP="001F0410">
      <w:pPr>
        <w:pStyle w:val="ListParagraph"/>
        <w:ind w:left="1440" w:right="720"/>
        <w:jc w:val="both"/>
        <w:rPr>
          <w:rStyle w:val="Strong"/>
          <w:rFonts w:ascii="Arial" w:eastAsia="Calibri" w:hAnsi="Arial" w:cs="Arial"/>
          <w:b w:val="0"/>
          <w:color w:val="000000" w:themeColor="text1"/>
          <w:sz w:val="22"/>
          <w:szCs w:val="22"/>
        </w:rPr>
      </w:pPr>
      <w:r w:rsidRPr="00345AA4">
        <w:rPr>
          <w:rStyle w:val="Strong"/>
          <w:rFonts w:ascii="Arial" w:eastAsia="Calibri" w:hAnsi="Arial" w:cs="Arial"/>
          <w:b w:val="0"/>
          <w:i/>
          <w:color w:val="000000" w:themeColor="text1"/>
          <w:sz w:val="22"/>
          <w:szCs w:val="22"/>
        </w:rPr>
        <w:t>Art. 1687.</w:t>
      </w:r>
      <w:r w:rsidRPr="00345AA4">
        <w:rPr>
          <w:rStyle w:val="Strong"/>
          <w:rFonts w:ascii="Arial" w:eastAsia="Calibri" w:hAnsi="Arial" w:cs="Arial"/>
          <w:i/>
          <w:color w:val="000000" w:themeColor="text1"/>
          <w:sz w:val="22"/>
          <w:szCs w:val="22"/>
        </w:rPr>
        <w:t xml:space="preserve"> If the period for the lease has not been fixed, it is understood to be from year to year, if the rent agreed upon is annual; from month to month, if it is monthly; from week to week, if the rent is weekly; and from day to day, if the rent is to be paid daily.  Xxx. </w:t>
      </w:r>
      <w:r w:rsidRPr="00345AA4">
        <w:rPr>
          <w:rStyle w:val="Strong"/>
          <w:rFonts w:ascii="Arial" w:eastAsia="Calibri" w:hAnsi="Arial" w:cs="Arial"/>
          <w:b w:val="0"/>
          <w:color w:val="000000" w:themeColor="text1"/>
          <w:sz w:val="22"/>
          <w:szCs w:val="22"/>
        </w:rPr>
        <w:t>(</w:t>
      </w:r>
      <w:r w:rsidRPr="00C47B53">
        <w:rPr>
          <w:rStyle w:val="Strong"/>
          <w:rFonts w:ascii="Arial" w:eastAsia="Calibri" w:hAnsi="Arial" w:cs="Arial"/>
          <w:b w:val="0"/>
          <w:color w:val="000000" w:themeColor="text1"/>
          <w:sz w:val="22"/>
          <w:szCs w:val="22"/>
        </w:rPr>
        <w:t>Emphasis supplied</w:t>
      </w:r>
      <w:r w:rsidRPr="00345AA4">
        <w:rPr>
          <w:rStyle w:val="Strong"/>
          <w:rFonts w:ascii="Arial" w:eastAsia="Calibri" w:hAnsi="Arial" w:cs="Arial"/>
          <w:b w:val="0"/>
          <w:color w:val="000000" w:themeColor="text1"/>
          <w:sz w:val="22"/>
          <w:szCs w:val="22"/>
        </w:rPr>
        <w:t>)</w:t>
      </w:r>
    </w:p>
    <w:p w14:paraId="132E8537" w14:textId="77777777" w:rsidR="000C3538" w:rsidRPr="00345AA4" w:rsidRDefault="000C3538" w:rsidP="000C3538">
      <w:pPr>
        <w:pStyle w:val="ListParagraph"/>
        <w:ind w:left="851" w:right="720"/>
        <w:jc w:val="both"/>
        <w:rPr>
          <w:rStyle w:val="Strong"/>
          <w:rFonts w:ascii="Arial" w:eastAsia="Calibri" w:hAnsi="Arial" w:cs="Arial"/>
          <w:b w:val="0"/>
          <w:bCs w:val="0"/>
          <w:color w:val="000000" w:themeColor="text1"/>
          <w:sz w:val="22"/>
          <w:szCs w:val="22"/>
        </w:rPr>
      </w:pPr>
    </w:p>
    <w:p w14:paraId="7AB94E11" w14:textId="0AE8C86F" w:rsidR="000C3538" w:rsidRPr="00345AA4" w:rsidRDefault="000C3538" w:rsidP="00FE630B">
      <w:pPr>
        <w:pStyle w:val="ListParagraph"/>
        <w:numPr>
          <w:ilvl w:val="1"/>
          <w:numId w:val="1"/>
        </w:numPr>
        <w:tabs>
          <w:tab w:val="left" w:pos="990"/>
        </w:tabs>
        <w:ind w:left="900" w:hanging="540"/>
        <w:contextualSpacing/>
        <w:jc w:val="both"/>
        <w:rPr>
          <w:rStyle w:val="Strong"/>
          <w:rFonts w:ascii="Arial" w:eastAsia="Calibri" w:hAnsi="Arial" w:cs="Arial"/>
          <w:b w:val="0"/>
          <w:color w:val="000000" w:themeColor="text1"/>
          <w:sz w:val="22"/>
          <w:szCs w:val="22"/>
        </w:rPr>
      </w:pPr>
      <w:r w:rsidRPr="00345AA4">
        <w:rPr>
          <w:rStyle w:val="Strong"/>
          <w:rFonts w:ascii="Arial" w:eastAsia="Calibri" w:hAnsi="Arial" w:cs="Arial"/>
          <w:b w:val="0"/>
          <w:color w:val="000000" w:themeColor="text1"/>
          <w:sz w:val="22"/>
          <w:szCs w:val="22"/>
        </w:rPr>
        <w:t>Pursuant to the provisions mentioned above, lease agreement is created after an existing contract of lease expired.  Thus, the lessee shall continue to pay monthly rental unless the lessee actually vacate</w:t>
      </w:r>
      <w:r w:rsidR="004A19AE" w:rsidRPr="00345AA4">
        <w:rPr>
          <w:rStyle w:val="Strong"/>
          <w:rFonts w:ascii="Arial" w:eastAsia="Calibri" w:hAnsi="Arial" w:cs="Arial"/>
          <w:b w:val="0"/>
          <w:color w:val="000000" w:themeColor="text1"/>
          <w:sz w:val="22"/>
          <w:szCs w:val="22"/>
        </w:rPr>
        <w:t>s</w:t>
      </w:r>
      <w:r w:rsidRPr="00345AA4">
        <w:rPr>
          <w:rStyle w:val="Strong"/>
          <w:rFonts w:ascii="Arial" w:eastAsia="Calibri" w:hAnsi="Arial" w:cs="Arial"/>
          <w:b w:val="0"/>
          <w:color w:val="000000" w:themeColor="text1"/>
          <w:sz w:val="22"/>
          <w:szCs w:val="22"/>
        </w:rPr>
        <w:t xml:space="preserve"> the lease</w:t>
      </w:r>
      <w:r w:rsidR="004A19AE" w:rsidRPr="00345AA4">
        <w:rPr>
          <w:rStyle w:val="Strong"/>
          <w:rFonts w:ascii="Arial" w:eastAsia="Calibri" w:hAnsi="Arial" w:cs="Arial"/>
          <w:b w:val="0"/>
          <w:color w:val="000000" w:themeColor="text1"/>
          <w:sz w:val="22"/>
          <w:szCs w:val="22"/>
        </w:rPr>
        <w:t>d</w:t>
      </w:r>
      <w:r w:rsidRPr="00345AA4">
        <w:rPr>
          <w:rStyle w:val="Strong"/>
          <w:rFonts w:ascii="Arial" w:eastAsia="Calibri" w:hAnsi="Arial" w:cs="Arial"/>
          <w:b w:val="0"/>
          <w:color w:val="000000" w:themeColor="text1"/>
          <w:sz w:val="22"/>
          <w:szCs w:val="22"/>
        </w:rPr>
        <w:t xml:space="preserve"> premises and surrenders possession thereof to the lessor. In the present case, it is impossible for </w:t>
      </w:r>
      <w:r w:rsidR="003917AC" w:rsidRPr="00345AA4">
        <w:rPr>
          <w:rStyle w:val="Strong"/>
          <w:rFonts w:ascii="Arial" w:eastAsia="Calibri" w:hAnsi="Arial" w:cs="Arial"/>
          <w:b w:val="0"/>
          <w:color w:val="000000" w:themeColor="text1"/>
          <w:sz w:val="22"/>
          <w:szCs w:val="22"/>
        </w:rPr>
        <w:t>water utility corporation</w:t>
      </w:r>
      <w:r w:rsidRPr="00345AA4">
        <w:rPr>
          <w:rStyle w:val="Strong"/>
          <w:rFonts w:ascii="Arial" w:eastAsia="Calibri" w:hAnsi="Arial" w:cs="Arial"/>
          <w:b w:val="0"/>
          <w:color w:val="000000" w:themeColor="text1"/>
          <w:sz w:val="22"/>
          <w:szCs w:val="22"/>
        </w:rPr>
        <w:t xml:space="preserve"> to vacate and surrender the tank lots, since the water tanks are immovable in nature rooted within the lease</w:t>
      </w:r>
      <w:r w:rsidR="004A19AE" w:rsidRPr="00345AA4">
        <w:rPr>
          <w:rStyle w:val="Strong"/>
          <w:rFonts w:ascii="Arial" w:eastAsia="Calibri" w:hAnsi="Arial" w:cs="Arial"/>
          <w:b w:val="0"/>
          <w:color w:val="000000" w:themeColor="text1"/>
          <w:sz w:val="22"/>
          <w:szCs w:val="22"/>
        </w:rPr>
        <w:t>d</w:t>
      </w:r>
      <w:r w:rsidRPr="00345AA4">
        <w:rPr>
          <w:rStyle w:val="Strong"/>
          <w:rFonts w:ascii="Arial" w:eastAsia="Calibri" w:hAnsi="Arial" w:cs="Arial"/>
          <w:b w:val="0"/>
          <w:color w:val="000000" w:themeColor="text1"/>
          <w:sz w:val="22"/>
          <w:szCs w:val="22"/>
        </w:rPr>
        <w:t xml:space="preserve"> premises, without disrupting its main operations.   </w:t>
      </w:r>
    </w:p>
    <w:p w14:paraId="31F4E022" w14:textId="77777777" w:rsidR="000C3538" w:rsidRPr="00345AA4" w:rsidRDefault="000C3538" w:rsidP="000C3538">
      <w:pPr>
        <w:pStyle w:val="ListParagraph"/>
        <w:ind w:left="0" w:firstLine="720"/>
        <w:jc w:val="both"/>
        <w:rPr>
          <w:rStyle w:val="Strong"/>
          <w:rFonts w:ascii="Arial" w:eastAsia="Calibri" w:hAnsi="Arial" w:cs="Arial"/>
          <w:b w:val="0"/>
          <w:bCs w:val="0"/>
          <w:color w:val="000000" w:themeColor="text1"/>
          <w:sz w:val="22"/>
          <w:szCs w:val="22"/>
        </w:rPr>
      </w:pPr>
    </w:p>
    <w:p w14:paraId="1A4738DE" w14:textId="62EF930F" w:rsidR="000C3538" w:rsidRPr="00345AA4" w:rsidRDefault="000C3538" w:rsidP="000C3538">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lastRenderedPageBreak/>
        <w:t xml:space="preserve">As at December 31, 2019, the sale through public bidding of the shares of stock of AFPRSBS in the subsidiary water utility corporation is scheduled in CY 2020.  Relative thereto, the </w:t>
      </w:r>
      <w:r w:rsidR="003917AC" w:rsidRPr="00345AA4">
        <w:rPr>
          <w:rFonts w:ascii="Arial" w:hAnsi="Arial" w:cs="Arial"/>
          <w:color w:val="000000" w:themeColor="text1"/>
          <w:sz w:val="22"/>
          <w:szCs w:val="22"/>
        </w:rPr>
        <w:t>Terms of Reference (</w:t>
      </w:r>
      <w:r w:rsidRPr="00345AA4">
        <w:rPr>
          <w:rFonts w:ascii="Arial" w:hAnsi="Arial" w:cs="Arial"/>
          <w:color w:val="000000" w:themeColor="text1"/>
          <w:sz w:val="22"/>
          <w:szCs w:val="22"/>
        </w:rPr>
        <w:t>TOR</w:t>
      </w:r>
      <w:r w:rsidR="003917AC" w:rsidRPr="00345AA4">
        <w:rPr>
          <w:rFonts w:ascii="Arial" w:hAnsi="Arial" w:cs="Arial"/>
          <w:color w:val="000000" w:themeColor="text1"/>
          <w:sz w:val="22"/>
          <w:szCs w:val="22"/>
        </w:rPr>
        <w:t>)</w:t>
      </w:r>
      <w:r w:rsidRPr="00345AA4">
        <w:rPr>
          <w:rFonts w:ascii="Arial" w:hAnsi="Arial" w:cs="Arial"/>
          <w:color w:val="000000" w:themeColor="text1"/>
          <w:sz w:val="22"/>
          <w:szCs w:val="22"/>
        </w:rPr>
        <w:t xml:space="preserve"> on the disposal of the said subsidiary disclosed that the subsidiary’s cash and cash equivalents shall be remitted to AFPRSBS prior to its turnover.  In effect, the uncollected rental receivables from the said subsidiary shall be deemed eliminated assuming that the disposal of the subsidiary shall be completed in the given year.  However, in the accounting parlance, the collections and payment of rental expenses between AFPRSBS and the subsidiary are intercompany transactions that are eliminated only upon consolidation of the </w:t>
      </w:r>
      <w:r w:rsidR="00AD45CD" w:rsidRPr="00345AA4">
        <w:rPr>
          <w:rFonts w:ascii="Arial" w:hAnsi="Arial" w:cs="Arial"/>
          <w:color w:val="000000" w:themeColor="text1"/>
          <w:sz w:val="22"/>
          <w:szCs w:val="22"/>
        </w:rPr>
        <w:t>FS</w:t>
      </w:r>
      <w:r w:rsidRPr="00345AA4">
        <w:rPr>
          <w:rFonts w:ascii="Arial" w:hAnsi="Arial" w:cs="Arial"/>
          <w:color w:val="000000" w:themeColor="text1"/>
          <w:sz w:val="22"/>
          <w:szCs w:val="22"/>
        </w:rPr>
        <w:t xml:space="preserve"> of the Parent company.  Unfortunately, the System is unable to consolidate its </w:t>
      </w:r>
      <w:r w:rsidR="00AD45CD" w:rsidRPr="00345AA4">
        <w:rPr>
          <w:rFonts w:ascii="Arial" w:hAnsi="Arial" w:cs="Arial"/>
          <w:color w:val="000000" w:themeColor="text1"/>
          <w:sz w:val="22"/>
          <w:szCs w:val="22"/>
        </w:rPr>
        <w:t>FS</w:t>
      </w:r>
      <w:r w:rsidRPr="00345AA4">
        <w:rPr>
          <w:rFonts w:ascii="Arial" w:hAnsi="Arial" w:cs="Arial"/>
          <w:color w:val="000000" w:themeColor="text1"/>
          <w:sz w:val="22"/>
          <w:szCs w:val="22"/>
        </w:rPr>
        <w:t xml:space="preserve"> with its investment in subsidiaries, thus such intercompany transactions are not eliminated.  Further, the subsidiary has to report accurate expense/income for tax purposes while AFPRSBS has to withhold the corresponding </w:t>
      </w:r>
      <w:r w:rsidR="003917AC" w:rsidRPr="00345AA4">
        <w:rPr>
          <w:rFonts w:ascii="Arial" w:hAnsi="Arial" w:cs="Arial"/>
          <w:color w:val="000000" w:themeColor="text1"/>
          <w:sz w:val="22"/>
          <w:szCs w:val="22"/>
        </w:rPr>
        <w:t>Value Added Tax (</w:t>
      </w:r>
      <w:r w:rsidRPr="00345AA4">
        <w:rPr>
          <w:rFonts w:ascii="Arial" w:hAnsi="Arial" w:cs="Arial"/>
          <w:color w:val="000000" w:themeColor="text1"/>
          <w:sz w:val="22"/>
          <w:szCs w:val="22"/>
        </w:rPr>
        <w:t>VAT</w:t>
      </w:r>
      <w:r w:rsidR="003917AC" w:rsidRPr="00345AA4">
        <w:rPr>
          <w:rFonts w:ascii="Arial" w:hAnsi="Arial" w:cs="Arial"/>
          <w:color w:val="000000" w:themeColor="text1"/>
          <w:sz w:val="22"/>
          <w:szCs w:val="22"/>
        </w:rPr>
        <w:t>)</w:t>
      </w:r>
      <w:r w:rsidRPr="00345AA4">
        <w:rPr>
          <w:rFonts w:ascii="Arial" w:hAnsi="Arial" w:cs="Arial"/>
          <w:color w:val="000000" w:themeColor="text1"/>
          <w:sz w:val="22"/>
          <w:szCs w:val="22"/>
        </w:rPr>
        <w:t>.</w:t>
      </w:r>
    </w:p>
    <w:p w14:paraId="395D5F2F" w14:textId="77777777" w:rsidR="000C3538" w:rsidRPr="00345AA4" w:rsidRDefault="000C3538" w:rsidP="000C3538">
      <w:pPr>
        <w:pStyle w:val="ListParagraph"/>
        <w:tabs>
          <w:tab w:val="left" w:pos="990"/>
        </w:tabs>
        <w:ind w:left="900"/>
        <w:contextualSpacing/>
        <w:jc w:val="both"/>
        <w:rPr>
          <w:rFonts w:ascii="Arial" w:hAnsi="Arial" w:cs="Arial"/>
          <w:color w:val="000000" w:themeColor="text1"/>
          <w:sz w:val="22"/>
          <w:szCs w:val="22"/>
        </w:rPr>
      </w:pPr>
    </w:p>
    <w:p w14:paraId="4E19734D" w14:textId="226B83B9" w:rsidR="000C3538" w:rsidRPr="00345AA4" w:rsidRDefault="000C3538" w:rsidP="000C3538">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The contract of lease between AFPRSBS and the lessee remains to be valid and effective as at December 31, 2019 or until the eventual sale of the latter.  The monthly rentals, without need of demand, were not remitted to and collected by the System contrary to the abovementioned provisions in the contract of lease.  Further, the suspension of the collect</w:t>
      </w:r>
      <w:r w:rsidR="00E91A80" w:rsidRPr="00345AA4">
        <w:rPr>
          <w:rFonts w:ascii="Arial" w:hAnsi="Arial" w:cs="Arial"/>
          <w:color w:val="000000" w:themeColor="text1"/>
          <w:sz w:val="22"/>
          <w:szCs w:val="22"/>
        </w:rPr>
        <w:t>ion of lease rental</w:t>
      </w:r>
      <w:r w:rsidR="00EA7B4A" w:rsidRPr="00345AA4">
        <w:rPr>
          <w:rFonts w:ascii="Arial" w:hAnsi="Arial" w:cs="Arial"/>
          <w:color w:val="000000" w:themeColor="text1"/>
          <w:sz w:val="22"/>
          <w:szCs w:val="22"/>
        </w:rPr>
        <w:t xml:space="preserve"> receivables</w:t>
      </w:r>
      <w:r w:rsidR="004C11AE" w:rsidRPr="00345AA4">
        <w:rPr>
          <w:rFonts w:ascii="Arial" w:hAnsi="Arial" w:cs="Arial"/>
          <w:color w:val="000000" w:themeColor="text1"/>
          <w:sz w:val="22"/>
          <w:szCs w:val="22"/>
        </w:rPr>
        <w:t xml:space="preserve"> deprives the System of additional funds for its operation, in particular, on its accelerated refund and payment of other obligations amounting to P3.600 million</w:t>
      </w:r>
      <w:r w:rsidRPr="00345AA4">
        <w:rPr>
          <w:rFonts w:ascii="Arial" w:hAnsi="Arial" w:cs="Arial"/>
          <w:color w:val="000000" w:themeColor="text1"/>
          <w:sz w:val="22"/>
          <w:szCs w:val="22"/>
        </w:rPr>
        <w:t xml:space="preserve">.  In connection with the disposal of the lessee, it would be more efficient and convenient on the part of the System to collect the amount of P3.600 million, including the subsequent collections beginning CY 2020, rather than wait for the disposal of the lessee and deal with its new management. </w:t>
      </w:r>
    </w:p>
    <w:p w14:paraId="41693A06" w14:textId="77777777" w:rsidR="000C3538" w:rsidRPr="00345AA4" w:rsidRDefault="000C3538" w:rsidP="000C3538">
      <w:pPr>
        <w:pStyle w:val="ListParagraph"/>
        <w:tabs>
          <w:tab w:val="left" w:pos="990"/>
          <w:tab w:val="left" w:pos="6148"/>
        </w:tabs>
        <w:ind w:left="90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ab/>
      </w:r>
      <w:r w:rsidRPr="00345AA4">
        <w:rPr>
          <w:rFonts w:ascii="Arial" w:hAnsi="Arial" w:cs="Arial"/>
          <w:color w:val="000000" w:themeColor="text1"/>
          <w:sz w:val="22"/>
          <w:szCs w:val="22"/>
        </w:rPr>
        <w:tab/>
      </w:r>
    </w:p>
    <w:p w14:paraId="7CE3C4FA" w14:textId="77777777" w:rsidR="000C3538" w:rsidRPr="00345AA4" w:rsidRDefault="000C3538" w:rsidP="000C3538">
      <w:pPr>
        <w:pStyle w:val="ListParagraph"/>
        <w:numPr>
          <w:ilvl w:val="1"/>
          <w:numId w:val="1"/>
        </w:numPr>
        <w:tabs>
          <w:tab w:val="left" w:pos="990"/>
        </w:tabs>
        <w:ind w:left="900" w:hanging="540"/>
        <w:contextualSpacing/>
        <w:jc w:val="both"/>
        <w:rPr>
          <w:rFonts w:ascii="Arial" w:hAnsi="Arial" w:cs="Arial"/>
          <w:b/>
          <w:bCs/>
          <w:color w:val="000000" w:themeColor="text1"/>
          <w:sz w:val="22"/>
          <w:szCs w:val="22"/>
        </w:rPr>
      </w:pPr>
      <w:r w:rsidRPr="00345AA4">
        <w:rPr>
          <w:rFonts w:ascii="Arial" w:hAnsi="Arial" w:cs="Arial"/>
          <w:b/>
          <w:bCs/>
          <w:color w:val="000000" w:themeColor="text1"/>
          <w:sz w:val="22"/>
          <w:szCs w:val="22"/>
        </w:rPr>
        <w:t xml:space="preserve">We recommended </w:t>
      </w:r>
      <w:r w:rsidR="001F0410" w:rsidRPr="00345AA4">
        <w:rPr>
          <w:rFonts w:ascii="Arial" w:hAnsi="Arial" w:cs="Arial"/>
          <w:b/>
          <w:bCs/>
          <w:color w:val="000000" w:themeColor="text1"/>
          <w:sz w:val="22"/>
          <w:szCs w:val="22"/>
        </w:rPr>
        <w:t>and</w:t>
      </w:r>
      <w:r w:rsidRPr="00345AA4">
        <w:rPr>
          <w:rFonts w:ascii="Arial" w:hAnsi="Arial" w:cs="Arial"/>
          <w:b/>
          <w:bCs/>
          <w:color w:val="000000" w:themeColor="text1"/>
          <w:sz w:val="22"/>
          <w:szCs w:val="22"/>
        </w:rPr>
        <w:t xml:space="preserve"> Management</w:t>
      </w:r>
      <w:r w:rsidR="001F0410" w:rsidRPr="00345AA4">
        <w:rPr>
          <w:rFonts w:ascii="Arial" w:hAnsi="Arial" w:cs="Arial"/>
          <w:b/>
          <w:bCs/>
          <w:color w:val="000000" w:themeColor="text1"/>
          <w:sz w:val="22"/>
          <w:szCs w:val="22"/>
        </w:rPr>
        <w:t xml:space="preserve"> agreed to</w:t>
      </w:r>
      <w:r w:rsidRPr="00345AA4">
        <w:rPr>
          <w:rFonts w:ascii="Arial" w:hAnsi="Arial" w:cs="Arial"/>
          <w:b/>
          <w:bCs/>
          <w:color w:val="000000" w:themeColor="text1"/>
          <w:sz w:val="22"/>
          <w:szCs w:val="22"/>
        </w:rPr>
        <w:t xml:space="preserve"> c</w:t>
      </w:r>
      <w:r w:rsidRPr="00345AA4">
        <w:rPr>
          <w:rFonts w:ascii="Arial" w:hAnsi="Arial" w:cs="Arial"/>
          <w:b/>
          <w:color w:val="000000" w:themeColor="text1"/>
          <w:sz w:val="22"/>
          <w:szCs w:val="22"/>
        </w:rPr>
        <w:t xml:space="preserve">ollect the amount of P3.600 million representing lease rental payments for the period January 2017 to December 2019. </w:t>
      </w:r>
    </w:p>
    <w:p w14:paraId="4908B1FE" w14:textId="77777777" w:rsidR="00802E85" w:rsidRPr="00345AA4" w:rsidRDefault="00802E85" w:rsidP="001F0410">
      <w:pPr>
        <w:tabs>
          <w:tab w:val="left" w:pos="990"/>
        </w:tabs>
        <w:spacing w:after="0"/>
        <w:contextualSpacing/>
        <w:jc w:val="both"/>
        <w:rPr>
          <w:rFonts w:ascii="Arial" w:hAnsi="Arial" w:cs="Arial"/>
          <w:b/>
          <w:bCs/>
          <w:color w:val="000000" w:themeColor="text1"/>
        </w:rPr>
      </w:pPr>
    </w:p>
    <w:p w14:paraId="79A065B9" w14:textId="77777777" w:rsidR="001F0410" w:rsidRPr="00345AA4" w:rsidRDefault="001F0410" w:rsidP="001F0410">
      <w:pPr>
        <w:tabs>
          <w:tab w:val="left" w:pos="990"/>
        </w:tabs>
        <w:spacing w:after="0"/>
        <w:contextualSpacing/>
        <w:jc w:val="both"/>
        <w:rPr>
          <w:rFonts w:ascii="Arial" w:hAnsi="Arial" w:cs="Arial"/>
          <w:b/>
          <w:bCs/>
          <w:color w:val="000000" w:themeColor="text1"/>
        </w:rPr>
      </w:pPr>
    </w:p>
    <w:p w14:paraId="196B55A8" w14:textId="11A9106C" w:rsidR="00802E85" w:rsidRPr="00345AA4" w:rsidRDefault="00802E85" w:rsidP="00802E85">
      <w:pPr>
        <w:pStyle w:val="NoSpacing"/>
        <w:numPr>
          <w:ilvl w:val="0"/>
          <w:numId w:val="1"/>
        </w:numPr>
        <w:ind w:left="426"/>
        <w:jc w:val="both"/>
        <w:rPr>
          <w:rFonts w:ascii="Arial" w:eastAsia="Times New Roman" w:hAnsi="Arial" w:cs="Arial"/>
          <w:b/>
          <w:color w:val="000000" w:themeColor="text1"/>
          <w:lang w:val="en-US" w:eastAsia="en-US"/>
        </w:rPr>
      </w:pPr>
      <w:r w:rsidRPr="00345AA4">
        <w:rPr>
          <w:rFonts w:ascii="Arial" w:eastAsia="Times New Roman" w:hAnsi="Arial" w:cs="Arial"/>
          <w:b/>
          <w:color w:val="000000" w:themeColor="text1"/>
          <w:lang w:val="en-US" w:eastAsia="en-US"/>
        </w:rPr>
        <w:t xml:space="preserve">The deposit/placement maintained by the AFPRSBS in a private commercial bank and non-government financial institution amounting to P4.628 million and P14.228 million, respectively, without first securing authority to open deposit accounts from duly authorized official of </w:t>
      </w:r>
      <w:r w:rsidR="007975B3" w:rsidRPr="00345AA4">
        <w:rPr>
          <w:rFonts w:ascii="Arial" w:eastAsia="Times New Roman" w:hAnsi="Arial" w:cs="Arial"/>
          <w:b/>
          <w:color w:val="000000" w:themeColor="text1"/>
          <w:lang w:val="en-US" w:eastAsia="en-US"/>
        </w:rPr>
        <w:t xml:space="preserve">the </w:t>
      </w:r>
      <w:r w:rsidR="003917AC" w:rsidRPr="00345AA4">
        <w:rPr>
          <w:rFonts w:ascii="Arial" w:eastAsia="Times New Roman" w:hAnsi="Arial" w:cs="Arial"/>
          <w:b/>
          <w:color w:val="000000" w:themeColor="text1"/>
          <w:lang w:val="en-US" w:eastAsia="en-US"/>
        </w:rPr>
        <w:t>Bureau of the Treasury (</w:t>
      </w:r>
      <w:proofErr w:type="spellStart"/>
      <w:r w:rsidRPr="00345AA4">
        <w:rPr>
          <w:rFonts w:ascii="Arial" w:eastAsia="Times New Roman" w:hAnsi="Arial" w:cs="Arial"/>
          <w:b/>
          <w:color w:val="000000" w:themeColor="text1"/>
          <w:lang w:val="en-US" w:eastAsia="en-US"/>
        </w:rPr>
        <w:t>BTr</w:t>
      </w:r>
      <w:proofErr w:type="spellEnd"/>
      <w:r w:rsidR="003917AC" w:rsidRPr="00345AA4">
        <w:rPr>
          <w:rFonts w:ascii="Arial" w:eastAsia="Times New Roman" w:hAnsi="Arial" w:cs="Arial"/>
          <w:b/>
          <w:color w:val="000000" w:themeColor="text1"/>
          <w:lang w:val="en-US" w:eastAsia="en-US"/>
        </w:rPr>
        <w:t>)</w:t>
      </w:r>
      <w:r w:rsidRPr="00345AA4">
        <w:rPr>
          <w:rFonts w:ascii="Arial" w:eastAsia="Times New Roman" w:hAnsi="Arial" w:cs="Arial"/>
          <w:b/>
          <w:color w:val="000000" w:themeColor="text1"/>
          <w:lang w:val="en-US" w:eastAsia="en-US"/>
        </w:rPr>
        <w:t>/</w:t>
      </w:r>
      <w:r w:rsidR="003917AC" w:rsidRPr="00345AA4">
        <w:rPr>
          <w:rFonts w:ascii="Arial" w:eastAsia="Times New Roman" w:hAnsi="Arial" w:cs="Arial"/>
          <w:b/>
          <w:color w:val="000000" w:themeColor="text1"/>
          <w:lang w:val="en-US" w:eastAsia="en-US"/>
        </w:rPr>
        <w:t>Department of Finance (</w:t>
      </w:r>
      <w:r w:rsidRPr="00345AA4">
        <w:rPr>
          <w:rFonts w:ascii="Arial" w:eastAsia="Times New Roman" w:hAnsi="Arial" w:cs="Arial"/>
          <w:b/>
          <w:color w:val="000000" w:themeColor="text1"/>
          <w:lang w:val="en-US" w:eastAsia="en-US"/>
        </w:rPr>
        <w:t>DOF</w:t>
      </w:r>
      <w:r w:rsidR="003917AC" w:rsidRPr="00345AA4">
        <w:rPr>
          <w:rFonts w:ascii="Arial" w:eastAsia="Times New Roman" w:hAnsi="Arial" w:cs="Arial"/>
          <w:b/>
          <w:color w:val="000000" w:themeColor="text1"/>
          <w:lang w:val="en-US" w:eastAsia="en-US"/>
        </w:rPr>
        <w:t>)</w:t>
      </w:r>
      <w:r w:rsidR="007975B3" w:rsidRPr="00345AA4">
        <w:rPr>
          <w:rFonts w:ascii="Arial" w:eastAsia="Times New Roman" w:hAnsi="Arial" w:cs="Arial"/>
          <w:b/>
          <w:color w:val="000000" w:themeColor="text1"/>
          <w:lang w:val="en-US" w:eastAsia="en-US"/>
        </w:rPr>
        <w:t xml:space="preserve"> is</w:t>
      </w:r>
      <w:r w:rsidRPr="00345AA4">
        <w:rPr>
          <w:rFonts w:ascii="Arial" w:eastAsia="Times New Roman" w:hAnsi="Arial" w:cs="Arial"/>
          <w:b/>
          <w:color w:val="000000" w:themeColor="text1"/>
          <w:lang w:val="en-US" w:eastAsia="en-US"/>
        </w:rPr>
        <w:t xml:space="preserve"> </w:t>
      </w:r>
      <w:r w:rsidR="007975B3" w:rsidRPr="00345AA4">
        <w:rPr>
          <w:rFonts w:ascii="Arial" w:eastAsia="Times New Roman" w:hAnsi="Arial" w:cs="Arial"/>
          <w:b/>
          <w:color w:val="000000" w:themeColor="text1"/>
          <w:lang w:val="en-US" w:eastAsia="en-US"/>
        </w:rPr>
        <w:t xml:space="preserve">contrary to DOF Department Circular Nos. 001-2015 and 001-2017 dated June 1, 2015 and May 11, 2017, respectively. </w:t>
      </w:r>
    </w:p>
    <w:p w14:paraId="45C1D3CA" w14:textId="77777777" w:rsidR="00802E85" w:rsidRPr="00345AA4" w:rsidRDefault="00802E85" w:rsidP="00802E85">
      <w:pPr>
        <w:pStyle w:val="NoSpacing"/>
        <w:jc w:val="both"/>
        <w:rPr>
          <w:rFonts w:ascii="Arial" w:hAnsi="Arial" w:cs="Arial"/>
          <w:b/>
          <w:color w:val="000000" w:themeColor="text1"/>
        </w:rPr>
      </w:pPr>
    </w:p>
    <w:p w14:paraId="37E6CA58" w14:textId="541887F0" w:rsidR="00802E85" w:rsidRPr="00345AA4" w:rsidRDefault="00802E85" w:rsidP="00802E85">
      <w:pPr>
        <w:pStyle w:val="ListParagraph"/>
        <w:numPr>
          <w:ilvl w:val="1"/>
          <w:numId w:val="1"/>
        </w:numPr>
        <w:tabs>
          <w:tab w:val="left" w:pos="990"/>
        </w:tabs>
        <w:ind w:left="900" w:hanging="540"/>
        <w:contextualSpacing/>
        <w:jc w:val="both"/>
        <w:rPr>
          <w:rFonts w:ascii="Arial" w:hAnsi="Arial" w:cs="Arial"/>
          <w:color w:val="000000" w:themeColor="text1"/>
          <w:sz w:val="22"/>
          <w:szCs w:val="22"/>
          <w:lang w:eastAsia="en-PH"/>
        </w:rPr>
      </w:pPr>
      <w:r w:rsidRPr="00345AA4">
        <w:rPr>
          <w:rFonts w:ascii="Arial" w:hAnsi="Arial" w:cs="Arial"/>
          <w:bCs/>
          <w:color w:val="000000" w:themeColor="text1"/>
          <w:sz w:val="22"/>
          <w:szCs w:val="22"/>
        </w:rPr>
        <w:t>Section</w:t>
      </w:r>
      <w:r w:rsidRPr="00345AA4">
        <w:rPr>
          <w:rFonts w:ascii="Arial" w:hAnsi="Arial" w:cs="Arial"/>
          <w:color w:val="000000" w:themeColor="text1"/>
          <w:sz w:val="22"/>
          <w:szCs w:val="22"/>
          <w:lang w:eastAsia="en-PH"/>
        </w:rPr>
        <w:t xml:space="preserve"> 4.1 of DOF Department Circular No. 001-2015 </w:t>
      </w:r>
      <w:r w:rsidR="007975B3" w:rsidRPr="00345AA4">
        <w:rPr>
          <w:rFonts w:ascii="Arial" w:hAnsi="Arial" w:cs="Arial"/>
          <w:color w:val="000000" w:themeColor="text1"/>
          <w:sz w:val="22"/>
          <w:szCs w:val="22"/>
          <w:lang w:eastAsia="en-PH"/>
        </w:rPr>
        <w:t xml:space="preserve">dated June 1, 2015 </w:t>
      </w:r>
      <w:r w:rsidRPr="00345AA4">
        <w:rPr>
          <w:rFonts w:ascii="Arial" w:hAnsi="Arial" w:cs="Arial"/>
          <w:color w:val="000000" w:themeColor="text1"/>
          <w:sz w:val="22"/>
          <w:szCs w:val="22"/>
          <w:lang w:eastAsia="en-PH"/>
        </w:rPr>
        <w:t>provides:</w:t>
      </w:r>
    </w:p>
    <w:p w14:paraId="2BED6344" w14:textId="77777777" w:rsidR="00802E85" w:rsidRPr="00345AA4" w:rsidRDefault="00802E85" w:rsidP="00802E85">
      <w:pPr>
        <w:pStyle w:val="NoSpacing"/>
        <w:jc w:val="both"/>
        <w:rPr>
          <w:rFonts w:ascii="Arial" w:hAnsi="Arial" w:cs="Arial"/>
          <w:color w:val="000000" w:themeColor="text1"/>
        </w:rPr>
      </w:pPr>
    </w:p>
    <w:p w14:paraId="4D06049D" w14:textId="77777777" w:rsidR="00802E85" w:rsidRPr="00345AA4" w:rsidRDefault="00802E85" w:rsidP="001F0410">
      <w:pPr>
        <w:pStyle w:val="NoSpacing"/>
        <w:ind w:left="1440" w:right="702"/>
        <w:jc w:val="both"/>
        <w:rPr>
          <w:rFonts w:ascii="Arial" w:hAnsi="Arial" w:cs="Arial"/>
          <w:i/>
          <w:color w:val="000000" w:themeColor="text1"/>
        </w:rPr>
      </w:pPr>
      <w:r w:rsidRPr="00345AA4">
        <w:rPr>
          <w:rFonts w:ascii="Arial" w:hAnsi="Arial" w:cs="Arial"/>
          <w:i/>
          <w:color w:val="000000" w:themeColor="text1"/>
        </w:rPr>
        <w:t xml:space="preserve">4.1 As the Government’s steward of fiscal policy, the </w:t>
      </w:r>
      <w:r w:rsidR="00BF28A0" w:rsidRPr="00345AA4">
        <w:rPr>
          <w:rFonts w:ascii="Arial" w:hAnsi="Arial" w:cs="Arial"/>
          <w:i/>
          <w:color w:val="000000" w:themeColor="text1"/>
        </w:rPr>
        <w:t>DOF</w:t>
      </w:r>
      <w:r w:rsidRPr="00345AA4">
        <w:rPr>
          <w:rFonts w:ascii="Arial" w:hAnsi="Arial" w:cs="Arial"/>
          <w:i/>
          <w:color w:val="000000" w:themeColor="text1"/>
        </w:rPr>
        <w:t xml:space="preserve"> formulates, institutionalizes and administers policies to ensure that the government resources are managed and mobilized judiciously in a manner supportive of the development objectives of the government in promoting the welfare of the people and accelerating economic growth and stability.</w:t>
      </w:r>
    </w:p>
    <w:p w14:paraId="7AEBDDDD" w14:textId="77777777" w:rsidR="00802E85" w:rsidRPr="00345AA4" w:rsidRDefault="00802E85" w:rsidP="00802E85">
      <w:pPr>
        <w:pStyle w:val="NoSpacing"/>
        <w:ind w:right="1206"/>
        <w:jc w:val="both"/>
        <w:rPr>
          <w:rFonts w:ascii="Arial" w:hAnsi="Arial" w:cs="Arial"/>
          <w:i/>
          <w:color w:val="000000" w:themeColor="text1"/>
        </w:rPr>
      </w:pPr>
    </w:p>
    <w:p w14:paraId="45AB5787" w14:textId="77777777" w:rsidR="00802E85" w:rsidRPr="00345AA4" w:rsidRDefault="00802E85" w:rsidP="00802E85">
      <w:pPr>
        <w:pStyle w:val="ListParagraph"/>
        <w:numPr>
          <w:ilvl w:val="1"/>
          <w:numId w:val="1"/>
        </w:numPr>
        <w:tabs>
          <w:tab w:val="left" w:pos="990"/>
        </w:tabs>
        <w:ind w:left="900" w:hanging="540"/>
        <w:contextualSpacing/>
        <w:jc w:val="both"/>
        <w:rPr>
          <w:rFonts w:ascii="Arial" w:hAnsi="Arial" w:cs="Arial"/>
          <w:color w:val="000000" w:themeColor="text1"/>
          <w:sz w:val="22"/>
          <w:szCs w:val="22"/>
          <w:lang w:eastAsia="en-PH"/>
        </w:rPr>
      </w:pPr>
      <w:r w:rsidRPr="00345AA4">
        <w:rPr>
          <w:rFonts w:ascii="Arial" w:hAnsi="Arial" w:cs="Arial"/>
          <w:bCs/>
          <w:color w:val="000000" w:themeColor="text1"/>
          <w:sz w:val="22"/>
          <w:szCs w:val="22"/>
        </w:rPr>
        <w:t>Section</w:t>
      </w:r>
      <w:r w:rsidRPr="00345AA4">
        <w:rPr>
          <w:rFonts w:ascii="Arial" w:hAnsi="Arial" w:cs="Arial"/>
          <w:color w:val="000000" w:themeColor="text1"/>
          <w:sz w:val="22"/>
          <w:szCs w:val="22"/>
          <w:lang w:eastAsia="en-PH"/>
        </w:rPr>
        <w:t xml:space="preserve"> 5.2, as amended, of DOF Department Circular No. 001-2017 dated May 11, 2017 provides:</w:t>
      </w:r>
    </w:p>
    <w:p w14:paraId="5949B3C7" w14:textId="77777777" w:rsidR="00802E85" w:rsidRPr="00345AA4" w:rsidRDefault="00802E85" w:rsidP="00802E85">
      <w:pPr>
        <w:pStyle w:val="NoSpacing"/>
        <w:ind w:left="540"/>
        <w:jc w:val="both"/>
        <w:rPr>
          <w:rFonts w:ascii="Arial" w:hAnsi="Arial" w:cs="Arial"/>
          <w:color w:val="000000" w:themeColor="text1"/>
        </w:rPr>
      </w:pPr>
    </w:p>
    <w:p w14:paraId="7B82BC0C" w14:textId="77777777" w:rsidR="00802E85" w:rsidRPr="00345AA4" w:rsidRDefault="00802E85" w:rsidP="001F0410">
      <w:pPr>
        <w:pStyle w:val="NoSpacing"/>
        <w:ind w:left="1440" w:right="702"/>
        <w:jc w:val="both"/>
        <w:rPr>
          <w:rFonts w:ascii="Arial" w:hAnsi="Arial" w:cs="Arial"/>
          <w:i/>
          <w:color w:val="000000" w:themeColor="text1"/>
        </w:rPr>
      </w:pPr>
      <w:r w:rsidRPr="00345AA4">
        <w:rPr>
          <w:rFonts w:ascii="Arial" w:hAnsi="Arial" w:cs="Arial"/>
          <w:i/>
          <w:color w:val="000000" w:themeColor="text1"/>
        </w:rPr>
        <w:t xml:space="preserve">5.2 </w:t>
      </w:r>
      <w:r w:rsidRPr="00345AA4">
        <w:rPr>
          <w:rFonts w:ascii="Arial" w:hAnsi="Arial" w:cs="Arial"/>
          <w:i/>
          <w:color w:val="000000" w:themeColor="text1"/>
        </w:rPr>
        <w:tab/>
      </w:r>
      <w:r w:rsidR="003759A0" w:rsidRPr="00345AA4">
        <w:rPr>
          <w:rFonts w:ascii="Arial" w:hAnsi="Arial" w:cs="Arial"/>
          <w:i/>
          <w:color w:val="000000" w:themeColor="text1"/>
        </w:rPr>
        <w:t>National Government Agencies (</w:t>
      </w:r>
      <w:r w:rsidRPr="00345AA4">
        <w:rPr>
          <w:rFonts w:ascii="Arial" w:hAnsi="Arial" w:cs="Arial"/>
          <w:i/>
          <w:color w:val="000000" w:themeColor="text1"/>
        </w:rPr>
        <w:t>NGA</w:t>
      </w:r>
      <w:r w:rsidR="003759A0" w:rsidRPr="00345AA4">
        <w:rPr>
          <w:rFonts w:ascii="Arial" w:hAnsi="Arial" w:cs="Arial"/>
          <w:i/>
          <w:color w:val="000000" w:themeColor="text1"/>
        </w:rPr>
        <w:t>s)</w:t>
      </w:r>
      <w:r w:rsidRPr="00345AA4">
        <w:rPr>
          <w:rFonts w:ascii="Arial" w:hAnsi="Arial" w:cs="Arial"/>
          <w:i/>
          <w:color w:val="000000" w:themeColor="text1"/>
        </w:rPr>
        <w:t>,</w:t>
      </w:r>
      <w:r w:rsidR="003759A0" w:rsidRPr="00345AA4">
        <w:rPr>
          <w:rFonts w:ascii="Arial" w:hAnsi="Arial" w:cs="Arial"/>
          <w:i/>
          <w:color w:val="000000" w:themeColor="text1"/>
        </w:rPr>
        <w:t xml:space="preserve"> </w:t>
      </w:r>
      <w:r w:rsidRPr="00345AA4">
        <w:rPr>
          <w:rFonts w:ascii="Arial" w:hAnsi="Arial" w:cs="Arial"/>
          <w:i/>
          <w:color w:val="000000" w:themeColor="text1"/>
        </w:rPr>
        <w:t>GOCCs and LGUs, specifically allowed by law, rules and regulations to retain income and/or for operations and/or working balances, shall deposit and maintain Government Funds with any of the following banks:</w:t>
      </w:r>
    </w:p>
    <w:p w14:paraId="617501A2" w14:textId="77777777" w:rsidR="00802E85" w:rsidRPr="00345AA4" w:rsidRDefault="00802E85" w:rsidP="00802E85">
      <w:pPr>
        <w:pStyle w:val="NoSpacing"/>
        <w:ind w:left="810" w:right="702"/>
        <w:jc w:val="both"/>
        <w:rPr>
          <w:rFonts w:ascii="Arial" w:hAnsi="Arial" w:cs="Arial"/>
          <w:i/>
          <w:color w:val="000000" w:themeColor="text1"/>
        </w:rPr>
      </w:pPr>
    </w:p>
    <w:p w14:paraId="60CC85A2" w14:textId="77777777" w:rsidR="00802E85" w:rsidRPr="00345AA4" w:rsidRDefault="00802E85" w:rsidP="001F0410">
      <w:pPr>
        <w:pStyle w:val="NoSpacing"/>
        <w:numPr>
          <w:ilvl w:val="0"/>
          <w:numId w:val="9"/>
        </w:numPr>
        <w:ind w:left="1800" w:right="702"/>
        <w:jc w:val="both"/>
        <w:rPr>
          <w:rFonts w:ascii="Arial" w:hAnsi="Arial" w:cs="Arial"/>
          <w:i/>
          <w:color w:val="000000" w:themeColor="text1"/>
        </w:rPr>
      </w:pPr>
      <w:r w:rsidRPr="00345AA4">
        <w:rPr>
          <w:rFonts w:ascii="Arial" w:hAnsi="Arial" w:cs="Arial"/>
          <w:i/>
          <w:color w:val="000000" w:themeColor="text1"/>
        </w:rPr>
        <w:t>Land Bank of the Philippines;</w:t>
      </w:r>
    </w:p>
    <w:p w14:paraId="212F7344" w14:textId="77777777" w:rsidR="00802E85" w:rsidRPr="00345AA4" w:rsidRDefault="00802E85" w:rsidP="001F0410">
      <w:pPr>
        <w:pStyle w:val="NoSpacing"/>
        <w:ind w:left="1800" w:right="702"/>
        <w:jc w:val="both"/>
        <w:rPr>
          <w:rFonts w:ascii="Arial" w:hAnsi="Arial" w:cs="Arial"/>
          <w:i/>
          <w:color w:val="000000" w:themeColor="text1"/>
        </w:rPr>
      </w:pPr>
    </w:p>
    <w:p w14:paraId="3465C242" w14:textId="77777777" w:rsidR="00802E85" w:rsidRPr="00345AA4" w:rsidRDefault="00802E85" w:rsidP="001F0410">
      <w:pPr>
        <w:pStyle w:val="NoSpacing"/>
        <w:numPr>
          <w:ilvl w:val="0"/>
          <w:numId w:val="9"/>
        </w:numPr>
        <w:ind w:left="1800" w:right="702"/>
        <w:jc w:val="both"/>
        <w:rPr>
          <w:rFonts w:ascii="Arial" w:hAnsi="Arial" w:cs="Arial"/>
          <w:i/>
          <w:color w:val="000000" w:themeColor="text1"/>
        </w:rPr>
      </w:pPr>
      <w:r w:rsidRPr="00345AA4">
        <w:rPr>
          <w:rFonts w:ascii="Arial" w:hAnsi="Arial" w:cs="Arial"/>
          <w:i/>
          <w:color w:val="000000" w:themeColor="text1"/>
        </w:rPr>
        <w:t>Development Bank of the Philippines;</w:t>
      </w:r>
    </w:p>
    <w:p w14:paraId="3EDA2D8D" w14:textId="77777777" w:rsidR="00802E85" w:rsidRPr="00345AA4" w:rsidRDefault="00802E85" w:rsidP="001F0410">
      <w:pPr>
        <w:pStyle w:val="NoSpacing"/>
        <w:ind w:left="1800" w:right="702"/>
        <w:jc w:val="both"/>
        <w:rPr>
          <w:rFonts w:ascii="Arial" w:hAnsi="Arial" w:cs="Arial"/>
          <w:i/>
          <w:color w:val="000000" w:themeColor="text1"/>
        </w:rPr>
      </w:pPr>
    </w:p>
    <w:p w14:paraId="53125050" w14:textId="77777777" w:rsidR="00802E85" w:rsidRPr="00345AA4" w:rsidRDefault="00802E85" w:rsidP="001F0410">
      <w:pPr>
        <w:pStyle w:val="NoSpacing"/>
        <w:numPr>
          <w:ilvl w:val="0"/>
          <w:numId w:val="9"/>
        </w:numPr>
        <w:ind w:left="1800" w:right="702"/>
        <w:jc w:val="both"/>
        <w:rPr>
          <w:rFonts w:ascii="Arial" w:hAnsi="Arial" w:cs="Arial"/>
          <w:i/>
          <w:color w:val="000000" w:themeColor="text1"/>
        </w:rPr>
      </w:pPr>
      <w:r w:rsidRPr="00345AA4">
        <w:rPr>
          <w:rFonts w:ascii="Arial" w:hAnsi="Arial" w:cs="Arial"/>
          <w:i/>
          <w:color w:val="000000" w:themeColor="text1"/>
        </w:rPr>
        <w:t>Philippine Postal Savings Bank;</w:t>
      </w:r>
    </w:p>
    <w:p w14:paraId="00A001F4" w14:textId="77777777" w:rsidR="00802E85" w:rsidRPr="00345AA4" w:rsidRDefault="00802E85" w:rsidP="001F0410">
      <w:pPr>
        <w:pStyle w:val="NoSpacing"/>
        <w:ind w:left="1800" w:right="702"/>
        <w:jc w:val="both"/>
        <w:rPr>
          <w:rFonts w:ascii="Arial" w:hAnsi="Arial" w:cs="Arial"/>
          <w:i/>
          <w:color w:val="000000" w:themeColor="text1"/>
        </w:rPr>
      </w:pPr>
    </w:p>
    <w:p w14:paraId="1577AEE8" w14:textId="77777777" w:rsidR="00802E85" w:rsidRPr="00345AA4" w:rsidRDefault="00802E85" w:rsidP="001F0410">
      <w:pPr>
        <w:pStyle w:val="NoSpacing"/>
        <w:numPr>
          <w:ilvl w:val="0"/>
          <w:numId w:val="9"/>
        </w:numPr>
        <w:ind w:left="1800" w:right="702"/>
        <w:jc w:val="both"/>
        <w:rPr>
          <w:rFonts w:ascii="Arial" w:hAnsi="Arial" w:cs="Arial"/>
          <w:i/>
          <w:color w:val="000000" w:themeColor="text1"/>
        </w:rPr>
      </w:pPr>
      <w:r w:rsidRPr="00345AA4">
        <w:rPr>
          <w:rFonts w:ascii="Arial" w:hAnsi="Arial" w:cs="Arial"/>
          <w:i/>
          <w:color w:val="000000" w:themeColor="text1"/>
        </w:rPr>
        <w:t xml:space="preserve">Al </w:t>
      </w:r>
      <w:proofErr w:type="spellStart"/>
      <w:r w:rsidRPr="00345AA4">
        <w:rPr>
          <w:rFonts w:ascii="Arial" w:hAnsi="Arial" w:cs="Arial"/>
          <w:i/>
          <w:color w:val="000000" w:themeColor="text1"/>
        </w:rPr>
        <w:t>Amanah</w:t>
      </w:r>
      <w:proofErr w:type="spellEnd"/>
      <w:r w:rsidRPr="00345AA4">
        <w:rPr>
          <w:rFonts w:ascii="Arial" w:hAnsi="Arial" w:cs="Arial"/>
          <w:i/>
          <w:color w:val="000000" w:themeColor="text1"/>
        </w:rPr>
        <w:t xml:space="preserve"> Islamic Investment Bank of the Philippines;</w:t>
      </w:r>
    </w:p>
    <w:p w14:paraId="2B7DB5C7" w14:textId="77777777" w:rsidR="00802E85" w:rsidRPr="00345AA4" w:rsidRDefault="00802E85" w:rsidP="001F0410">
      <w:pPr>
        <w:pStyle w:val="NoSpacing"/>
        <w:ind w:left="1800" w:right="702"/>
        <w:jc w:val="both"/>
        <w:rPr>
          <w:rFonts w:ascii="Arial" w:hAnsi="Arial" w:cs="Arial"/>
          <w:i/>
          <w:color w:val="000000" w:themeColor="text1"/>
        </w:rPr>
      </w:pPr>
    </w:p>
    <w:p w14:paraId="10B35AD1" w14:textId="77777777" w:rsidR="00802E85" w:rsidRPr="00345AA4" w:rsidRDefault="00802E85" w:rsidP="001F0410">
      <w:pPr>
        <w:pStyle w:val="NoSpacing"/>
        <w:numPr>
          <w:ilvl w:val="0"/>
          <w:numId w:val="9"/>
        </w:numPr>
        <w:ind w:left="1800" w:right="702"/>
        <w:jc w:val="both"/>
        <w:rPr>
          <w:rFonts w:ascii="Arial" w:hAnsi="Arial" w:cs="Arial"/>
          <w:i/>
          <w:color w:val="000000" w:themeColor="text1"/>
        </w:rPr>
      </w:pPr>
      <w:r w:rsidRPr="00345AA4">
        <w:rPr>
          <w:rFonts w:ascii="Arial" w:hAnsi="Arial" w:cs="Arial"/>
          <w:i/>
          <w:color w:val="000000" w:themeColor="text1"/>
        </w:rPr>
        <w:t xml:space="preserve">United Coconut Planters Bank – authorized to accept funds from NGAs/GOCCs/LGUs until further notice from the </w:t>
      </w:r>
      <w:proofErr w:type="spellStart"/>
      <w:r w:rsidR="003759A0" w:rsidRPr="00345AA4">
        <w:rPr>
          <w:rFonts w:ascii="Arial" w:hAnsi="Arial" w:cs="Arial"/>
          <w:i/>
          <w:color w:val="000000" w:themeColor="text1"/>
        </w:rPr>
        <w:t>Bangko</w:t>
      </w:r>
      <w:proofErr w:type="spellEnd"/>
      <w:r w:rsidR="003759A0" w:rsidRPr="00345AA4">
        <w:rPr>
          <w:rFonts w:ascii="Arial" w:hAnsi="Arial" w:cs="Arial"/>
          <w:i/>
          <w:color w:val="000000" w:themeColor="text1"/>
        </w:rPr>
        <w:t xml:space="preserve"> </w:t>
      </w:r>
      <w:proofErr w:type="spellStart"/>
      <w:r w:rsidR="003759A0" w:rsidRPr="00345AA4">
        <w:rPr>
          <w:rFonts w:ascii="Arial" w:hAnsi="Arial" w:cs="Arial"/>
          <w:i/>
          <w:color w:val="000000" w:themeColor="text1"/>
        </w:rPr>
        <w:t>Sentral</w:t>
      </w:r>
      <w:proofErr w:type="spellEnd"/>
      <w:r w:rsidR="003759A0" w:rsidRPr="00345AA4">
        <w:rPr>
          <w:rFonts w:ascii="Arial" w:hAnsi="Arial" w:cs="Arial"/>
          <w:i/>
          <w:color w:val="000000" w:themeColor="text1"/>
        </w:rPr>
        <w:t xml:space="preserve"> </w:t>
      </w:r>
      <w:proofErr w:type="spellStart"/>
      <w:r w:rsidR="003759A0" w:rsidRPr="00345AA4">
        <w:rPr>
          <w:rFonts w:ascii="Arial" w:hAnsi="Arial" w:cs="Arial"/>
          <w:i/>
          <w:color w:val="000000" w:themeColor="text1"/>
        </w:rPr>
        <w:t>ng</w:t>
      </w:r>
      <w:proofErr w:type="spellEnd"/>
      <w:r w:rsidR="003759A0" w:rsidRPr="00345AA4">
        <w:rPr>
          <w:rFonts w:ascii="Arial" w:hAnsi="Arial" w:cs="Arial"/>
          <w:i/>
          <w:color w:val="000000" w:themeColor="text1"/>
        </w:rPr>
        <w:t xml:space="preserve"> </w:t>
      </w:r>
      <w:proofErr w:type="spellStart"/>
      <w:r w:rsidR="003759A0" w:rsidRPr="00345AA4">
        <w:rPr>
          <w:rFonts w:ascii="Arial" w:hAnsi="Arial" w:cs="Arial"/>
          <w:i/>
          <w:color w:val="000000" w:themeColor="text1"/>
        </w:rPr>
        <w:t>Pilipinas</w:t>
      </w:r>
      <w:proofErr w:type="spellEnd"/>
      <w:r w:rsidR="003759A0" w:rsidRPr="00345AA4">
        <w:rPr>
          <w:rFonts w:ascii="Arial" w:hAnsi="Arial" w:cs="Arial"/>
          <w:i/>
          <w:color w:val="000000" w:themeColor="text1"/>
        </w:rPr>
        <w:t xml:space="preserve"> (</w:t>
      </w:r>
      <w:r w:rsidRPr="00345AA4">
        <w:rPr>
          <w:rFonts w:ascii="Arial" w:hAnsi="Arial" w:cs="Arial"/>
          <w:i/>
          <w:color w:val="000000" w:themeColor="text1"/>
        </w:rPr>
        <w:t>BSP</w:t>
      </w:r>
      <w:r w:rsidR="003759A0" w:rsidRPr="00345AA4">
        <w:rPr>
          <w:rFonts w:ascii="Arial" w:hAnsi="Arial" w:cs="Arial"/>
          <w:i/>
          <w:color w:val="000000" w:themeColor="text1"/>
        </w:rPr>
        <w:t>)</w:t>
      </w:r>
      <w:r w:rsidRPr="00345AA4">
        <w:rPr>
          <w:rFonts w:ascii="Arial" w:hAnsi="Arial" w:cs="Arial"/>
          <w:i/>
          <w:color w:val="000000" w:themeColor="text1"/>
        </w:rPr>
        <w:t>, and subject to limitations that may be prescribed by the Monetary Board; and</w:t>
      </w:r>
    </w:p>
    <w:p w14:paraId="4BAFB2A5" w14:textId="77777777" w:rsidR="00802E85" w:rsidRPr="00345AA4" w:rsidRDefault="00802E85" w:rsidP="001F0410">
      <w:pPr>
        <w:pStyle w:val="NoSpacing"/>
        <w:ind w:left="1800" w:right="702"/>
        <w:jc w:val="both"/>
        <w:rPr>
          <w:rFonts w:ascii="Arial" w:hAnsi="Arial" w:cs="Arial"/>
          <w:i/>
          <w:color w:val="000000" w:themeColor="text1"/>
        </w:rPr>
      </w:pPr>
    </w:p>
    <w:p w14:paraId="2E65344E" w14:textId="77777777" w:rsidR="00802E85" w:rsidRPr="00345AA4" w:rsidRDefault="00802E85" w:rsidP="001F0410">
      <w:pPr>
        <w:pStyle w:val="NoSpacing"/>
        <w:numPr>
          <w:ilvl w:val="0"/>
          <w:numId w:val="9"/>
        </w:numPr>
        <w:ind w:left="1800" w:right="702"/>
        <w:jc w:val="both"/>
        <w:rPr>
          <w:rFonts w:ascii="Arial" w:hAnsi="Arial" w:cs="Arial"/>
          <w:i/>
          <w:color w:val="000000" w:themeColor="text1"/>
        </w:rPr>
      </w:pPr>
      <w:r w:rsidRPr="00345AA4">
        <w:rPr>
          <w:rFonts w:ascii="Arial" w:hAnsi="Arial" w:cs="Arial"/>
          <w:i/>
          <w:color w:val="000000" w:themeColor="text1"/>
        </w:rPr>
        <w:t>Philippine Veterans Bank – authorized to accept funds from NGAs/GOCCs/LGUs, and subject to limitations prescribed by the Monetary Board.</w:t>
      </w:r>
    </w:p>
    <w:p w14:paraId="7B9453B9" w14:textId="77777777" w:rsidR="00802E85" w:rsidRPr="00345AA4" w:rsidRDefault="00802E85" w:rsidP="001F0410">
      <w:pPr>
        <w:pStyle w:val="NoSpacing"/>
        <w:ind w:left="1800" w:right="702"/>
        <w:jc w:val="both"/>
        <w:rPr>
          <w:rFonts w:ascii="Arial" w:hAnsi="Arial" w:cs="Arial"/>
          <w:i/>
          <w:color w:val="000000" w:themeColor="text1"/>
        </w:rPr>
      </w:pPr>
    </w:p>
    <w:p w14:paraId="045CD3AD" w14:textId="77777777" w:rsidR="00802E85" w:rsidRPr="00345AA4" w:rsidRDefault="00802E85" w:rsidP="001F0410">
      <w:pPr>
        <w:pStyle w:val="NoSpacing"/>
        <w:ind w:left="1800" w:right="702"/>
        <w:jc w:val="both"/>
        <w:rPr>
          <w:rFonts w:ascii="Arial" w:hAnsi="Arial" w:cs="Arial"/>
          <w:i/>
          <w:color w:val="000000" w:themeColor="text1"/>
        </w:rPr>
      </w:pPr>
      <w:r w:rsidRPr="00345AA4">
        <w:rPr>
          <w:rFonts w:ascii="Arial" w:hAnsi="Arial" w:cs="Arial"/>
          <w:i/>
          <w:color w:val="000000" w:themeColor="text1"/>
        </w:rPr>
        <w:t xml:space="preserve">5.2.1 NGAs and GOCCs </w:t>
      </w:r>
      <w:r w:rsidRPr="00345AA4">
        <w:rPr>
          <w:rFonts w:ascii="Arial" w:hAnsi="Arial" w:cs="Arial"/>
          <w:b/>
          <w:i/>
          <w:color w:val="000000" w:themeColor="text1"/>
        </w:rPr>
        <w:t xml:space="preserve">shall secure written authority to open deposit accounts and/or deposit Government Funds from the duly authorized official of the </w:t>
      </w:r>
      <w:proofErr w:type="spellStart"/>
      <w:r w:rsidRPr="00345AA4">
        <w:rPr>
          <w:rFonts w:ascii="Arial" w:hAnsi="Arial" w:cs="Arial"/>
          <w:b/>
          <w:i/>
          <w:color w:val="000000" w:themeColor="text1"/>
        </w:rPr>
        <w:t>BTr</w:t>
      </w:r>
      <w:proofErr w:type="spellEnd"/>
      <w:r w:rsidRPr="00345AA4">
        <w:rPr>
          <w:rFonts w:ascii="Arial" w:hAnsi="Arial" w:cs="Arial"/>
          <w:b/>
          <w:i/>
          <w:color w:val="000000" w:themeColor="text1"/>
        </w:rPr>
        <w:t>/DOF in all banks, including those listed in Section 5.2, in accordance with relevant laws, issuances, and regulations of the BSP</w:t>
      </w:r>
      <w:r w:rsidRPr="00345AA4">
        <w:rPr>
          <w:rFonts w:ascii="Arial" w:hAnsi="Arial" w:cs="Arial"/>
          <w:i/>
          <w:color w:val="000000" w:themeColor="text1"/>
        </w:rPr>
        <w:t xml:space="preserve">. XXX </w:t>
      </w:r>
    </w:p>
    <w:p w14:paraId="783143E0" w14:textId="77777777" w:rsidR="00802E85" w:rsidRPr="00345AA4" w:rsidRDefault="00802E85" w:rsidP="001F0410">
      <w:pPr>
        <w:pStyle w:val="NoSpacing"/>
        <w:ind w:left="1800" w:right="702"/>
        <w:jc w:val="both"/>
        <w:rPr>
          <w:rFonts w:ascii="Arial" w:hAnsi="Arial" w:cs="Arial"/>
          <w:i/>
          <w:color w:val="000000" w:themeColor="text1"/>
        </w:rPr>
      </w:pPr>
    </w:p>
    <w:p w14:paraId="1505D2C7" w14:textId="77777777" w:rsidR="00802E85" w:rsidRPr="00345AA4" w:rsidRDefault="00802E85" w:rsidP="001F0410">
      <w:pPr>
        <w:pStyle w:val="NoSpacing"/>
        <w:ind w:left="1800" w:right="702"/>
        <w:jc w:val="both"/>
        <w:rPr>
          <w:rFonts w:ascii="Arial" w:hAnsi="Arial" w:cs="Arial"/>
          <w:i/>
          <w:color w:val="000000" w:themeColor="text1"/>
        </w:rPr>
      </w:pPr>
      <w:r w:rsidRPr="00345AA4">
        <w:rPr>
          <w:rFonts w:ascii="Arial" w:hAnsi="Arial" w:cs="Arial"/>
          <w:i/>
          <w:color w:val="000000" w:themeColor="text1"/>
        </w:rPr>
        <w:t xml:space="preserve">Subject to the existence of </w:t>
      </w:r>
      <w:r w:rsidRPr="00345AA4">
        <w:rPr>
          <w:rFonts w:ascii="Arial" w:hAnsi="Arial" w:cs="Arial"/>
          <w:b/>
          <w:i/>
          <w:color w:val="000000" w:themeColor="text1"/>
        </w:rPr>
        <w:t>any of the circumstances under Section 5.4</w:t>
      </w:r>
      <w:r w:rsidRPr="00345AA4">
        <w:rPr>
          <w:rFonts w:ascii="Arial" w:hAnsi="Arial" w:cs="Arial"/>
          <w:i/>
          <w:color w:val="000000" w:themeColor="text1"/>
        </w:rPr>
        <w:t xml:space="preserve"> </w:t>
      </w:r>
      <w:r w:rsidRPr="00345AA4">
        <w:rPr>
          <w:rFonts w:ascii="Arial" w:hAnsi="Arial" w:cs="Arial"/>
          <w:b/>
          <w:i/>
          <w:color w:val="000000" w:themeColor="text1"/>
        </w:rPr>
        <w:t>and prior approval</w:t>
      </w:r>
      <w:r w:rsidRPr="00345AA4">
        <w:rPr>
          <w:rFonts w:ascii="Arial" w:hAnsi="Arial" w:cs="Arial"/>
          <w:i/>
          <w:color w:val="000000" w:themeColor="text1"/>
        </w:rPr>
        <w:t xml:space="preserve"> under Section 5.5, a GOCC may be allowed to deposit Government Funds and maintain accounts with banks other than th</w:t>
      </w:r>
      <w:r w:rsidR="008C7A71" w:rsidRPr="00345AA4">
        <w:rPr>
          <w:rFonts w:ascii="Arial" w:hAnsi="Arial" w:cs="Arial"/>
          <w:i/>
          <w:color w:val="000000" w:themeColor="text1"/>
        </w:rPr>
        <w:t>ose listed in Section 5.2, XXX</w:t>
      </w:r>
      <w:r w:rsidR="00720ECE" w:rsidRPr="00345AA4">
        <w:rPr>
          <w:rFonts w:ascii="Arial" w:hAnsi="Arial" w:cs="Arial"/>
          <w:i/>
          <w:color w:val="000000" w:themeColor="text1"/>
        </w:rPr>
        <w:t xml:space="preserve"> </w:t>
      </w:r>
      <w:r w:rsidR="00720ECE" w:rsidRPr="00345AA4">
        <w:rPr>
          <w:rFonts w:ascii="Arial" w:hAnsi="Arial" w:cs="Arial"/>
          <w:iCs/>
          <w:color w:val="000000" w:themeColor="text1"/>
        </w:rPr>
        <w:t>(Emphasis supplied)</w:t>
      </w:r>
      <w:r w:rsidR="008C7A71" w:rsidRPr="00345AA4">
        <w:rPr>
          <w:rFonts w:ascii="Arial" w:hAnsi="Arial" w:cs="Arial"/>
          <w:i/>
          <w:color w:val="000000" w:themeColor="text1"/>
        </w:rPr>
        <w:t xml:space="preserve"> </w:t>
      </w:r>
    </w:p>
    <w:p w14:paraId="1B73CD13" w14:textId="77777777" w:rsidR="00802E85" w:rsidRPr="00345AA4" w:rsidRDefault="00802E85" w:rsidP="00802E85">
      <w:pPr>
        <w:pStyle w:val="NoSpacing"/>
        <w:ind w:right="1206"/>
        <w:jc w:val="both"/>
        <w:rPr>
          <w:rFonts w:ascii="Arial" w:hAnsi="Arial" w:cs="Arial"/>
          <w:b/>
          <w:i/>
          <w:color w:val="000000" w:themeColor="text1"/>
          <w:u w:val="single"/>
        </w:rPr>
      </w:pPr>
    </w:p>
    <w:p w14:paraId="448F0EE5" w14:textId="1DE7CC43" w:rsidR="00802E85" w:rsidRPr="00345AA4" w:rsidRDefault="00802E85" w:rsidP="00802E85">
      <w:pPr>
        <w:pStyle w:val="ListParagraph"/>
        <w:numPr>
          <w:ilvl w:val="1"/>
          <w:numId w:val="1"/>
        </w:numPr>
        <w:tabs>
          <w:tab w:val="left" w:pos="990"/>
        </w:tabs>
        <w:ind w:left="900" w:hanging="540"/>
        <w:contextualSpacing/>
        <w:jc w:val="both"/>
        <w:rPr>
          <w:rFonts w:ascii="Arial" w:hAnsi="Arial" w:cs="Arial"/>
          <w:color w:val="000000" w:themeColor="text1"/>
          <w:sz w:val="22"/>
          <w:szCs w:val="22"/>
          <w:lang w:eastAsia="en-PH"/>
        </w:rPr>
      </w:pPr>
      <w:r w:rsidRPr="00345AA4">
        <w:rPr>
          <w:rFonts w:ascii="Arial" w:hAnsi="Arial" w:cs="Arial"/>
          <w:bCs/>
          <w:color w:val="000000" w:themeColor="text1"/>
          <w:sz w:val="22"/>
          <w:szCs w:val="22"/>
        </w:rPr>
        <w:t>Furthermore</w:t>
      </w:r>
      <w:r w:rsidRPr="00345AA4">
        <w:rPr>
          <w:rFonts w:ascii="Arial" w:hAnsi="Arial" w:cs="Arial"/>
          <w:color w:val="000000" w:themeColor="text1"/>
          <w:sz w:val="22"/>
          <w:szCs w:val="22"/>
          <w:lang w:eastAsia="en-PH"/>
        </w:rPr>
        <w:t>, Sections 5.3</w:t>
      </w:r>
      <w:r w:rsidR="00EA7B4A" w:rsidRPr="00345AA4">
        <w:rPr>
          <w:rFonts w:ascii="Arial" w:hAnsi="Arial" w:cs="Arial"/>
          <w:color w:val="000000" w:themeColor="text1"/>
          <w:sz w:val="22"/>
          <w:szCs w:val="22"/>
          <w:lang w:eastAsia="en-PH"/>
        </w:rPr>
        <w:t xml:space="preserve"> to</w:t>
      </w:r>
      <w:r w:rsidRPr="00345AA4">
        <w:rPr>
          <w:rFonts w:ascii="Arial" w:hAnsi="Arial" w:cs="Arial"/>
          <w:color w:val="000000" w:themeColor="text1"/>
          <w:sz w:val="22"/>
          <w:szCs w:val="22"/>
          <w:lang w:eastAsia="en-PH"/>
        </w:rPr>
        <w:t xml:space="preserve"> 5.5, as amended, of the preceding Circular provide:</w:t>
      </w:r>
    </w:p>
    <w:p w14:paraId="3F3B3B7C" w14:textId="77777777" w:rsidR="00802E85" w:rsidRPr="00345AA4" w:rsidRDefault="00802E85" w:rsidP="00802E85">
      <w:pPr>
        <w:pStyle w:val="NoSpacing"/>
        <w:ind w:left="540"/>
        <w:jc w:val="both"/>
        <w:rPr>
          <w:rFonts w:ascii="Arial" w:hAnsi="Arial" w:cs="Arial"/>
          <w:color w:val="000000" w:themeColor="text1"/>
        </w:rPr>
      </w:pPr>
    </w:p>
    <w:p w14:paraId="5E65EB26" w14:textId="77777777" w:rsidR="00802E85" w:rsidRPr="00345AA4" w:rsidRDefault="00802E85" w:rsidP="00903A5E">
      <w:pPr>
        <w:pStyle w:val="NoSpacing"/>
        <w:ind w:left="1440" w:right="702"/>
        <w:jc w:val="both"/>
        <w:rPr>
          <w:rFonts w:ascii="Arial" w:hAnsi="Arial" w:cs="Arial"/>
          <w:i/>
          <w:color w:val="000000" w:themeColor="text1"/>
        </w:rPr>
      </w:pPr>
      <w:r w:rsidRPr="00345AA4">
        <w:rPr>
          <w:rFonts w:ascii="Arial" w:hAnsi="Arial" w:cs="Arial"/>
          <w:i/>
          <w:color w:val="000000" w:themeColor="text1"/>
        </w:rPr>
        <w:t>5.3 To remove revenue and expenditure floats:</w:t>
      </w:r>
    </w:p>
    <w:p w14:paraId="06FAE840" w14:textId="77777777" w:rsidR="00802E85" w:rsidRPr="00345AA4" w:rsidRDefault="00802E85" w:rsidP="00802E85">
      <w:pPr>
        <w:pStyle w:val="NoSpacing"/>
        <w:ind w:left="810" w:right="702"/>
        <w:jc w:val="both"/>
        <w:rPr>
          <w:rFonts w:ascii="Arial" w:hAnsi="Arial" w:cs="Arial"/>
          <w:i/>
          <w:color w:val="000000" w:themeColor="text1"/>
        </w:rPr>
      </w:pPr>
      <w:r w:rsidRPr="00345AA4">
        <w:rPr>
          <w:rFonts w:ascii="Arial" w:hAnsi="Arial" w:cs="Arial"/>
          <w:i/>
          <w:color w:val="000000" w:themeColor="text1"/>
        </w:rPr>
        <w:tab/>
      </w:r>
    </w:p>
    <w:p w14:paraId="62AC91C0" w14:textId="77777777" w:rsidR="00802E85" w:rsidRPr="00345AA4" w:rsidRDefault="00802E85" w:rsidP="00903A5E">
      <w:pPr>
        <w:pStyle w:val="NoSpacing"/>
        <w:ind w:left="1800" w:right="702"/>
        <w:jc w:val="both"/>
        <w:rPr>
          <w:rFonts w:ascii="Arial" w:hAnsi="Arial" w:cs="Arial"/>
          <w:i/>
          <w:color w:val="000000" w:themeColor="text1"/>
        </w:rPr>
      </w:pPr>
      <w:r w:rsidRPr="00345AA4">
        <w:rPr>
          <w:rFonts w:ascii="Arial" w:hAnsi="Arial" w:cs="Arial"/>
          <w:i/>
          <w:color w:val="000000" w:themeColor="text1"/>
        </w:rPr>
        <w:t xml:space="preserve">5.3.1 The NGA/GOCC/LGU, may engage the payment and collection services of banks other than those listed in Section 5.2, thru a transaction fee-based arrangement, without the need of prior approval from the DOF, in the case of GOCCs, XXX: provided, finally that, all collections of collection banks shall be transferred to any of those listed in Section 5.2, or in </w:t>
      </w:r>
      <w:r w:rsidRPr="00345AA4">
        <w:rPr>
          <w:rFonts w:ascii="Arial" w:hAnsi="Arial" w:cs="Arial"/>
          <w:i/>
          <w:color w:val="000000" w:themeColor="text1"/>
        </w:rPr>
        <w:lastRenderedPageBreak/>
        <w:t>the case of NGAs/GOCCs, to the TSA or to any of those listed in Section 5.2, on the next banking day counted from the collection date.</w:t>
      </w:r>
    </w:p>
    <w:p w14:paraId="11605CED" w14:textId="77777777" w:rsidR="00802E85" w:rsidRPr="00345AA4" w:rsidRDefault="00802E85" w:rsidP="00802E85">
      <w:pPr>
        <w:pStyle w:val="NoSpacing"/>
        <w:ind w:left="810" w:right="702" w:firstLine="630"/>
        <w:jc w:val="both"/>
        <w:rPr>
          <w:rFonts w:ascii="Arial" w:hAnsi="Arial" w:cs="Arial"/>
          <w:i/>
          <w:color w:val="000000" w:themeColor="text1"/>
        </w:rPr>
      </w:pPr>
    </w:p>
    <w:p w14:paraId="38D9B256" w14:textId="77777777" w:rsidR="00802E85" w:rsidRPr="00345AA4" w:rsidRDefault="00802E85" w:rsidP="00903A5E">
      <w:pPr>
        <w:pStyle w:val="NoSpacing"/>
        <w:ind w:left="1440" w:right="702"/>
        <w:jc w:val="both"/>
        <w:rPr>
          <w:rFonts w:ascii="Arial" w:hAnsi="Arial" w:cs="Arial"/>
          <w:i/>
          <w:color w:val="000000" w:themeColor="text1"/>
        </w:rPr>
      </w:pPr>
      <w:r w:rsidRPr="00345AA4">
        <w:rPr>
          <w:rFonts w:ascii="Arial" w:hAnsi="Arial" w:cs="Arial"/>
          <w:i/>
          <w:color w:val="000000" w:themeColor="text1"/>
        </w:rPr>
        <w:t>5.4 Deposits with banks other than those listed in Section 5.2 may be allowed, only if any of the following circumstances exists:</w:t>
      </w:r>
    </w:p>
    <w:p w14:paraId="129B569A" w14:textId="77777777" w:rsidR="00802E85" w:rsidRPr="00345AA4" w:rsidRDefault="00802E85" w:rsidP="00802E85">
      <w:pPr>
        <w:pStyle w:val="NoSpacing"/>
        <w:ind w:right="702"/>
        <w:jc w:val="both"/>
        <w:rPr>
          <w:rFonts w:ascii="Arial" w:hAnsi="Arial" w:cs="Arial"/>
          <w:i/>
          <w:color w:val="000000" w:themeColor="text1"/>
        </w:rPr>
      </w:pPr>
    </w:p>
    <w:p w14:paraId="6C55FEC0" w14:textId="77777777" w:rsidR="00802E85" w:rsidRPr="00345AA4" w:rsidRDefault="00802E85" w:rsidP="00903A5E">
      <w:pPr>
        <w:pStyle w:val="NoSpacing"/>
        <w:ind w:left="1800" w:right="702"/>
        <w:jc w:val="both"/>
        <w:rPr>
          <w:rFonts w:ascii="Arial" w:hAnsi="Arial" w:cs="Arial"/>
          <w:i/>
          <w:color w:val="000000" w:themeColor="text1"/>
        </w:rPr>
      </w:pPr>
      <w:r w:rsidRPr="00345AA4">
        <w:rPr>
          <w:rFonts w:ascii="Arial" w:hAnsi="Arial" w:cs="Arial"/>
          <w:i/>
          <w:color w:val="000000" w:themeColor="text1"/>
        </w:rPr>
        <w:t>5.4.1 The banks listed in Section 5.2 cannot provide the required banking products and services;</w:t>
      </w:r>
    </w:p>
    <w:p w14:paraId="3A1AFD6B" w14:textId="77777777" w:rsidR="00802E85" w:rsidRPr="00345AA4" w:rsidRDefault="00802E85" w:rsidP="00903A5E">
      <w:pPr>
        <w:pStyle w:val="NoSpacing"/>
        <w:ind w:left="1800" w:right="702"/>
        <w:jc w:val="both"/>
        <w:rPr>
          <w:rFonts w:ascii="Arial" w:hAnsi="Arial" w:cs="Arial"/>
          <w:i/>
          <w:color w:val="000000" w:themeColor="text1"/>
        </w:rPr>
      </w:pPr>
    </w:p>
    <w:p w14:paraId="3878BA7A" w14:textId="0CF41567" w:rsidR="00802E85" w:rsidRPr="00345AA4" w:rsidRDefault="00802E85" w:rsidP="00903A5E">
      <w:pPr>
        <w:pStyle w:val="NoSpacing"/>
        <w:ind w:left="1800" w:right="702"/>
        <w:jc w:val="both"/>
        <w:rPr>
          <w:rFonts w:ascii="Arial" w:hAnsi="Arial" w:cs="Arial"/>
          <w:i/>
          <w:color w:val="000000" w:themeColor="text1"/>
        </w:rPr>
      </w:pPr>
      <w:r w:rsidRPr="00345AA4">
        <w:rPr>
          <w:rFonts w:ascii="Arial" w:hAnsi="Arial" w:cs="Arial"/>
          <w:i/>
          <w:color w:val="000000" w:themeColor="text1"/>
        </w:rPr>
        <w:t>5.4.2 The banks listed in Section 5.2, or their collection facilities, are not accessible within a twenty (20) kilometer radius; or</w:t>
      </w:r>
    </w:p>
    <w:p w14:paraId="0A96B48A" w14:textId="77777777" w:rsidR="00802E85" w:rsidRPr="00345AA4" w:rsidRDefault="00802E85" w:rsidP="00903A5E">
      <w:pPr>
        <w:pStyle w:val="NoSpacing"/>
        <w:ind w:left="1800" w:right="702"/>
        <w:jc w:val="both"/>
        <w:rPr>
          <w:rFonts w:ascii="Arial" w:hAnsi="Arial" w:cs="Arial"/>
          <w:i/>
          <w:color w:val="000000" w:themeColor="text1"/>
        </w:rPr>
      </w:pPr>
    </w:p>
    <w:p w14:paraId="5298B9EB" w14:textId="77777777" w:rsidR="00802E85" w:rsidRPr="00345AA4" w:rsidRDefault="00802E85" w:rsidP="00903A5E">
      <w:pPr>
        <w:pStyle w:val="NoSpacing"/>
        <w:ind w:left="1800" w:right="702"/>
        <w:jc w:val="both"/>
        <w:rPr>
          <w:rFonts w:ascii="Arial" w:hAnsi="Arial" w:cs="Arial"/>
          <w:i/>
          <w:color w:val="000000" w:themeColor="text1"/>
        </w:rPr>
      </w:pPr>
      <w:r w:rsidRPr="00345AA4">
        <w:rPr>
          <w:rFonts w:ascii="Arial" w:hAnsi="Arial" w:cs="Arial"/>
          <w:i/>
          <w:color w:val="000000" w:themeColor="text1"/>
        </w:rPr>
        <w:t>5.4.3 There are security and safety risks.</w:t>
      </w:r>
    </w:p>
    <w:p w14:paraId="48215785" w14:textId="77777777" w:rsidR="00802E85" w:rsidRPr="00345AA4" w:rsidRDefault="00802E85" w:rsidP="00802E85">
      <w:pPr>
        <w:pStyle w:val="NoSpacing"/>
        <w:ind w:left="1440" w:right="702"/>
        <w:jc w:val="both"/>
        <w:rPr>
          <w:rFonts w:ascii="Arial" w:hAnsi="Arial" w:cs="Arial"/>
          <w:i/>
          <w:color w:val="000000" w:themeColor="text1"/>
        </w:rPr>
      </w:pPr>
    </w:p>
    <w:p w14:paraId="4227596A" w14:textId="77777777" w:rsidR="00802E85" w:rsidRPr="00345AA4" w:rsidRDefault="00802E85" w:rsidP="00903A5E">
      <w:pPr>
        <w:pStyle w:val="NoSpacing"/>
        <w:ind w:left="1440" w:right="702"/>
        <w:jc w:val="both"/>
        <w:rPr>
          <w:rFonts w:ascii="Arial" w:hAnsi="Arial" w:cs="Arial"/>
          <w:i/>
          <w:color w:val="000000" w:themeColor="text1"/>
        </w:rPr>
      </w:pPr>
      <w:r w:rsidRPr="00345AA4">
        <w:rPr>
          <w:rFonts w:ascii="Arial" w:hAnsi="Arial" w:cs="Arial"/>
          <w:i/>
          <w:color w:val="000000" w:themeColor="text1"/>
        </w:rPr>
        <w:t xml:space="preserve"> 5.5 Where any of the circumstances under Section 5.4 exists:</w:t>
      </w:r>
    </w:p>
    <w:p w14:paraId="7A9E1803" w14:textId="77777777" w:rsidR="00802E85" w:rsidRPr="00345AA4" w:rsidRDefault="00802E85" w:rsidP="00802E85">
      <w:pPr>
        <w:pStyle w:val="NoSpacing"/>
        <w:ind w:left="810" w:right="702"/>
        <w:jc w:val="both"/>
        <w:rPr>
          <w:rFonts w:ascii="Arial" w:hAnsi="Arial" w:cs="Arial"/>
          <w:i/>
          <w:color w:val="000000" w:themeColor="text1"/>
        </w:rPr>
      </w:pPr>
    </w:p>
    <w:p w14:paraId="1E0C297F" w14:textId="77777777" w:rsidR="00802E85" w:rsidRPr="00345AA4" w:rsidRDefault="00802E85" w:rsidP="00FE630B">
      <w:pPr>
        <w:pStyle w:val="NoSpacing"/>
        <w:ind w:left="1800" w:right="702"/>
        <w:jc w:val="both"/>
        <w:rPr>
          <w:rFonts w:ascii="Arial" w:hAnsi="Arial" w:cs="Arial"/>
          <w:i/>
          <w:color w:val="000000" w:themeColor="text1"/>
        </w:rPr>
      </w:pPr>
      <w:r w:rsidRPr="00345AA4">
        <w:rPr>
          <w:rFonts w:ascii="Arial" w:hAnsi="Arial" w:cs="Arial"/>
          <w:i/>
          <w:color w:val="000000" w:themeColor="text1"/>
        </w:rPr>
        <w:t xml:space="preserve">5.5.1 The NGA/GOCC/LGUs </w:t>
      </w:r>
      <w:r w:rsidRPr="00345AA4">
        <w:rPr>
          <w:rFonts w:ascii="Arial" w:hAnsi="Arial" w:cs="Arial"/>
          <w:b/>
          <w:i/>
          <w:color w:val="000000" w:themeColor="text1"/>
        </w:rPr>
        <w:t xml:space="preserve">shall request prior approval from the </w:t>
      </w:r>
      <w:proofErr w:type="spellStart"/>
      <w:r w:rsidRPr="00345AA4">
        <w:rPr>
          <w:rFonts w:ascii="Arial" w:hAnsi="Arial" w:cs="Arial"/>
          <w:b/>
          <w:i/>
          <w:color w:val="000000" w:themeColor="text1"/>
        </w:rPr>
        <w:t>BTr</w:t>
      </w:r>
      <w:proofErr w:type="spellEnd"/>
      <w:r w:rsidRPr="00345AA4">
        <w:rPr>
          <w:rFonts w:ascii="Arial" w:hAnsi="Arial" w:cs="Arial"/>
          <w:i/>
          <w:color w:val="000000" w:themeColor="text1"/>
        </w:rPr>
        <w:t xml:space="preserve"> for NGAs/ </w:t>
      </w:r>
      <w:r w:rsidRPr="00345AA4">
        <w:rPr>
          <w:rFonts w:ascii="Arial" w:hAnsi="Arial" w:cs="Arial"/>
          <w:b/>
          <w:i/>
          <w:color w:val="000000" w:themeColor="text1"/>
        </w:rPr>
        <w:t>DOF for GOCCs</w:t>
      </w:r>
      <w:r w:rsidRPr="00345AA4">
        <w:rPr>
          <w:rFonts w:ascii="Arial" w:hAnsi="Arial" w:cs="Arial"/>
          <w:i/>
          <w:color w:val="000000" w:themeColor="text1"/>
        </w:rPr>
        <w:t xml:space="preserve">/ BLGF for LGUs, </w:t>
      </w:r>
      <w:r w:rsidRPr="00345AA4">
        <w:rPr>
          <w:rFonts w:ascii="Arial" w:hAnsi="Arial" w:cs="Arial"/>
          <w:b/>
          <w:i/>
          <w:color w:val="000000" w:themeColor="text1"/>
        </w:rPr>
        <w:t>to open and maintain an account in a bank other than those listed in Section 5.2.</w:t>
      </w:r>
      <w:r w:rsidRPr="00345AA4">
        <w:rPr>
          <w:rFonts w:ascii="Arial" w:hAnsi="Arial" w:cs="Arial"/>
          <w:i/>
          <w:color w:val="000000" w:themeColor="text1"/>
        </w:rPr>
        <w:t xml:space="preserve">  It shall submit the following to the </w:t>
      </w:r>
      <w:proofErr w:type="spellStart"/>
      <w:r w:rsidRPr="00345AA4">
        <w:rPr>
          <w:rFonts w:ascii="Arial" w:hAnsi="Arial" w:cs="Arial"/>
          <w:i/>
          <w:color w:val="000000" w:themeColor="text1"/>
        </w:rPr>
        <w:t>BTr</w:t>
      </w:r>
      <w:proofErr w:type="spellEnd"/>
      <w:r w:rsidRPr="00345AA4">
        <w:rPr>
          <w:rFonts w:ascii="Arial" w:hAnsi="Arial" w:cs="Arial"/>
          <w:i/>
          <w:color w:val="000000" w:themeColor="text1"/>
        </w:rPr>
        <w:t>/DOF/</w:t>
      </w:r>
      <w:r w:rsidR="00D814BE" w:rsidRPr="00345AA4">
        <w:rPr>
          <w:rFonts w:ascii="Arial" w:hAnsi="Arial" w:cs="Arial"/>
          <w:i/>
          <w:color w:val="000000" w:themeColor="text1"/>
        </w:rPr>
        <w:t>Bureau of Local Governance Finance (</w:t>
      </w:r>
      <w:r w:rsidRPr="00345AA4">
        <w:rPr>
          <w:rFonts w:ascii="Arial" w:hAnsi="Arial" w:cs="Arial"/>
          <w:i/>
          <w:color w:val="000000" w:themeColor="text1"/>
        </w:rPr>
        <w:t>BLGF</w:t>
      </w:r>
      <w:r w:rsidR="00D814BE" w:rsidRPr="00345AA4">
        <w:rPr>
          <w:rFonts w:ascii="Arial" w:hAnsi="Arial" w:cs="Arial"/>
          <w:i/>
          <w:color w:val="000000" w:themeColor="text1"/>
        </w:rPr>
        <w:t>)</w:t>
      </w:r>
      <w:r w:rsidRPr="00345AA4">
        <w:rPr>
          <w:rFonts w:ascii="Arial" w:hAnsi="Arial" w:cs="Arial"/>
          <w:i/>
          <w:color w:val="000000" w:themeColor="text1"/>
        </w:rPr>
        <w:t>, as applicable:</w:t>
      </w:r>
    </w:p>
    <w:p w14:paraId="53A0B119" w14:textId="77777777" w:rsidR="00802E85" w:rsidRPr="00345AA4" w:rsidRDefault="00802E85" w:rsidP="00903A5E">
      <w:pPr>
        <w:pStyle w:val="NoSpacing"/>
        <w:ind w:left="1890" w:right="702"/>
        <w:jc w:val="both"/>
        <w:rPr>
          <w:rFonts w:ascii="Arial" w:hAnsi="Arial" w:cs="Arial"/>
          <w:i/>
          <w:color w:val="000000" w:themeColor="text1"/>
        </w:rPr>
      </w:pPr>
    </w:p>
    <w:p w14:paraId="56B6DC41" w14:textId="77777777" w:rsidR="00802E85" w:rsidRPr="00345AA4" w:rsidRDefault="00802E85" w:rsidP="00FE630B">
      <w:pPr>
        <w:pStyle w:val="NoSpacing"/>
        <w:numPr>
          <w:ilvl w:val="0"/>
          <w:numId w:val="10"/>
        </w:numPr>
        <w:ind w:left="2070" w:right="702" w:hanging="270"/>
        <w:jc w:val="both"/>
        <w:rPr>
          <w:rFonts w:ascii="Arial" w:hAnsi="Arial" w:cs="Arial"/>
          <w:i/>
          <w:color w:val="000000" w:themeColor="text1"/>
        </w:rPr>
      </w:pPr>
      <w:r w:rsidRPr="00345AA4">
        <w:rPr>
          <w:rFonts w:ascii="Arial" w:hAnsi="Arial" w:cs="Arial"/>
          <w:i/>
          <w:color w:val="000000" w:themeColor="text1"/>
        </w:rPr>
        <w:t xml:space="preserve">Letter from the Head of the NGA/GOCC/LGU or its duly designated officer stating; (i) the terms of the deposit, purpose for opening and maintaining an account with the proposed bank, and the specific circumstance under Section 5.4; and, (ii) that the NGA/GOCC/LGU shall comply with fiscal and financial reporting requirements of the </w:t>
      </w:r>
      <w:proofErr w:type="spellStart"/>
      <w:r w:rsidRPr="00345AA4">
        <w:rPr>
          <w:rFonts w:ascii="Arial" w:hAnsi="Arial" w:cs="Arial"/>
          <w:i/>
          <w:color w:val="000000" w:themeColor="text1"/>
        </w:rPr>
        <w:t>BTr</w:t>
      </w:r>
      <w:proofErr w:type="spellEnd"/>
      <w:r w:rsidRPr="00345AA4">
        <w:rPr>
          <w:rFonts w:ascii="Arial" w:hAnsi="Arial" w:cs="Arial"/>
          <w:i/>
          <w:color w:val="000000" w:themeColor="text1"/>
        </w:rPr>
        <w:t>/DOF/BLGF;</w:t>
      </w:r>
    </w:p>
    <w:p w14:paraId="402C9117" w14:textId="77777777" w:rsidR="00802E85" w:rsidRPr="00345AA4" w:rsidRDefault="00802E85" w:rsidP="00903A5E">
      <w:pPr>
        <w:pStyle w:val="NoSpacing"/>
        <w:ind w:left="1890" w:right="702"/>
        <w:jc w:val="both"/>
        <w:rPr>
          <w:rFonts w:ascii="Arial" w:hAnsi="Arial" w:cs="Arial"/>
          <w:i/>
          <w:color w:val="000000" w:themeColor="text1"/>
        </w:rPr>
      </w:pPr>
    </w:p>
    <w:p w14:paraId="08C6F347" w14:textId="77777777" w:rsidR="00802E85" w:rsidRPr="00345AA4" w:rsidRDefault="00802E85" w:rsidP="00FE630B">
      <w:pPr>
        <w:pStyle w:val="NoSpacing"/>
        <w:numPr>
          <w:ilvl w:val="0"/>
          <w:numId w:val="10"/>
        </w:numPr>
        <w:ind w:left="2070" w:right="702" w:hanging="270"/>
        <w:jc w:val="both"/>
        <w:rPr>
          <w:rFonts w:ascii="Arial" w:hAnsi="Arial" w:cs="Arial"/>
          <w:iCs/>
          <w:color w:val="000000" w:themeColor="text1"/>
        </w:rPr>
      </w:pPr>
      <w:r w:rsidRPr="00345AA4">
        <w:rPr>
          <w:rFonts w:ascii="Arial" w:hAnsi="Arial" w:cs="Arial"/>
          <w:i/>
          <w:color w:val="000000" w:themeColor="text1"/>
        </w:rPr>
        <w:t xml:space="preserve">In the case of a GOCC, it shall submit: (i) a copy of the board resolution authorizing the GOCC to deposit funds with the proposed bank, (ii) its latest audited financial statements issued not more than 18 months at the time of the submission of the request, and (iii) a Summary of its Daily Collection Report for the last three months.  </w:t>
      </w:r>
      <w:r w:rsidRPr="00345AA4">
        <w:rPr>
          <w:rFonts w:ascii="Arial" w:hAnsi="Arial" w:cs="Arial"/>
          <w:iCs/>
          <w:color w:val="000000" w:themeColor="text1"/>
        </w:rPr>
        <w:t>(Emphasis supplied)</w:t>
      </w:r>
    </w:p>
    <w:p w14:paraId="536FAF0D" w14:textId="77777777" w:rsidR="00802E85" w:rsidRPr="00345AA4" w:rsidRDefault="00802E85" w:rsidP="00802E85">
      <w:pPr>
        <w:pStyle w:val="NoSpacing"/>
        <w:ind w:right="702"/>
        <w:jc w:val="both"/>
        <w:rPr>
          <w:rFonts w:ascii="Arial" w:hAnsi="Arial" w:cs="Arial"/>
          <w:b/>
          <w:color w:val="000000" w:themeColor="text1"/>
        </w:rPr>
      </w:pPr>
    </w:p>
    <w:p w14:paraId="7E9B71C4" w14:textId="6093F5B0" w:rsidR="00802E85" w:rsidRPr="00345AA4" w:rsidRDefault="00802E85" w:rsidP="00802E85">
      <w:pPr>
        <w:pStyle w:val="ListParagraph"/>
        <w:numPr>
          <w:ilvl w:val="1"/>
          <w:numId w:val="1"/>
        </w:numPr>
        <w:tabs>
          <w:tab w:val="left" w:pos="990"/>
        </w:tabs>
        <w:ind w:left="900" w:hanging="540"/>
        <w:contextualSpacing/>
        <w:jc w:val="both"/>
        <w:rPr>
          <w:rFonts w:ascii="Arial" w:hAnsi="Arial" w:cs="Arial"/>
          <w:color w:val="000000" w:themeColor="text1"/>
          <w:sz w:val="22"/>
          <w:szCs w:val="22"/>
          <w:lang w:eastAsia="en-PH"/>
        </w:rPr>
      </w:pPr>
      <w:r w:rsidRPr="00345AA4">
        <w:rPr>
          <w:rFonts w:ascii="Arial" w:hAnsi="Arial" w:cs="Arial"/>
          <w:bCs/>
          <w:color w:val="000000" w:themeColor="text1"/>
          <w:sz w:val="22"/>
          <w:szCs w:val="22"/>
        </w:rPr>
        <w:t>The</w:t>
      </w:r>
      <w:r w:rsidRPr="00345AA4">
        <w:rPr>
          <w:rFonts w:ascii="Arial" w:hAnsi="Arial" w:cs="Arial"/>
          <w:color w:val="000000" w:themeColor="text1"/>
          <w:sz w:val="22"/>
          <w:szCs w:val="22"/>
          <w:lang w:eastAsia="en-PH"/>
        </w:rPr>
        <w:t xml:space="preserve"> AFPRSBS currently maintains four bank accounts: one with a private commercial bank; another with </w:t>
      </w:r>
      <w:r w:rsidR="000F1256" w:rsidRPr="00345AA4">
        <w:rPr>
          <w:rFonts w:ascii="Arial" w:hAnsi="Arial" w:cs="Arial"/>
          <w:color w:val="000000" w:themeColor="text1"/>
          <w:sz w:val="22"/>
          <w:szCs w:val="22"/>
          <w:lang w:eastAsia="en-PH"/>
        </w:rPr>
        <w:t xml:space="preserve">a </w:t>
      </w:r>
      <w:r w:rsidRPr="00345AA4">
        <w:rPr>
          <w:rFonts w:ascii="Arial" w:hAnsi="Arial" w:cs="Arial"/>
          <w:color w:val="000000" w:themeColor="text1"/>
          <w:sz w:val="22"/>
          <w:szCs w:val="22"/>
          <w:lang w:eastAsia="en-PH"/>
        </w:rPr>
        <w:t xml:space="preserve">non-government financial institution; and the remaining two with government banks.  Notwithstanding the audit observations for the past several years and the issuance by the DOF of Circulars revising the guidelines </w:t>
      </w:r>
      <w:r w:rsidR="00EA7B4A" w:rsidRPr="00345AA4">
        <w:rPr>
          <w:rFonts w:ascii="Arial" w:hAnsi="Arial" w:cs="Arial"/>
          <w:color w:val="000000" w:themeColor="text1"/>
          <w:sz w:val="22"/>
          <w:szCs w:val="22"/>
          <w:lang w:eastAsia="en-PH"/>
        </w:rPr>
        <w:t xml:space="preserve">prescribing the </w:t>
      </w:r>
      <w:r w:rsidRPr="00345AA4">
        <w:rPr>
          <w:rFonts w:ascii="Arial" w:hAnsi="Arial" w:cs="Arial"/>
          <w:color w:val="000000" w:themeColor="text1"/>
          <w:sz w:val="22"/>
          <w:szCs w:val="22"/>
          <w:lang w:eastAsia="en-PH"/>
        </w:rPr>
        <w:t xml:space="preserve">authorized government depositary banks, the System continues to deposit its funds (current, savings and money market placements) with </w:t>
      </w:r>
      <w:r w:rsidR="000F1256" w:rsidRPr="00345AA4">
        <w:rPr>
          <w:rFonts w:ascii="Arial" w:hAnsi="Arial" w:cs="Arial"/>
          <w:color w:val="000000" w:themeColor="text1"/>
          <w:sz w:val="22"/>
          <w:szCs w:val="22"/>
          <w:lang w:eastAsia="en-PH"/>
        </w:rPr>
        <w:t xml:space="preserve">a </w:t>
      </w:r>
      <w:r w:rsidRPr="00345AA4">
        <w:rPr>
          <w:rFonts w:ascii="Arial" w:hAnsi="Arial" w:cs="Arial"/>
          <w:color w:val="000000" w:themeColor="text1"/>
          <w:sz w:val="22"/>
          <w:szCs w:val="22"/>
          <w:lang w:eastAsia="en-PH"/>
        </w:rPr>
        <w:t xml:space="preserve">private commercial bank and </w:t>
      </w:r>
      <w:r w:rsidR="000F1256" w:rsidRPr="00345AA4">
        <w:rPr>
          <w:rFonts w:ascii="Arial" w:hAnsi="Arial" w:cs="Arial"/>
          <w:color w:val="000000" w:themeColor="text1"/>
          <w:sz w:val="22"/>
          <w:szCs w:val="22"/>
          <w:lang w:eastAsia="en-PH"/>
        </w:rPr>
        <w:t xml:space="preserve">a </w:t>
      </w:r>
      <w:r w:rsidRPr="00345AA4">
        <w:rPr>
          <w:rFonts w:ascii="Arial" w:hAnsi="Arial" w:cs="Arial"/>
          <w:color w:val="000000" w:themeColor="text1"/>
          <w:sz w:val="22"/>
          <w:szCs w:val="22"/>
          <w:lang w:eastAsia="en-PH"/>
        </w:rPr>
        <w:t xml:space="preserve">non-government financial institution without the requisite approval or authority from the authorized official of the </w:t>
      </w:r>
      <w:proofErr w:type="spellStart"/>
      <w:r w:rsidRPr="00345AA4">
        <w:rPr>
          <w:rFonts w:ascii="Arial" w:hAnsi="Arial" w:cs="Arial"/>
          <w:color w:val="000000" w:themeColor="text1"/>
          <w:sz w:val="22"/>
          <w:szCs w:val="22"/>
          <w:lang w:eastAsia="en-PH"/>
        </w:rPr>
        <w:t>BTr</w:t>
      </w:r>
      <w:proofErr w:type="spellEnd"/>
      <w:r w:rsidRPr="00345AA4">
        <w:rPr>
          <w:rFonts w:ascii="Arial" w:hAnsi="Arial" w:cs="Arial"/>
          <w:color w:val="000000" w:themeColor="text1"/>
          <w:sz w:val="22"/>
          <w:szCs w:val="22"/>
          <w:lang w:eastAsia="en-PH"/>
        </w:rPr>
        <w:t>/DOF.</w:t>
      </w:r>
    </w:p>
    <w:p w14:paraId="2C68698F" w14:textId="77777777" w:rsidR="00802E85" w:rsidRPr="00345AA4" w:rsidRDefault="00802E85" w:rsidP="00802E85">
      <w:pPr>
        <w:pStyle w:val="ListParagraph"/>
        <w:ind w:left="709"/>
        <w:contextualSpacing/>
        <w:jc w:val="both"/>
        <w:rPr>
          <w:rFonts w:ascii="Arial" w:hAnsi="Arial" w:cs="Arial"/>
          <w:color w:val="000000" w:themeColor="text1"/>
          <w:sz w:val="22"/>
          <w:szCs w:val="22"/>
          <w:lang w:eastAsia="en-PH"/>
        </w:rPr>
      </w:pPr>
    </w:p>
    <w:p w14:paraId="3CA66871" w14:textId="52052E98" w:rsidR="00802E85" w:rsidRPr="00345AA4" w:rsidRDefault="00802E85" w:rsidP="00802E85">
      <w:pPr>
        <w:pStyle w:val="ListParagraph"/>
        <w:numPr>
          <w:ilvl w:val="1"/>
          <w:numId w:val="1"/>
        </w:numPr>
        <w:tabs>
          <w:tab w:val="left" w:pos="990"/>
        </w:tabs>
        <w:ind w:left="900" w:hanging="540"/>
        <w:contextualSpacing/>
        <w:jc w:val="both"/>
        <w:rPr>
          <w:rFonts w:ascii="Arial" w:hAnsi="Arial" w:cs="Arial"/>
          <w:color w:val="000000" w:themeColor="text1"/>
          <w:sz w:val="22"/>
          <w:szCs w:val="22"/>
          <w:lang w:eastAsia="en-PH"/>
        </w:rPr>
      </w:pPr>
      <w:r w:rsidRPr="00345AA4">
        <w:rPr>
          <w:rFonts w:ascii="Arial" w:hAnsi="Arial" w:cs="Arial"/>
          <w:color w:val="000000" w:themeColor="text1"/>
          <w:sz w:val="22"/>
          <w:szCs w:val="22"/>
          <w:lang w:eastAsia="en-PH"/>
        </w:rPr>
        <w:lastRenderedPageBreak/>
        <w:t>As at December 31, 2019, the System’s deposit with the private commercial bank and non-government financial institution amounted to P4.628 million and P11.228 million, respectively,</w:t>
      </w:r>
      <w:r w:rsidR="00EA7B4A" w:rsidRPr="00345AA4">
        <w:rPr>
          <w:rFonts w:ascii="Arial" w:hAnsi="Arial" w:cs="Arial"/>
          <w:color w:val="000000" w:themeColor="text1"/>
          <w:sz w:val="22"/>
          <w:szCs w:val="22"/>
          <w:lang w:eastAsia="en-PH"/>
        </w:rPr>
        <w:t xml:space="preserve"> </w:t>
      </w:r>
      <w:r w:rsidRPr="00345AA4">
        <w:rPr>
          <w:rFonts w:ascii="Arial" w:hAnsi="Arial" w:cs="Arial"/>
          <w:color w:val="000000" w:themeColor="text1"/>
          <w:sz w:val="22"/>
          <w:szCs w:val="22"/>
          <w:lang w:eastAsia="en-PH"/>
        </w:rPr>
        <w:t xml:space="preserve">represents </w:t>
      </w:r>
      <w:r w:rsidR="004C11AE" w:rsidRPr="00345AA4">
        <w:rPr>
          <w:rFonts w:ascii="Arial" w:hAnsi="Arial" w:cs="Arial"/>
          <w:color w:val="000000" w:themeColor="text1"/>
          <w:sz w:val="22"/>
          <w:szCs w:val="22"/>
          <w:lang w:eastAsia="en-PH"/>
        </w:rPr>
        <w:t>35</w:t>
      </w:r>
      <w:r w:rsidRPr="00345AA4">
        <w:rPr>
          <w:rFonts w:ascii="Arial" w:hAnsi="Arial" w:cs="Arial"/>
          <w:color w:val="000000" w:themeColor="text1"/>
          <w:sz w:val="22"/>
          <w:szCs w:val="22"/>
          <w:lang w:eastAsia="en-PH"/>
        </w:rPr>
        <w:t xml:space="preserve"> per cent of the total cash in bank account of P</w:t>
      </w:r>
      <w:r w:rsidR="004C11AE" w:rsidRPr="00345AA4">
        <w:rPr>
          <w:rFonts w:ascii="Arial" w:hAnsi="Arial" w:cs="Arial"/>
          <w:color w:val="000000" w:themeColor="text1"/>
          <w:sz w:val="22"/>
          <w:szCs w:val="22"/>
          <w:lang w:eastAsia="en-PH"/>
        </w:rPr>
        <w:t>31.838</w:t>
      </w:r>
      <w:r w:rsidRPr="00345AA4">
        <w:rPr>
          <w:rFonts w:ascii="Arial" w:hAnsi="Arial" w:cs="Arial"/>
          <w:color w:val="000000" w:themeColor="text1"/>
          <w:sz w:val="22"/>
          <w:szCs w:val="22"/>
          <w:lang w:eastAsia="en-PH"/>
        </w:rPr>
        <w:t xml:space="preserve"> million.  Meanwhile, out of the total cash equivalents of P8</w:t>
      </w:r>
      <w:r w:rsidR="004C11AE" w:rsidRPr="00345AA4">
        <w:rPr>
          <w:rFonts w:ascii="Arial" w:hAnsi="Arial" w:cs="Arial"/>
          <w:color w:val="000000" w:themeColor="text1"/>
          <w:sz w:val="22"/>
          <w:szCs w:val="22"/>
          <w:lang w:eastAsia="en-PH"/>
        </w:rPr>
        <w:t>66</w:t>
      </w:r>
      <w:r w:rsidRPr="00345AA4">
        <w:rPr>
          <w:rFonts w:ascii="Arial" w:hAnsi="Arial" w:cs="Arial"/>
          <w:color w:val="000000" w:themeColor="text1"/>
          <w:sz w:val="22"/>
          <w:szCs w:val="22"/>
          <w:lang w:eastAsia="en-PH"/>
        </w:rPr>
        <w:t xml:space="preserve">.000 million, P3.000 million are with the non-government financial institution and considered as other fixed income securities. </w:t>
      </w:r>
    </w:p>
    <w:p w14:paraId="57019A8E" w14:textId="77777777" w:rsidR="00802E85" w:rsidRPr="00345AA4" w:rsidRDefault="00802E85" w:rsidP="00802E85">
      <w:pPr>
        <w:pStyle w:val="NoSpacing"/>
        <w:jc w:val="both"/>
        <w:rPr>
          <w:rFonts w:ascii="Arial" w:hAnsi="Arial" w:cs="Arial"/>
          <w:color w:val="000000" w:themeColor="text1"/>
        </w:rPr>
      </w:pPr>
    </w:p>
    <w:p w14:paraId="73931BD0" w14:textId="19C679D0" w:rsidR="00802E85" w:rsidRPr="00345AA4" w:rsidRDefault="00802E85" w:rsidP="00802E85">
      <w:pPr>
        <w:pStyle w:val="ListParagraph"/>
        <w:numPr>
          <w:ilvl w:val="1"/>
          <w:numId w:val="1"/>
        </w:numPr>
        <w:tabs>
          <w:tab w:val="left" w:pos="990"/>
        </w:tabs>
        <w:ind w:left="900" w:hanging="540"/>
        <w:contextualSpacing/>
        <w:jc w:val="both"/>
        <w:rPr>
          <w:rFonts w:ascii="Arial" w:hAnsi="Arial" w:cs="Arial"/>
          <w:color w:val="000000" w:themeColor="text1"/>
          <w:sz w:val="22"/>
          <w:szCs w:val="22"/>
          <w:lang w:eastAsia="en-PH"/>
        </w:rPr>
      </w:pPr>
      <w:r w:rsidRPr="00345AA4">
        <w:rPr>
          <w:rFonts w:ascii="Arial" w:hAnsi="Arial" w:cs="Arial"/>
          <w:color w:val="000000" w:themeColor="text1"/>
          <w:sz w:val="22"/>
          <w:szCs w:val="22"/>
          <w:lang w:eastAsia="en-PH"/>
        </w:rPr>
        <w:t xml:space="preserve">Perusal of the Board Approval Sheet dated May 10, 2013 showed that the private commercial bank account was opened to address the unaccounted collection from a real estate project in Iloilo and </w:t>
      </w:r>
      <w:r w:rsidR="000F1256" w:rsidRPr="00345AA4">
        <w:rPr>
          <w:rFonts w:ascii="Arial" w:hAnsi="Arial" w:cs="Arial"/>
          <w:color w:val="000000" w:themeColor="text1"/>
          <w:sz w:val="22"/>
          <w:szCs w:val="22"/>
          <w:lang w:eastAsia="en-PH"/>
        </w:rPr>
        <w:t xml:space="preserve">to </w:t>
      </w:r>
      <w:r w:rsidRPr="00345AA4">
        <w:rPr>
          <w:rFonts w:ascii="Arial" w:hAnsi="Arial" w:cs="Arial"/>
          <w:color w:val="000000" w:themeColor="text1"/>
          <w:sz w:val="22"/>
          <w:szCs w:val="22"/>
          <w:lang w:eastAsia="en-PH"/>
        </w:rPr>
        <w:t xml:space="preserve">serve as the System’s collecting/servicing bank for remittance of the monthly amortization of such project lot buyers.  Review of the </w:t>
      </w:r>
      <w:r w:rsidR="00447B23" w:rsidRPr="00345AA4">
        <w:rPr>
          <w:rFonts w:ascii="Arial" w:hAnsi="Arial" w:cs="Arial"/>
          <w:color w:val="000000" w:themeColor="text1"/>
          <w:sz w:val="22"/>
          <w:szCs w:val="22"/>
          <w:lang w:eastAsia="en-PH"/>
        </w:rPr>
        <w:t>SL</w:t>
      </w:r>
      <w:r w:rsidRPr="00345AA4">
        <w:rPr>
          <w:rFonts w:ascii="Arial" w:hAnsi="Arial" w:cs="Arial"/>
          <w:color w:val="000000" w:themeColor="text1"/>
          <w:sz w:val="22"/>
          <w:szCs w:val="22"/>
          <w:lang w:eastAsia="en-PH"/>
        </w:rPr>
        <w:t xml:space="preserve"> </w:t>
      </w:r>
      <w:r w:rsidR="000F1256" w:rsidRPr="00345AA4">
        <w:rPr>
          <w:rFonts w:ascii="Arial" w:hAnsi="Arial" w:cs="Arial"/>
          <w:color w:val="000000" w:themeColor="text1"/>
          <w:sz w:val="22"/>
          <w:szCs w:val="22"/>
          <w:lang w:eastAsia="en-PH"/>
        </w:rPr>
        <w:t xml:space="preserve">disclosed </w:t>
      </w:r>
      <w:r w:rsidRPr="00345AA4">
        <w:rPr>
          <w:rFonts w:ascii="Arial" w:hAnsi="Arial" w:cs="Arial"/>
          <w:color w:val="000000" w:themeColor="text1"/>
          <w:sz w:val="22"/>
          <w:szCs w:val="22"/>
          <w:lang w:eastAsia="en-PH"/>
        </w:rPr>
        <w:t>that collections from customers were subsequently transferred to the government bank account beyond the prescribed period from the collection date</w:t>
      </w:r>
      <w:r w:rsidR="000F1256" w:rsidRPr="00345AA4">
        <w:rPr>
          <w:rFonts w:ascii="Arial" w:hAnsi="Arial" w:cs="Arial"/>
          <w:color w:val="000000" w:themeColor="text1"/>
          <w:sz w:val="22"/>
          <w:szCs w:val="22"/>
          <w:lang w:eastAsia="en-PH"/>
        </w:rPr>
        <w:t>,</w:t>
      </w:r>
      <w:r w:rsidRPr="00345AA4">
        <w:rPr>
          <w:rFonts w:ascii="Arial" w:hAnsi="Arial" w:cs="Arial"/>
          <w:color w:val="000000" w:themeColor="text1"/>
          <w:sz w:val="22"/>
          <w:szCs w:val="22"/>
          <w:lang w:eastAsia="en-PH"/>
        </w:rPr>
        <w:t xml:space="preserve"> contrary to Section 5.3.1 of the DOF Circular.</w:t>
      </w:r>
    </w:p>
    <w:p w14:paraId="6D9EFFC8" w14:textId="77777777" w:rsidR="00802E85" w:rsidRPr="00345AA4" w:rsidRDefault="00802E85" w:rsidP="00802E85">
      <w:pPr>
        <w:pStyle w:val="ListParagraph"/>
        <w:ind w:left="709"/>
        <w:contextualSpacing/>
        <w:jc w:val="both"/>
        <w:rPr>
          <w:rFonts w:ascii="Arial" w:hAnsi="Arial" w:cs="Arial"/>
          <w:color w:val="000000" w:themeColor="text1"/>
          <w:sz w:val="22"/>
          <w:szCs w:val="22"/>
          <w:lang w:eastAsia="en-PH"/>
        </w:rPr>
      </w:pPr>
    </w:p>
    <w:p w14:paraId="07C79A5D" w14:textId="4FD460EF" w:rsidR="00802E85" w:rsidRPr="00345AA4" w:rsidRDefault="00802E85" w:rsidP="00802E85">
      <w:pPr>
        <w:pStyle w:val="ListParagraph"/>
        <w:numPr>
          <w:ilvl w:val="1"/>
          <w:numId w:val="1"/>
        </w:numPr>
        <w:tabs>
          <w:tab w:val="left" w:pos="990"/>
        </w:tabs>
        <w:ind w:left="900" w:hanging="540"/>
        <w:contextualSpacing/>
        <w:jc w:val="both"/>
        <w:rPr>
          <w:rFonts w:ascii="Arial" w:hAnsi="Arial" w:cs="Arial"/>
          <w:color w:val="000000" w:themeColor="text1"/>
          <w:sz w:val="22"/>
          <w:szCs w:val="22"/>
          <w:lang w:eastAsia="en-PH"/>
        </w:rPr>
      </w:pPr>
      <w:r w:rsidRPr="00345AA4">
        <w:rPr>
          <w:rFonts w:ascii="Arial" w:hAnsi="Arial" w:cs="Arial"/>
          <w:color w:val="000000" w:themeColor="text1"/>
          <w:sz w:val="22"/>
          <w:szCs w:val="22"/>
          <w:lang w:eastAsia="en-PH"/>
        </w:rPr>
        <w:t>On the other hand, the purpose of creating the non-government financial institution account cannot be ascertained because the Management failed to submit the Board Approval Sheet which contains the approval of the said account</w:t>
      </w:r>
      <w:r w:rsidR="000F1256" w:rsidRPr="00345AA4">
        <w:rPr>
          <w:rFonts w:ascii="Arial" w:hAnsi="Arial" w:cs="Arial"/>
          <w:color w:val="000000" w:themeColor="text1"/>
          <w:sz w:val="22"/>
          <w:szCs w:val="22"/>
          <w:lang w:eastAsia="en-PH"/>
        </w:rPr>
        <w:t>’</w:t>
      </w:r>
      <w:r w:rsidRPr="00345AA4">
        <w:rPr>
          <w:rFonts w:ascii="Arial" w:hAnsi="Arial" w:cs="Arial"/>
          <w:color w:val="000000" w:themeColor="text1"/>
          <w:sz w:val="22"/>
          <w:szCs w:val="22"/>
          <w:lang w:eastAsia="en-PH"/>
        </w:rPr>
        <w:t xml:space="preserve">s opening.  However, our inquiry with Management disclosed that </w:t>
      </w:r>
      <w:r w:rsidR="00284DA7" w:rsidRPr="00345AA4">
        <w:rPr>
          <w:rFonts w:ascii="Arial" w:hAnsi="Arial" w:cs="Arial"/>
          <w:color w:val="000000" w:themeColor="text1"/>
          <w:sz w:val="22"/>
          <w:szCs w:val="22"/>
          <w:lang w:eastAsia="en-PH"/>
        </w:rPr>
        <w:t xml:space="preserve">the </w:t>
      </w:r>
      <w:r w:rsidRPr="00345AA4">
        <w:rPr>
          <w:rFonts w:ascii="Arial" w:hAnsi="Arial" w:cs="Arial"/>
          <w:color w:val="000000" w:themeColor="text1"/>
          <w:sz w:val="22"/>
          <w:szCs w:val="22"/>
          <w:lang w:eastAsia="en-PH"/>
        </w:rPr>
        <w:t xml:space="preserve">said account was maintained because of the high yield it guarantees to the System which is at 15.50 per cent average rate per annum for money market placement and three per cent average rate per annum for savings deposit account.  </w:t>
      </w:r>
      <w:r w:rsidR="000F1256" w:rsidRPr="00345AA4">
        <w:rPr>
          <w:rFonts w:ascii="Arial" w:hAnsi="Arial" w:cs="Arial"/>
          <w:color w:val="000000" w:themeColor="text1"/>
          <w:sz w:val="22"/>
          <w:szCs w:val="22"/>
          <w:lang w:eastAsia="en-PH"/>
        </w:rPr>
        <w:t>Moreover</w:t>
      </w:r>
      <w:r w:rsidRPr="00345AA4">
        <w:rPr>
          <w:rFonts w:ascii="Arial" w:hAnsi="Arial" w:cs="Arial"/>
          <w:color w:val="000000" w:themeColor="text1"/>
          <w:sz w:val="22"/>
          <w:szCs w:val="22"/>
          <w:lang w:eastAsia="en-PH"/>
        </w:rPr>
        <w:t>, the same return cannot be equally matched by government deposit</w:t>
      </w:r>
      <w:r w:rsidR="000F1256" w:rsidRPr="00345AA4">
        <w:rPr>
          <w:rFonts w:ascii="Arial" w:hAnsi="Arial" w:cs="Arial"/>
          <w:color w:val="000000" w:themeColor="text1"/>
          <w:sz w:val="22"/>
          <w:szCs w:val="22"/>
          <w:lang w:eastAsia="en-PH"/>
        </w:rPr>
        <w:t>o</w:t>
      </w:r>
      <w:r w:rsidRPr="00345AA4">
        <w:rPr>
          <w:rFonts w:ascii="Arial" w:hAnsi="Arial" w:cs="Arial"/>
          <w:color w:val="000000" w:themeColor="text1"/>
          <w:sz w:val="22"/>
          <w:szCs w:val="22"/>
          <w:lang w:eastAsia="en-PH"/>
        </w:rPr>
        <w:t>ry banks and for this reason the COA’s audit observation memorandum issued for CY 2013 involving the same issue remain</w:t>
      </w:r>
      <w:r w:rsidR="00D05C53" w:rsidRPr="00345AA4">
        <w:rPr>
          <w:rFonts w:ascii="Arial" w:hAnsi="Arial" w:cs="Arial"/>
          <w:color w:val="000000" w:themeColor="text1"/>
          <w:sz w:val="22"/>
          <w:szCs w:val="22"/>
          <w:lang w:eastAsia="en-PH"/>
        </w:rPr>
        <w:t>s</w:t>
      </w:r>
      <w:r w:rsidRPr="00345AA4">
        <w:rPr>
          <w:rFonts w:ascii="Arial" w:hAnsi="Arial" w:cs="Arial"/>
          <w:color w:val="000000" w:themeColor="text1"/>
          <w:sz w:val="22"/>
          <w:szCs w:val="22"/>
          <w:lang w:eastAsia="en-PH"/>
        </w:rPr>
        <w:t xml:space="preserve"> not implemented as at December 31, 2019.  The 15.50 per cent return per annum on the money market placement is higher than the treasury bills rate offered by the </w:t>
      </w:r>
      <w:proofErr w:type="spellStart"/>
      <w:r w:rsidRPr="00345AA4">
        <w:rPr>
          <w:rFonts w:ascii="Arial" w:hAnsi="Arial" w:cs="Arial"/>
          <w:color w:val="000000" w:themeColor="text1"/>
          <w:sz w:val="22"/>
          <w:szCs w:val="22"/>
          <w:lang w:eastAsia="en-PH"/>
        </w:rPr>
        <w:t>BTr</w:t>
      </w:r>
      <w:proofErr w:type="spellEnd"/>
      <w:r w:rsidRPr="00345AA4">
        <w:rPr>
          <w:rFonts w:ascii="Arial" w:hAnsi="Arial" w:cs="Arial"/>
          <w:color w:val="000000" w:themeColor="text1"/>
          <w:sz w:val="22"/>
          <w:szCs w:val="22"/>
          <w:lang w:eastAsia="en-PH"/>
        </w:rPr>
        <w:t xml:space="preserve"> which ranges from 4.67 per cent to 5.32 per cent in 2019 for 91</w:t>
      </w:r>
      <w:r w:rsidR="00284DA7" w:rsidRPr="00345AA4">
        <w:rPr>
          <w:rFonts w:ascii="Arial" w:hAnsi="Arial" w:cs="Arial"/>
          <w:color w:val="000000" w:themeColor="text1"/>
          <w:sz w:val="22"/>
          <w:szCs w:val="22"/>
          <w:lang w:eastAsia="en-PH"/>
        </w:rPr>
        <w:t xml:space="preserve"> </w:t>
      </w:r>
      <w:r w:rsidRPr="00345AA4">
        <w:rPr>
          <w:rFonts w:ascii="Arial" w:hAnsi="Arial" w:cs="Arial"/>
          <w:color w:val="000000" w:themeColor="text1"/>
          <w:sz w:val="22"/>
          <w:szCs w:val="22"/>
          <w:lang w:eastAsia="en-PH"/>
        </w:rPr>
        <w:t>days to 364</w:t>
      </w:r>
      <w:r w:rsidR="00284DA7" w:rsidRPr="00345AA4">
        <w:rPr>
          <w:rFonts w:ascii="Arial" w:hAnsi="Arial" w:cs="Arial"/>
          <w:color w:val="000000" w:themeColor="text1"/>
          <w:sz w:val="22"/>
          <w:szCs w:val="22"/>
          <w:lang w:eastAsia="en-PH"/>
        </w:rPr>
        <w:t xml:space="preserve"> </w:t>
      </w:r>
      <w:r w:rsidRPr="00345AA4">
        <w:rPr>
          <w:rFonts w:ascii="Arial" w:hAnsi="Arial" w:cs="Arial"/>
          <w:color w:val="000000" w:themeColor="text1"/>
          <w:sz w:val="22"/>
          <w:szCs w:val="22"/>
          <w:lang w:eastAsia="en-PH"/>
        </w:rPr>
        <w:t xml:space="preserve">days maturity.  The same holds true with respect to the three per cent average rate per annum for savings deposit accounts as compared to rates offered by the government banks which ranges from 0.075 per cent to 0.10 per cent annually.  Albeit said returns </w:t>
      </w:r>
      <w:r w:rsidR="00D05C53" w:rsidRPr="00345AA4">
        <w:rPr>
          <w:rFonts w:ascii="Arial" w:hAnsi="Arial" w:cs="Arial"/>
          <w:color w:val="000000" w:themeColor="text1"/>
          <w:sz w:val="22"/>
          <w:szCs w:val="22"/>
          <w:lang w:eastAsia="en-PH"/>
        </w:rPr>
        <w:t xml:space="preserve">are greater than what government </w:t>
      </w:r>
      <w:r w:rsidR="00BD582B" w:rsidRPr="00345AA4">
        <w:rPr>
          <w:rFonts w:ascii="Arial" w:hAnsi="Arial" w:cs="Arial"/>
          <w:color w:val="000000" w:themeColor="text1"/>
          <w:sz w:val="22"/>
          <w:szCs w:val="22"/>
          <w:lang w:eastAsia="en-PH"/>
        </w:rPr>
        <w:t>financial institutions offer</w:t>
      </w:r>
      <w:r w:rsidR="007434A5" w:rsidRPr="00345AA4">
        <w:rPr>
          <w:rFonts w:ascii="Arial" w:hAnsi="Arial" w:cs="Arial"/>
          <w:color w:val="000000" w:themeColor="text1"/>
          <w:sz w:val="22"/>
          <w:szCs w:val="22"/>
          <w:lang w:eastAsia="en-PH"/>
        </w:rPr>
        <w:t>,</w:t>
      </w:r>
      <w:r w:rsidRPr="00345AA4">
        <w:rPr>
          <w:rFonts w:ascii="Arial" w:hAnsi="Arial" w:cs="Arial"/>
          <w:color w:val="000000" w:themeColor="text1"/>
          <w:sz w:val="22"/>
          <w:szCs w:val="22"/>
          <w:lang w:eastAsia="en-PH"/>
        </w:rPr>
        <w:t xml:space="preserve"> the same cannot be considered as risk-free investments as compared to government issued securities and that the </w:t>
      </w:r>
      <w:r w:rsidR="002C131E" w:rsidRPr="00345AA4">
        <w:rPr>
          <w:rFonts w:ascii="Arial" w:hAnsi="Arial" w:cs="Arial"/>
          <w:color w:val="000000" w:themeColor="text1"/>
          <w:sz w:val="22"/>
          <w:szCs w:val="22"/>
          <w:lang w:eastAsia="en-PH"/>
        </w:rPr>
        <w:t>Philippine Deposit Insurance Corporation (</w:t>
      </w:r>
      <w:r w:rsidRPr="00345AA4">
        <w:rPr>
          <w:rFonts w:ascii="Arial" w:hAnsi="Arial" w:cs="Arial"/>
          <w:color w:val="000000" w:themeColor="text1"/>
          <w:sz w:val="22"/>
          <w:szCs w:val="22"/>
          <w:lang w:eastAsia="en-PH"/>
        </w:rPr>
        <w:t>PDIC</w:t>
      </w:r>
      <w:r w:rsidR="002C131E" w:rsidRPr="00345AA4">
        <w:rPr>
          <w:rFonts w:ascii="Arial" w:hAnsi="Arial" w:cs="Arial"/>
          <w:color w:val="000000" w:themeColor="text1"/>
          <w:sz w:val="22"/>
          <w:szCs w:val="22"/>
          <w:lang w:eastAsia="en-PH"/>
        </w:rPr>
        <w:t>)</w:t>
      </w:r>
      <w:r w:rsidRPr="00345AA4">
        <w:rPr>
          <w:rFonts w:ascii="Arial" w:hAnsi="Arial" w:cs="Arial"/>
          <w:color w:val="000000" w:themeColor="text1"/>
          <w:sz w:val="22"/>
          <w:szCs w:val="22"/>
          <w:lang w:eastAsia="en-PH"/>
        </w:rPr>
        <w:t xml:space="preserve"> only insures up to P500,000 deposit in case of closure of banks.  While we understand the AFPRSBS’ effort to achieve the maximum yield from its liquidity portfolio by investing the funds to investments with greatest return is for the benefit of the members, the same should be achieved without violating any laws, rules and regulations.</w:t>
      </w:r>
    </w:p>
    <w:p w14:paraId="0F799B42" w14:textId="77777777" w:rsidR="00802E85" w:rsidRPr="00345AA4" w:rsidRDefault="00802E85" w:rsidP="00802E85">
      <w:pPr>
        <w:pStyle w:val="NoSpacing"/>
        <w:jc w:val="both"/>
        <w:rPr>
          <w:rFonts w:ascii="Arial" w:hAnsi="Arial" w:cs="Arial"/>
          <w:color w:val="000000" w:themeColor="text1"/>
        </w:rPr>
      </w:pPr>
    </w:p>
    <w:p w14:paraId="4745F2AA" w14:textId="77777777" w:rsidR="00802E85" w:rsidRPr="00345AA4" w:rsidRDefault="00802E85" w:rsidP="00802E85">
      <w:pPr>
        <w:pStyle w:val="ListParagraph"/>
        <w:numPr>
          <w:ilvl w:val="1"/>
          <w:numId w:val="1"/>
        </w:numPr>
        <w:tabs>
          <w:tab w:val="left" w:pos="990"/>
        </w:tabs>
        <w:ind w:left="900" w:hanging="540"/>
        <w:contextualSpacing/>
        <w:jc w:val="both"/>
        <w:rPr>
          <w:rFonts w:ascii="Arial" w:hAnsi="Arial" w:cs="Arial"/>
          <w:color w:val="000000" w:themeColor="text1"/>
          <w:sz w:val="22"/>
          <w:szCs w:val="22"/>
          <w:lang w:eastAsia="en-PH"/>
        </w:rPr>
      </w:pPr>
      <w:r w:rsidRPr="00345AA4">
        <w:rPr>
          <w:rFonts w:ascii="Arial" w:hAnsi="Arial" w:cs="Arial"/>
          <w:color w:val="000000" w:themeColor="text1"/>
          <w:sz w:val="22"/>
          <w:szCs w:val="22"/>
          <w:lang w:eastAsia="en-PH"/>
        </w:rPr>
        <w:t xml:space="preserve">As stated in the above DOF Circular, the AFPRSBS being a GOCC, is required to secure written authority to open deposit accounts from the duly authorized official of the </w:t>
      </w:r>
      <w:proofErr w:type="spellStart"/>
      <w:r w:rsidRPr="00345AA4">
        <w:rPr>
          <w:rFonts w:ascii="Arial" w:hAnsi="Arial" w:cs="Arial"/>
          <w:color w:val="000000" w:themeColor="text1"/>
          <w:sz w:val="22"/>
          <w:szCs w:val="22"/>
          <w:lang w:eastAsia="en-PH"/>
        </w:rPr>
        <w:t>BTr</w:t>
      </w:r>
      <w:proofErr w:type="spellEnd"/>
      <w:r w:rsidRPr="00345AA4">
        <w:rPr>
          <w:rFonts w:ascii="Arial" w:hAnsi="Arial" w:cs="Arial"/>
          <w:color w:val="000000" w:themeColor="text1"/>
          <w:sz w:val="22"/>
          <w:szCs w:val="22"/>
          <w:lang w:eastAsia="en-PH"/>
        </w:rPr>
        <w:t xml:space="preserve">/DOF as a condition sine qua non prior to opening of an account in all banks, including the requirements mentioned in Section 5.2.  However, the same Circular provides for an exception which allows GOCCs to open deposit accounts with banks other than those listed in Section 5.2 if any of the circumstances mentioned in Section 5.4 exists.  Nevertheless, such exception is not without limitation since it is stated in Section 5.2 thereof that a GOCC may be allowed to deposit Government Funds and maintain accounts with banks other than those listed in Section 5.2, subject to existence of the </w:t>
      </w:r>
      <w:r w:rsidRPr="00345AA4">
        <w:rPr>
          <w:rFonts w:ascii="Arial" w:hAnsi="Arial" w:cs="Arial"/>
          <w:color w:val="000000" w:themeColor="text1"/>
          <w:sz w:val="22"/>
          <w:szCs w:val="22"/>
          <w:lang w:eastAsia="en-PH"/>
        </w:rPr>
        <w:lastRenderedPageBreak/>
        <w:t xml:space="preserve">circumstances under Section 5.4 and prior approval under Section 5.5.  Assuming that any of the circumstances mentioned in Section 5.4 is applicable to AFPRSBS, the requisite approval is still necessary as the latter cannot be dispensed with.  Thus, absence of such approval contravenes the tenor of the DOF Circular. </w:t>
      </w:r>
    </w:p>
    <w:p w14:paraId="617B4CBB" w14:textId="77777777" w:rsidR="00802E85" w:rsidRPr="00345AA4" w:rsidRDefault="00802E85" w:rsidP="00802E85">
      <w:pPr>
        <w:pStyle w:val="NoSpacing"/>
        <w:ind w:left="540"/>
        <w:jc w:val="both"/>
        <w:rPr>
          <w:rFonts w:ascii="Arial" w:eastAsia="Times New Roman" w:hAnsi="Arial" w:cs="Arial"/>
          <w:color w:val="000000" w:themeColor="text1"/>
          <w:lang w:val="en-US"/>
        </w:rPr>
      </w:pPr>
    </w:p>
    <w:p w14:paraId="523B8E21" w14:textId="4BB0C6B5" w:rsidR="00802E85" w:rsidRPr="00345AA4" w:rsidRDefault="00802E85" w:rsidP="00802E85">
      <w:pPr>
        <w:pStyle w:val="ListParagraph"/>
        <w:numPr>
          <w:ilvl w:val="1"/>
          <w:numId w:val="1"/>
        </w:numPr>
        <w:tabs>
          <w:tab w:val="left" w:pos="990"/>
        </w:tabs>
        <w:ind w:left="900" w:hanging="540"/>
        <w:contextualSpacing/>
        <w:jc w:val="both"/>
        <w:rPr>
          <w:rFonts w:ascii="Arial" w:hAnsi="Arial" w:cs="Arial"/>
          <w:color w:val="000000" w:themeColor="text1"/>
          <w:sz w:val="22"/>
          <w:szCs w:val="22"/>
          <w:lang w:eastAsia="en-PH"/>
        </w:rPr>
      </w:pPr>
      <w:r w:rsidRPr="00345AA4">
        <w:rPr>
          <w:rFonts w:ascii="Arial" w:hAnsi="Arial" w:cs="Arial"/>
          <w:color w:val="000000" w:themeColor="text1"/>
          <w:sz w:val="22"/>
          <w:szCs w:val="22"/>
          <w:lang w:eastAsia="en-PH"/>
        </w:rPr>
        <w:t xml:space="preserve">The same DOF Circular </w:t>
      </w:r>
      <w:r w:rsidR="007434A5" w:rsidRPr="00345AA4">
        <w:rPr>
          <w:rFonts w:ascii="Arial" w:hAnsi="Arial" w:cs="Arial"/>
          <w:color w:val="000000" w:themeColor="text1"/>
          <w:sz w:val="22"/>
          <w:szCs w:val="22"/>
          <w:lang w:eastAsia="en-PH"/>
        </w:rPr>
        <w:t xml:space="preserve">defines </w:t>
      </w:r>
      <w:r w:rsidRPr="00345AA4">
        <w:rPr>
          <w:rFonts w:ascii="Arial" w:hAnsi="Arial" w:cs="Arial"/>
          <w:color w:val="000000" w:themeColor="text1"/>
          <w:sz w:val="22"/>
          <w:szCs w:val="22"/>
          <w:lang w:eastAsia="en-PH"/>
        </w:rPr>
        <w:t xml:space="preserve">a GFI as </w:t>
      </w:r>
      <w:r w:rsidR="00E138A7" w:rsidRPr="00345AA4">
        <w:rPr>
          <w:rFonts w:ascii="Arial" w:hAnsi="Arial" w:cs="Arial"/>
          <w:color w:val="000000" w:themeColor="text1"/>
          <w:sz w:val="22"/>
          <w:szCs w:val="22"/>
          <w:lang w:eastAsia="en-PH"/>
        </w:rPr>
        <w:t>a</w:t>
      </w:r>
      <w:r w:rsidRPr="00345AA4">
        <w:rPr>
          <w:rFonts w:ascii="Arial" w:hAnsi="Arial" w:cs="Arial"/>
          <w:color w:val="000000" w:themeColor="text1"/>
          <w:sz w:val="22"/>
          <w:szCs w:val="22"/>
          <w:lang w:eastAsia="en-PH"/>
        </w:rPr>
        <w:t xml:space="preserve"> financial institution or corporation in which the government directly or indirectly owns majority of the capital stock</w:t>
      </w:r>
      <w:r w:rsidR="00E138A7" w:rsidRPr="00345AA4">
        <w:rPr>
          <w:rFonts w:ascii="Arial" w:hAnsi="Arial" w:cs="Arial"/>
          <w:color w:val="000000" w:themeColor="text1"/>
          <w:sz w:val="22"/>
          <w:szCs w:val="22"/>
          <w:lang w:eastAsia="en-PH"/>
        </w:rPr>
        <w:t>s</w:t>
      </w:r>
      <w:r w:rsidRPr="00345AA4">
        <w:rPr>
          <w:rFonts w:ascii="Arial" w:hAnsi="Arial" w:cs="Arial"/>
          <w:color w:val="000000" w:themeColor="text1"/>
          <w:sz w:val="22"/>
          <w:szCs w:val="22"/>
          <w:lang w:eastAsia="en-PH"/>
        </w:rPr>
        <w:t xml:space="preserve"> which are either: (1) registered with or directly supervised by the BSP; or are (2) collecting or transacting funds or contributions from the public and thereafter, placing them in financial instruments or assets such as deposits, loans, bonds and equity including but not limited to, the </w:t>
      </w:r>
      <w:r w:rsidR="002C131E" w:rsidRPr="00345AA4">
        <w:rPr>
          <w:rFonts w:ascii="Arial" w:hAnsi="Arial" w:cs="Arial"/>
          <w:color w:val="000000" w:themeColor="text1"/>
          <w:sz w:val="22"/>
          <w:szCs w:val="22"/>
          <w:lang w:eastAsia="en-PH"/>
        </w:rPr>
        <w:t>Government Service Insurance System (</w:t>
      </w:r>
      <w:r w:rsidRPr="00345AA4">
        <w:rPr>
          <w:rFonts w:ascii="Arial" w:hAnsi="Arial" w:cs="Arial"/>
          <w:color w:val="000000" w:themeColor="text1"/>
          <w:sz w:val="22"/>
          <w:szCs w:val="22"/>
          <w:lang w:eastAsia="en-PH"/>
        </w:rPr>
        <w:t>GSIS</w:t>
      </w:r>
      <w:r w:rsidR="002C131E" w:rsidRPr="00345AA4">
        <w:rPr>
          <w:rFonts w:ascii="Arial" w:hAnsi="Arial" w:cs="Arial"/>
          <w:color w:val="000000" w:themeColor="text1"/>
          <w:sz w:val="22"/>
          <w:szCs w:val="22"/>
          <w:lang w:eastAsia="en-PH"/>
        </w:rPr>
        <w:t>)</w:t>
      </w:r>
      <w:r w:rsidRPr="00345AA4">
        <w:rPr>
          <w:rFonts w:ascii="Arial" w:hAnsi="Arial" w:cs="Arial"/>
          <w:color w:val="000000" w:themeColor="text1"/>
          <w:sz w:val="22"/>
          <w:szCs w:val="22"/>
          <w:lang w:eastAsia="en-PH"/>
        </w:rPr>
        <w:t xml:space="preserve"> and the </w:t>
      </w:r>
      <w:r w:rsidR="002C131E" w:rsidRPr="00345AA4">
        <w:rPr>
          <w:rFonts w:ascii="Arial" w:hAnsi="Arial" w:cs="Arial"/>
          <w:color w:val="000000" w:themeColor="text1"/>
          <w:sz w:val="22"/>
          <w:szCs w:val="22"/>
          <w:lang w:eastAsia="en-PH"/>
        </w:rPr>
        <w:t>Social Security System (</w:t>
      </w:r>
      <w:r w:rsidRPr="00345AA4">
        <w:rPr>
          <w:rFonts w:ascii="Arial" w:hAnsi="Arial" w:cs="Arial"/>
          <w:color w:val="000000" w:themeColor="text1"/>
          <w:sz w:val="22"/>
          <w:szCs w:val="22"/>
          <w:lang w:eastAsia="en-PH"/>
        </w:rPr>
        <w:t>SSS</w:t>
      </w:r>
      <w:r w:rsidR="002C131E" w:rsidRPr="00345AA4">
        <w:rPr>
          <w:rFonts w:ascii="Arial" w:hAnsi="Arial" w:cs="Arial"/>
          <w:color w:val="000000" w:themeColor="text1"/>
          <w:sz w:val="22"/>
          <w:szCs w:val="22"/>
          <w:lang w:eastAsia="en-PH"/>
        </w:rPr>
        <w:t>)</w:t>
      </w:r>
      <w:r w:rsidRPr="00345AA4">
        <w:rPr>
          <w:rFonts w:ascii="Arial" w:hAnsi="Arial" w:cs="Arial"/>
          <w:color w:val="000000" w:themeColor="text1"/>
          <w:sz w:val="22"/>
          <w:szCs w:val="22"/>
          <w:lang w:eastAsia="en-PH"/>
        </w:rPr>
        <w:t xml:space="preserve">.  Verily, the private commercial bank and the non-government financial institution do not fall under the said definition being </w:t>
      </w:r>
      <w:r w:rsidR="007434A5" w:rsidRPr="00345AA4">
        <w:rPr>
          <w:rFonts w:ascii="Arial" w:hAnsi="Arial" w:cs="Arial"/>
          <w:color w:val="000000" w:themeColor="text1"/>
          <w:sz w:val="22"/>
          <w:szCs w:val="22"/>
          <w:lang w:eastAsia="en-PH"/>
        </w:rPr>
        <w:t xml:space="preserve">a </w:t>
      </w:r>
      <w:r w:rsidRPr="00345AA4">
        <w:rPr>
          <w:rFonts w:ascii="Arial" w:hAnsi="Arial" w:cs="Arial"/>
          <w:color w:val="000000" w:themeColor="text1"/>
          <w:sz w:val="22"/>
          <w:szCs w:val="22"/>
          <w:lang w:eastAsia="en-PH"/>
        </w:rPr>
        <w:t>private domestic financial institution.  Hence, the continued placement of funds by the AFPRSBS to these private domestic financial institutions is contrary to DOF Department Circular No. 001-2017 dated May 11, 2017.</w:t>
      </w:r>
    </w:p>
    <w:p w14:paraId="51C86CEA" w14:textId="77777777" w:rsidR="00802E85" w:rsidRPr="00345AA4" w:rsidRDefault="00802E85" w:rsidP="00802E85">
      <w:pPr>
        <w:pStyle w:val="NoSpacing"/>
        <w:ind w:left="540"/>
        <w:jc w:val="both"/>
        <w:rPr>
          <w:rFonts w:ascii="Arial" w:hAnsi="Arial" w:cs="Arial"/>
          <w:color w:val="000000" w:themeColor="text1"/>
        </w:rPr>
      </w:pPr>
    </w:p>
    <w:p w14:paraId="1107408D" w14:textId="7B134C1D" w:rsidR="00802E85" w:rsidRPr="00345AA4" w:rsidRDefault="00802E85" w:rsidP="00802E85">
      <w:pPr>
        <w:pStyle w:val="ListParagraph"/>
        <w:numPr>
          <w:ilvl w:val="1"/>
          <w:numId w:val="1"/>
        </w:numPr>
        <w:tabs>
          <w:tab w:val="left" w:pos="990"/>
        </w:tabs>
        <w:ind w:left="900" w:hanging="540"/>
        <w:contextualSpacing/>
        <w:jc w:val="both"/>
        <w:rPr>
          <w:rFonts w:ascii="Arial" w:hAnsi="Arial" w:cs="Arial"/>
          <w:color w:val="000000" w:themeColor="text1"/>
          <w:sz w:val="22"/>
          <w:szCs w:val="22"/>
          <w:lang w:eastAsia="en-PH"/>
        </w:rPr>
      </w:pPr>
      <w:r w:rsidRPr="00345AA4">
        <w:rPr>
          <w:rFonts w:ascii="Arial" w:hAnsi="Arial" w:cs="Arial"/>
          <w:color w:val="000000" w:themeColor="text1"/>
          <w:sz w:val="22"/>
          <w:szCs w:val="22"/>
          <w:lang w:eastAsia="en-PH"/>
        </w:rPr>
        <w:t>The</w:t>
      </w:r>
      <w:r w:rsidR="00E138A7" w:rsidRPr="00345AA4">
        <w:rPr>
          <w:rFonts w:ascii="Arial" w:hAnsi="Arial" w:cs="Arial"/>
          <w:color w:val="000000" w:themeColor="text1"/>
          <w:sz w:val="22"/>
          <w:szCs w:val="22"/>
          <w:lang w:eastAsia="en-PH"/>
        </w:rPr>
        <w:t xml:space="preserve"> deposit of</w:t>
      </w:r>
      <w:r w:rsidRPr="00345AA4">
        <w:rPr>
          <w:rFonts w:ascii="Arial" w:hAnsi="Arial" w:cs="Arial"/>
          <w:color w:val="000000" w:themeColor="text1"/>
          <w:sz w:val="22"/>
          <w:szCs w:val="22"/>
          <w:lang w:eastAsia="en-PH"/>
        </w:rPr>
        <w:t xml:space="preserve"> funds in the private commercial bank and non-government financial institution deprives the government of the maximum utilization of its resources and defeat</w:t>
      </w:r>
      <w:r w:rsidR="003A3E4C" w:rsidRPr="00345AA4">
        <w:rPr>
          <w:rFonts w:ascii="Arial" w:hAnsi="Arial" w:cs="Arial"/>
          <w:color w:val="000000" w:themeColor="text1"/>
          <w:sz w:val="22"/>
          <w:szCs w:val="22"/>
          <w:lang w:eastAsia="en-PH"/>
        </w:rPr>
        <w:t>s</w:t>
      </w:r>
      <w:r w:rsidRPr="00345AA4">
        <w:rPr>
          <w:rFonts w:ascii="Arial" w:hAnsi="Arial" w:cs="Arial"/>
          <w:color w:val="000000" w:themeColor="text1"/>
          <w:sz w:val="22"/>
          <w:szCs w:val="22"/>
          <w:lang w:eastAsia="en-PH"/>
        </w:rPr>
        <w:t xml:space="preserve"> the purpose of the Circular, particularly, to ensure that the government resources are managed and mobilized judiciously in the manner supportive of the development objectives of the government.  Moreover, Section 6 of the said DOF Circular provides that any violation thereof will expose the Head of the GOCC concerned </w:t>
      </w:r>
      <w:r w:rsidR="003A3E4C" w:rsidRPr="00345AA4">
        <w:rPr>
          <w:rFonts w:ascii="Arial" w:hAnsi="Arial" w:cs="Arial"/>
          <w:color w:val="000000" w:themeColor="text1"/>
          <w:sz w:val="22"/>
          <w:szCs w:val="22"/>
          <w:lang w:eastAsia="en-PH"/>
        </w:rPr>
        <w:t xml:space="preserve">to </w:t>
      </w:r>
      <w:r w:rsidRPr="00345AA4">
        <w:rPr>
          <w:rFonts w:ascii="Arial" w:hAnsi="Arial" w:cs="Arial"/>
          <w:color w:val="000000" w:themeColor="text1"/>
          <w:sz w:val="22"/>
          <w:szCs w:val="22"/>
          <w:lang w:eastAsia="en-PH"/>
        </w:rPr>
        <w:t>possible criminal and/or administrative liability in accordance with existing laws, rules and regulations.</w:t>
      </w:r>
    </w:p>
    <w:p w14:paraId="5E441825" w14:textId="77777777" w:rsidR="00100368" w:rsidRPr="00345AA4" w:rsidRDefault="00100368" w:rsidP="00802E85">
      <w:pPr>
        <w:pStyle w:val="NoSpacing"/>
        <w:jc w:val="both"/>
        <w:rPr>
          <w:rFonts w:ascii="Arial" w:hAnsi="Arial" w:cs="Arial"/>
          <w:b/>
          <w:color w:val="000000" w:themeColor="text1"/>
        </w:rPr>
      </w:pPr>
    </w:p>
    <w:p w14:paraId="755F22BF" w14:textId="77777777" w:rsidR="00802E85" w:rsidRPr="00345AA4" w:rsidRDefault="00903A5E" w:rsidP="00802E85">
      <w:pPr>
        <w:pStyle w:val="ListParagraph"/>
        <w:numPr>
          <w:ilvl w:val="1"/>
          <w:numId w:val="1"/>
        </w:numPr>
        <w:tabs>
          <w:tab w:val="left" w:pos="990"/>
        </w:tabs>
        <w:ind w:left="900" w:hanging="540"/>
        <w:contextualSpacing/>
        <w:jc w:val="both"/>
        <w:rPr>
          <w:rFonts w:ascii="Arial" w:hAnsi="Arial" w:cs="Arial"/>
          <w:b/>
          <w:bCs/>
          <w:color w:val="000000" w:themeColor="text1"/>
          <w:sz w:val="22"/>
          <w:szCs w:val="22"/>
          <w:lang w:eastAsia="en-PH"/>
        </w:rPr>
      </w:pPr>
      <w:r w:rsidRPr="00345AA4">
        <w:rPr>
          <w:rFonts w:ascii="Arial" w:hAnsi="Arial" w:cs="Arial"/>
          <w:b/>
          <w:bCs/>
          <w:color w:val="000000" w:themeColor="text1"/>
          <w:sz w:val="22"/>
          <w:szCs w:val="22"/>
          <w:lang w:eastAsia="en-PH"/>
        </w:rPr>
        <w:t>W</w:t>
      </w:r>
      <w:r w:rsidR="00802E85" w:rsidRPr="00345AA4">
        <w:rPr>
          <w:rFonts w:ascii="Arial" w:hAnsi="Arial" w:cs="Arial"/>
          <w:b/>
          <w:bCs/>
          <w:color w:val="000000" w:themeColor="text1"/>
          <w:sz w:val="22"/>
          <w:szCs w:val="22"/>
          <w:lang w:eastAsia="en-PH"/>
        </w:rPr>
        <w:t>e recommended that Management:</w:t>
      </w:r>
    </w:p>
    <w:p w14:paraId="5DC4FB63" w14:textId="77777777" w:rsidR="00802E85" w:rsidRPr="00345AA4" w:rsidRDefault="00802E85" w:rsidP="00802E85">
      <w:pPr>
        <w:pStyle w:val="NoSpacing"/>
        <w:ind w:left="720"/>
        <w:jc w:val="both"/>
        <w:rPr>
          <w:rFonts w:ascii="Arial" w:hAnsi="Arial" w:cs="Arial"/>
          <w:b/>
          <w:color w:val="000000" w:themeColor="text1"/>
        </w:rPr>
      </w:pPr>
    </w:p>
    <w:p w14:paraId="68ECE47F" w14:textId="77777777" w:rsidR="00802E85" w:rsidRPr="00345AA4" w:rsidRDefault="00802E85" w:rsidP="00802E85">
      <w:pPr>
        <w:pStyle w:val="NoSpacing"/>
        <w:numPr>
          <w:ilvl w:val="0"/>
          <w:numId w:val="11"/>
        </w:numPr>
        <w:ind w:left="1134" w:hanging="283"/>
        <w:jc w:val="both"/>
        <w:rPr>
          <w:rFonts w:ascii="Arial" w:hAnsi="Arial" w:cs="Arial"/>
          <w:b/>
          <w:color w:val="000000" w:themeColor="text1"/>
        </w:rPr>
      </w:pPr>
      <w:r w:rsidRPr="00345AA4">
        <w:rPr>
          <w:rFonts w:ascii="Arial" w:hAnsi="Arial" w:cs="Arial"/>
          <w:b/>
          <w:color w:val="000000" w:themeColor="text1"/>
        </w:rPr>
        <w:t>Secure the requisite DOF approval as provided in DOF Department Circular No. 001-2017 dated May 11, 2017 on its deposit with private banks; and</w:t>
      </w:r>
    </w:p>
    <w:p w14:paraId="6306CCAD" w14:textId="77777777" w:rsidR="00802E85" w:rsidRPr="00345AA4" w:rsidRDefault="00802E85" w:rsidP="00802E85">
      <w:pPr>
        <w:pStyle w:val="ListParagraph"/>
        <w:tabs>
          <w:tab w:val="left" w:pos="1080"/>
        </w:tabs>
        <w:ind w:left="851" w:right="36" w:hanging="283"/>
        <w:contextualSpacing/>
        <w:jc w:val="both"/>
        <w:rPr>
          <w:rFonts w:ascii="Arial" w:hAnsi="Arial" w:cs="Arial"/>
          <w:b/>
          <w:color w:val="000000" w:themeColor="text1"/>
          <w:sz w:val="22"/>
          <w:szCs w:val="22"/>
        </w:rPr>
      </w:pPr>
    </w:p>
    <w:p w14:paraId="16E7024F" w14:textId="157B8707" w:rsidR="00802E85" w:rsidRPr="00345AA4" w:rsidRDefault="00802E85" w:rsidP="00802E85">
      <w:pPr>
        <w:pStyle w:val="NoSpacing"/>
        <w:numPr>
          <w:ilvl w:val="0"/>
          <w:numId w:val="11"/>
        </w:numPr>
        <w:ind w:left="1134" w:hanging="283"/>
        <w:jc w:val="both"/>
        <w:rPr>
          <w:rFonts w:ascii="Arial" w:hAnsi="Arial" w:cs="Arial"/>
          <w:b/>
          <w:color w:val="000000" w:themeColor="text1"/>
        </w:rPr>
      </w:pPr>
      <w:r w:rsidRPr="00345AA4">
        <w:rPr>
          <w:rFonts w:ascii="Arial" w:hAnsi="Arial" w:cs="Arial"/>
          <w:b/>
          <w:color w:val="000000" w:themeColor="text1"/>
        </w:rPr>
        <w:t xml:space="preserve">Pending approval of the same, the System has to transfer its funds from the current </w:t>
      </w:r>
      <w:r w:rsidR="003A3E4C" w:rsidRPr="00345AA4">
        <w:rPr>
          <w:rFonts w:ascii="Arial" w:hAnsi="Arial" w:cs="Arial"/>
          <w:b/>
          <w:color w:val="000000" w:themeColor="text1"/>
        </w:rPr>
        <w:t xml:space="preserve">depository </w:t>
      </w:r>
      <w:r w:rsidRPr="00345AA4">
        <w:rPr>
          <w:rFonts w:ascii="Arial" w:hAnsi="Arial" w:cs="Arial"/>
          <w:b/>
          <w:color w:val="000000" w:themeColor="text1"/>
        </w:rPr>
        <w:t xml:space="preserve">private commercial banks to government </w:t>
      </w:r>
      <w:r w:rsidR="003A3E4C" w:rsidRPr="00345AA4">
        <w:rPr>
          <w:rFonts w:ascii="Arial" w:hAnsi="Arial" w:cs="Arial"/>
          <w:b/>
          <w:color w:val="000000" w:themeColor="text1"/>
        </w:rPr>
        <w:t xml:space="preserve">depository </w:t>
      </w:r>
      <w:r w:rsidRPr="00345AA4">
        <w:rPr>
          <w:rFonts w:ascii="Arial" w:hAnsi="Arial" w:cs="Arial"/>
          <w:b/>
          <w:color w:val="000000" w:themeColor="text1"/>
        </w:rPr>
        <w:t>banks.</w:t>
      </w:r>
    </w:p>
    <w:p w14:paraId="37505509" w14:textId="77777777" w:rsidR="00802E85" w:rsidRPr="00345AA4" w:rsidRDefault="00802E85" w:rsidP="00802E85">
      <w:pPr>
        <w:pStyle w:val="ListParagraph"/>
        <w:rPr>
          <w:rFonts w:ascii="Arial" w:hAnsi="Arial" w:cs="Arial"/>
          <w:b/>
          <w:color w:val="000000" w:themeColor="text1"/>
          <w:sz w:val="22"/>
          <w:szCs w:val="22"/>
        </w:rPr>
      </w:pPr>
    </w:p>
    <w:p w14:paraId="1FDB06EC" w14:textId="10E92BC8" w:rsidR="00802E85" w:rsidRPr="00345AA4" w:rsidRDefault="00802E85" w:rsidP="005F2A8A">
      <w:pPr>
        <w:pStyle w:val="ListParagraph"/>
        <w:numPr>
          <w:ilvl w:val="1"/>
          <w:numId w:val="1"/>
        </w:numPr>
        <w:tabs>
          <w:tab w:val="left" w:pos="990"/>
        </w:tabs>
        <w:ind w:left="900" w:hanging="540"/>
        <w:contextualSpacing/>
        <w:jc w:val="both"/>
        <w:rPr>
          <w:rFonts w:ascii="Arial" w:hAnsi="Arial" w:cs="Arial"/>
          <w:color w:val="000000" w:themeColor="text1"/>
          <w:sz w:val="22"/>
          <w:szCs w:val="22"/>
          <w:lang w:eastAsia="en-PH"/>
        </w:rPr>
      </w:pPr>
      <w:r w:rsidRPr="00345AA4">
        <w:rPr>
          <w:rFonts w:ascii="Arial" w:hAnsi="Arial" w:cs="Arial"/>
          <w:color w:val="000000" w:themeColor="text1"/>
          <w:sz w:val="22"/>
          <w:szCs w:val="22"/>
          <w:lang w:eastAsia="en-PH"/>
        </w:rPr>
        <w:t xml:space="preserve">The Management commented that </w:t>
      </w:r>
      <w:r w:rsidR="002C131E" w:rsidRPr="00345AA4">
        <w:rPr>
          <w:rFonts w:ascii="Arial" w:hAnsi="Arial" w:cs="Arial"/>
          <w:color w:val="000000" w:themeColor="text1"/>
          <w:sz w:val="22"/>
          <w:szCs w:val="22"/>
          <w:lang w:eastAsia="en-PH"/>
        </w:rPr>
        <w:t>the account with the private commercial bank</w:t>
      </w:r>
      <w:r w:rsidR="00AF2B0B" w:rsidRPr="00345AA4">
        <w:rPr>
          <w:rFonts w:ascii="Arial" w:hAnsi="Arial" w:cs="Arial"/>
          <w:color w:val="000000" w:themeColor="text1"/>
          <w:sz w:val="22"/>
          <w:szCs w:val="22"/>
          <w:lang w:eastAsia="en-PH"/>
        </w:rPr>
        <w:t>, being a bank with greater network of branches nationwide,</w:t>
      </w:r>
      <w:r w:rsidR="002C131E" w:rsidRPr="00345AA4">
        <w:rPr>
          <w:rFonts w:ascii="Arial" w:hAnsi="Arial" w:cs="Arial"/>
          <w:color w:val="000000" w:themeColor="text1"/>
          <w:sz w:val="22"/>
          <w:szCs w:val="22"/>
          <w:lang w:eastAsia="en-PH"/>
        </w:rPr>
        <w:t xml:space="preserve"> was opened to cater</w:t>
      </w:r>
      <w:r w:rsidR="00AF2B0B" w:rsidRPr="00345AA4">
        <w:rPr>
          <w:rFonts w:ascii="Arial" w:hAnsi="Arial" w:cs="Arial"/>
          <w:color w:val="000000" w:themeColor="text1"/>
          <w:sz w:val="22"/>
          <w:szCs w:val="22"/>
          <w:lang w:eastAsia="en-PH"/>
        </w:rPr>
        <w:t xml:space="preserve"> </w:t>
      </w:r>
      <w:r w:rsidR="002C131E" w:rsidRPr="00345AA4">
        <w:rPr>
          <w:rFonts w:ascii="Arial" w:hAnsi="Arial" w:cs="Arial"/>
          <w:color w:val="000000" w:themeColor="text1"/>
          <w:sz w:val="22"/>
          <w:szCs w:val="22"/>
          <w:lang w:eastAsia="en-PH"/>
        </w:rPr>
        <w:t xml:space="preserve">the demand of the buyers who are mostly based in Iloilo City and some are from abroad in order to facilitate their payments for their purchase of the lots at the System’s </w:t>
      </w:r>
      <w:r w:rsidR="00AF2B0B" w:rsidRPr="00345AA4">
        <w:rPr>
          <w:rFonts w:ascii="Arial" w:hAnsi="Arial" w:cs="Arial"/>
          <w:color w:val="000000" w:themeColor="text1"/>
          <w:sz w:val="22"/>
          <w:szCs w:val="22"/>
          <w:lang w:eastAsia="en-PH"/>
        </w:rPr>
        <w:t>real estate</w:t>
      </w:r>
      <w:r w:rsidR="002C131E" w:rsidRPr="00345AA4">
        <w:rPr>
          <w:rFonts w:ascii="Arial" w:hAnsi="Arial" w:cs="Arial"/>
          <w:color w:val="000000" w:themeColor="text1"/>
          <w:sz w:val="22"/>
          <w:szCs w:val="22"/>
          <w:lang w:eastAsia="en-PH"/>
        </w:rPr>
        <w:t xml:space="preserve"> project</w:t>
      </w:r>
      <w:r w:rsidR="00AF2B0B" w:rsidRPr="00345AA4">
        <w:rPr>
          <w:rFonts w:ascii="Arial" w:hAnsi="Arial" w:cs="Arial"/>
          <w:color w:val="000000" w:themeColor="text1"/>
          <w:sz w:val="22"/>
          <w:szCs w:val="22"/>
          <w:lang w:eastAsia="en-PH"/>
        </w:rPr>
        <w:t xml:space="preserve"> in Iloilo</w:t>
      </w:r>
      <w:r w:rsidR="002C131E" w:rsidRPr="00345AA4">
        <w:rPr>
          <w:rFonts w:ascii="Arial" w:hAnsi="Arial" w:cs="Arial"/>
          <w:color w:val="000000" w:themeColor="text1"/>
          <w:sz w:val="22"/>
          <w:szCs w:val="22"/>
          <w:lang w:eastAsia="en-PH"/>
        </w:rPr>
        <w:t xml:space="preserve">.  The government banks cannot provide the same deposit reference facility needed by the System in Iloilo. Since the DOF Circular mentioned in </w:t>
      </w:r>
      <w:r w:rsidR="003A3E4C" w:rsidRPr="00345AA4">
        <w:rPr>
          <w:rFonts w:ascii="Arial" w:hAnsi="Arial" w:cs="Arial"/>
          <w:color w:val="000000" w:themeColor="text1"/>
          <w:sz w:val="22"/>
          <w:szCs w:val="22"/>
          <w:lang w:eastAsia="en-PH"/>
        </w:rPr>
        <w:t xml:space="preserve">the </w:t>
      </w:r>
      <w:r w:rsidR="002C131E" w:rsidRPr="00345AA4">
        <w:rPr>
          <w:rFonts w:ascii="Arial" w:hAnsi="Arial" w:cs="Arial"/>
          <w:color w:val="000000" w:themeColor="text1"/>
          <w:sz w:val="22"/>
          <w:szCs w:val="22"/>
          <w:lang w:eastAsia="en-PH"/>
        </w:rPr>
        <w:t xml:space="preserve">recommendation above allows for placement with private banks for payment and collection system, the deposit with </w:t>
      </w:r>
      <w:r w:rsidR="00AF2B0B" w:rsidRPr="00345AA4">
        <w:rPr>
          <w:rFonts w:ascii="Arial" w:hAnsi="Arial" w:cs="Arial"/>
          <w:color w:val="000000" w:themeColor="text1"/>
          <w:sz w:val="22"/>
          <w:szCs w:val="22"/>
          <w:lang w:eastAsia="en-PH"/>
        </w:rPr>
        <w:t xml:space="preserve">the private commercial bank </w:t>
      </w:r>
      <w:r w:rsidR="002C131E" w:rsidRPr="00345AA4">
        <w:rPr>
          <w:rFonts w:ascii="Arial" w:hAnsi="Arial" w:cs="Arial"/>
          <w:color w:val="000000" w:themeColor="text1"/>
          <w:sz w:val="22"/>
          <w:szCs w:val="22"/>
          <w:lang w:eastAsia="en-PH"/>
        </w:rPr>
        <w:t xml:space="preserve">will be retained by the System.  The requirement, however, to deposit all collections to the depository government bank(s) the next banking day will be </w:t>
      </w:r>
      <w:r w:rsidR="00BE1920" w:rsidRPr="00345AA4">
        <w:rPr>
          <w:rFonts w:ascii="Arial" w:hAnsi="Arial" w:cs="Arial"/>
          <w:color w:val="000000" w:themeColor="text1"/>
          <w:sz w:val="22"/>
          <w:szCs w:val="22"/>
          <w:lang w:eastAsia="en-PH"/>
        </w:rPr>
        <w:t xml:space="preserve">done by the System and it </w:t>
      </w:r>
      <w:r w:rsidR="002C131E" w:rsidRPr="00345AA4">
        <w:rPr>
          <w:rFonts w:ascii="Arial" w:hAnsi="Arial" w:cs="Arial"/>
          <w:color w:val="000000" w:themeColor="text1"/>
          <w:sz w:val="22"/>
          <w:szCs w:val="22"/>
          <w:lang w:eastAsia="en-PH"/>
        </w:rPr>
        <w:t>will ensure</w:t>
      </w:r>
      <w:r w:rsidR="00BE1920" w:rsidRPr="00345AA4">
        <w:rPr>
          <w:rFonts w:ascii="Arial" w:hAnsi="Arial" w:cs="Arial"/>
          <w:color w:val="000000" w:themeColor="text1"/>
          <w:sz w:val="22"/>
          <w:szCs w:val="22"/>
          <w:lang w:eastAsia="en-PH"/>
        </w:rPr>
        <w:t xml:space="preserve"> that only the </w:t>
      </w:r>
      <w:r w:rsidR="002C131E" w:rsidRPr="00345AA4">
        <w:rPr>
          <w:rFonts w:ascii="Arial" w:hAnsi="Arial" w:cs="Arial"/>
          <w:color w:val="000000" w:themeColor="text1"/>
          <w:sz w:val="22"/>
          <w:szCs w:val="22"/>
          <w:lang w:eastAsia="en-PH"/>
        </w:rPr>
        <w:t>required minimum average daily balance</w:t>
      </w:r>
      <w:r w:rsidR="00BE1920" w:rsidRPr="00345AA4">
        <w:rPr>
          <w:rFonts w:ascii="Arial" w:hAnsi="Arial" w:cs="Arial"/>
          <w:color w:val="000000" w:themeColor="text1"/>
          <w:sz w:val="22"/>
          <w:szCs w:val="22"/>
          <w:lang w:eastAsia="en-PH"/>
        </w:rPr>
        <w:t xml:space="preserve"> will be maintained</w:t>
      </w:r>
      <w:r w:rsidR="002C131E" w:rsidRPr="00345AA4">
        <w:rPr>
          <w:rFonts w:ascii="Arial" w:hAnsi="Arial" w:cs="Arial"/>
          <w:color w:val="000000" w:themeColor="text1"/>
          <w:sz w:val="22"/>
          <w:szCs w:val="22"/>
          <w:lang w:eastAsia="en-PH"/>
        </w:rPr>
        <w:t xml:space="preserve">. The </w:t>
      </w:r>
      <w:r w:rsidR="002C131E" w:rsidRPr="00345AA4">
        <w:rPr>
          <w:rFonts w:ascii="Arial" w:hAnsi="Arial" w:cs="Arial"/>
          <w:color w:val="000000" w:themeColor="text1"/>
          <w:sz w:val="22"/>
          <w:szCs w:val="22"/>
          <w:lang w:eastAsia="en-PH"/>
        </w:rPr>
        <w:lastRenderedPageBreak/>
        <w:t xml:space="preserve">System will still endeavor to seek exemption from the DOF regarding its </w:t>
      </w:r>
      <w:r w:rsidR="00BE1920" w:rsidRPr="00345AA4">
        <w:rPr>
          <w:rFonts w:ascii="Arial" w:hAnsi="Arial" w:cs="Arial"/>
          <w:color w:val="000000" w:themeColor="text1"/>
          <w:sz w:val="22"/>
          <w:szCs w:val="22"/>
          <w:lang w:eastAsia="en-PH"/>
        </w:rPr>
        <w:t>non-governmental financial institution</w:t>
      </w:r>
      <w:r w:rsidR="002C131E" w:rsidRPr="00345AA4">
        <w:rPr>
          <w:rFonts w:ascii="Arial" w:hAnsi="Arial" w:cs="Arial"/>
          <w:color w:val="000000" w:themeColor="text1"/>
          <w:sz w:val="22"/>
          <w:szCs w:val="22"/>
          <w:lang w:eastAsia="en-PH"/>
        </w:rPr>
        <w:t xml:space="preserve"> accounts.</w:t>
      </w:r>
    </w:p>
    <w:p w14:paraId="30A55E9B" w14:textId="77777777" w:rsidR="00802E85" w:rsidRPr="00345AA4" w:rsidRDefault="00802E85" w:rsidP="00802E85">
      <w:pPr>
        <w:pStyle w:val="ListParagraph"/>
        <w:tabs>
          <w:tab w:val="left" w:pos="990"/>
        </w:tabs>
        <w:ind w:left="900"/>
        <w:contextualSpacing/>
        <w:jc w:val="both"/>
        <w:rPr>
          <w:rFonts w:ascii="Arial" w:hAnsi="Arial" w:cs="Arial"/>
          <w:color w:val="000000" w:themeColor="text1"/>
          <w:sz w:val="22"/>
          <w:szCs w:val="22"/>
          <w:lang w:eastAsia="en-PH"/>
        </w:rPr>
      </w:pPr>
    </w:p>
    <w:p w14:paraId="532B361A" w14:textId="45F490CE" w:rsidR="00F50B87" w:rsidRPr="00345AA4" w:rsidRDefault="00802E85" w:rsidP="00D35F82">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As a rejoinder, </w:t>
      </w:r>
      <w:r w:rsidR="00F50B87" w:rsidRPr="00345AA4">
        <w:rPr>
          <w:rFonts w:ascii="Arial" w:hAnsi="Arial" w:cs="Arial"/>
          <w:color w:val="000000" w:themeColor="text1"/>
          <w:sz w:val="22"/>
          <w:szCs w:val="22"/>
        </w:rPr>
        <w:t>while Section 2 of DOF Department Circular No. 001-2017 allows GOCCs to engage the payment and collection services of banks other than those listed in Section 5.2, thru a  transaction fee-based arrangements, without need for prior approval from the DOF, thus, the reason of</w:t>
      </w:r>
      <w:r w:rsidR="005A1794" w:rsidRPr="00345AA4">
        <w:rPr>
          <w:rFonts w:ascii="Arial" w:hAnsi="Arial" w:cs="Arial"/>
          <w:color w:val="000000" w:themeColor="text1"/>
          <w:sz w:val="22"/>
          <w:szCs w:val="22"/>
        </w:rPr>
        <w:t xml:space="preserve"> the System for opening its account with </w:t>
      </w:r>
      <w:r w:rsidR="00804CF6" w:rsidRPr="00345AA4">
        <w:rPr>
          <w:rFonts w:ascii="Arial" w:hAnsi="Arial" w:cs="Arial"/>
          <w:color w:val="000000" w:themeColor="text1"/>
          <w:sz w:val="22"/>
          <w:szCs w:val="22"/>
        </w:rPr>
        <w:t>a private commercial bank,</w:t>
      </w:r>
      <w:r w:rsidR="00F50B87" w:rsidRPr="00345AA4">
        <w:rPr>
          <w:rFonts w:ascii="Arial" w:hAnsi="Arial" w:cs="Arial"/>
          <w:color w:val="000000" w:themeColor="text1"/>
          <w:sz w:val="22"/>
          <w:szCs w:val="22"/>
        </w:rPr>
        <w:t xml:space="preserve"> the same Circular provides that all collections of collectin</w:t>
      </w:r>
      <w:r w:rsidR="003A3E4C" w:rsidRPr="00345AA4">
        <w:rPr>
          <w:rFonts w:ascii="Arial" w:hAnsi="Arial" w:cs="Arial"/>
          <w:color w:val="000000" w:themeColor="text1"/>
          <w:sz w:val="22"/>
          <w:szCs w:val="22"/>
        </w:rPr>
        <w:t>g</w:t>
      </w:r>
      <w:r w:rsidR="00F50B87" w:rsidRPr="00345AA4">
        <w:rPr>
          <w:rFonts w:ascii="Arial" w:hAnsi="Arial" w:cs="Arial"/>
          <w:color w:val="000000" w:themeColor="text1"/>
          <w:sz w:val="22"/>
          <w:szCs w:val="22"/>
        </w:rPr>
        <w:t xml:space="preserve"> banks shall be transferred to any </w:t>
      </w:r>
      <w:r w:rsidR="003A3E4C" w:rsidRPr="00345AA4">
        <w:rPr>
          <w:rFonts w:ascii="Arial" w:hAnsi="Arial" w:cs="Arial"/>
          <w:color w:val="000000" w:themeColor="text1"/>
          <w:sz w:val="22"/>
          <w:szCs w:val="22"/>
        </w:rPr>
        <w:t xml:space="preserve">of </w:t>
      </w:r>
      <w:r w:rsidR="00F50B87" w:rsidRPr="00345AA4">
        <w:rPr>
          <w:rFonts w:ascii="Arial" w:hAnsi="Arial" w:cs="Arial"/>
          <w:color w:val="000000" w:themeColor="text1"/>
          <w:sz w:val="22"/>
          <w:szCs w:val="22"/>
        </w:rPr>
        <w:t>those listed in Section 5.2 on the next banking day counted from the collection date.</w:t>
      </w:r>
      <w:r w:rsidR="00804CF6" w:rsidRPr="00345AA4">
        <w:rPr>
          <w:rFonts w:ascii="Arial" w:hAnsi="Arial" w:cs="Arial"/>
          <w:color w:val="000000" w:themeColor="text1"/>
          <w:sz w:val="22"/>
          <w:szCs w:val="22"/>
        </w:rPr>
        <w:t xml:space="preserve"> We shall monitor the System’s compliance with Section 2 of the said Circular until it has been fully complied with.</w:t>
      </w:r>
    </w:p>
    <w:p w14:paraId="3BC75C76" w14:textId="77777777" w:rsidR="00804CF6" w:rsidRPr="00345AA4" w:rsidRDefault="00804CF6" w:rsidP="00804CF6">
      <w:pPr>
        <w:pStyle w:val="ListParagraph"/>
        <w:rPr>
          <w:rFonts w:ascii="Arial" w:hAnsi="Arial" w:cs="Arial"/>
          <w:color w:val="000000" w:themeColor="text1"/>
          <w:sz w:val="22"/>
          <w:szCs w:val="22"/>
        </w:rPr>
      </w:pPr>
    </w:p>
    <w:p w14:paraId="6A32EC9D" w14:textId="5C415FE3" w:rsidR="00521F6E" w:rsidRPr="00345AA4" w:rsidRDefault="00804CF6" w:rsidP="00521F6E">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On the other hand, as regards the account maintained in a non-government financial institution, we maintain our position that AFPRSBS should have secured the DOF approval prior to depositing and maintaining its funds with the</w:t>
      </w:r>
      <w:r w:rsidR="00CB0529" w:rsidRPr="00345AA4">
        <w:rPr>
          <w:rFonts w:ascii="Arial" w:hAnsi="Arial" w:cs="Arial"/>
          <w:color w:val="000000" w:themeColor="text1"/>
          <w:sz w:val="22"/>
          <w:szCs w:val="22"/>
        </w:rPr>
        <w:t xml:space="preserve"> </w:t>
      </w:r>
      <w:r w:rsidR="004C11AE" w:rsidRPr="00345AA4">
        <w:rPr>
          <w:rFonts w:ascii="Arial" w:hAnsi="Arial" w:cs="Arial"/>
          <w:color w:val="000000" w:themeColor="text1"/>
          <w:sz w:val="22"/>
          <w:szCs w:val="22"/>
        </w:rPr>
        <w:t>former</w:t>
      </w:r>
      <w:r w:rsidRPr="00345AA4">
        <w:rPr>
          <w:rFonts w:ascii="Arial" w:hAnsi="Arial" w:cs="Arial"/>
          <w:color w:val="000000" w:themeColor="text1"/>
          <w:sz w:val="22"/>
          <w:szCs w:val="22"/>
        </w:rPr>
        <w:t xml:space="preserve">. </w:t>
      </w:r>
      <w:r w:rsidRPr="00345AA4">
        <w:rPr>
          <w:rFonts w:ascii="Arial" w:hAnsi="Arial" w:cs="Arial"/>
          <w:bCs/>
          <w:color w:val="000000" w:themeColor="text1"/>
          <w:sz w:val="22"/>
          <w:szCs w:val="22"/>
        </w:rPr>
        <w:t xml:space="preserve">It is also worth mentioning that this Observation is reiterated from a CY </w:t>
      </w:r>
      <w:r w:rsidR="004C7A75" w:rsidRPr="00345AA4">
        <w:rPr>
          <w:rFonts w:ascii="Arial" w:hAnsi="Arial" w:cs="Arial"/>
          <w:bCs/>
          <w:color w:val="000000" w:themeColor="text1"/>
          <w:sz w:val="22"/>
          <w:szCs w:val="22"/>
        </w:rPr>
        <w:t xml:space="preserve">2013 </w:t>
      </w:r>
      <w:r w:rsidRPr="00345AA4">
        <w:rPr>
          <w:rFonts w:ascii="Arial" w:hAnsi="Arial" w:cs="Arial"/>
          <w:bCs/>
          <w:color w:val="000000" w:themeColor="text1"/>
          <w:sz w:val="22"/>
          <w:szCs w:val="22"/>
        </w:rPr>
        <w:t>audit observation</w:t>
      </w:r>
      <w:r w:rsidR="004C7A75" w:rsidRPr="00345AA4">
        <w:rPr>
          <w:rFonts w:ascii="Arial" w:hAnsi="Arial" w:cs="Arial"/>
          <w:bCs/>
          <w:color w:val="000000" w:themeColor="text1"/>
          <w:sz w:val="22"/>
          <w:szCs w:val="22"/>
        </w:rPr>
        <w:t>, the recommendations for</w:t>
      </w:r>
      <w:r w:rsidRPr="00345AA4">
        <w:rPr>
          <w:rFonts w:ascii="Arial" w:hAnsi="Arial" w:cs="Arial"/>
          <w:bCs/>
          <w:color w:val="000000" w:themeColor="text1"/>
          <w:sz w:val="22"/>
          <w:szCs w:val="22"/>
        </w:rPr>
        <w:t xml:space="preserve"> which </w:t>
      </w:r>
      <w:r w:rsidR="004C7A75" w:rsidRPr="00345AA4">
        <w:rPr>
          <w:rFonts w:ascii="Arial" w:hAnsi="Arial" w:cs="Arial"/>
          <w:bCs/>
          <w:color w:val="000000" w:themeColor="text1"/>
          <w:sz w:val="22"/>
          <w:szCs w:val="22"/>
        </w:rPr>
        <w:t xml:space="preserve">have remained </w:t>
      </w:r>
      <w:r w:rsidRPr="00345AA4">
        <w:rPr>
          <w:rFonts w:ascii="Arial" w:hAnsi="Arial" w:cs="Arial"/>
          <w:bCs/>
          <w:color w:val="000000" w:themeColor="text1"/>
          <w:sz w:val="22"/>
          <w:szCs w:val="22"/>
        </w:rPr>
        <w:t>unimplemented</w:t>
      </w:r>
      <w:r w:rsidR="00543E78" w:rsidRPr="00345AA4">
        <w:rPr>
          <w:rFonts w:ascii="Arial" w:hAnsi="Arial" w:cs="Arial"/>
          <w:bCs/>
          <w:color w:val="000000" w:themeColor="text1"/>
          <w:sz w:val="22"/>
          <w:szCs w:val="22"/>
        </w:rPr>
        <w:t xml:space="preserve">. </w:t>
      </w:r>
      <w:r w:rsidR="00AD32B9" w:rsidRPr="00345AA4">
        <w:rPr>
          <w:rFonts w:ascii="Arial" w:hAnsi="Arial" w:cs="Arial"/>
          <w:bCs/>
          <w:color w:val="000000" w:themeColor="text1"/>
          <w:sz w:val="22"/>
          <w:szCs w:val="22"/>
        </w:rPr>
        <w:t xml:space="preserve">Considering that the same recommendations have been proposed and the ample time given to comply </w:t>
      </w:r>
      <w:r w:rsidR="004C7A75" w:rsidRPr="00345AA4">
        <w:rPr>
          <w:rFonts w:ascii="Arial" w:hAnsi="Arial" w:cs="Arial"/>
          <w:bCs/>
          <w:color w:val="000000" w:themeColor="text1"/>
          <w:sz w:val="22"/>
          <w:szCs w:val="22"/>
        </w:rPr>
        <w:t xml:space="preserve">with </w:t>
      </w:r>
      <w:r w:rsidR="00AD32B9" w:rsidRPr="00345AA4">
        <w:rPr>
          <w:rFonts w:ascii="Arial" w:hAnsi="Arial" w:cs="Arial"/>
          <w:bCs/>
          <w:color w:val="000000" w:themeColor="text1"/>
          <w:sz w:val="22"/>
          <w:szCs w:val="22"/>
        </w:rPr>
        <w:t xml:space="preserve">such, </w:t>
      </w:r>
      <w:r w:rsidR="00521F6E" w:rsidRPr="00345AA4">
        <w:rPr>
          <w:rFonts w:ascii="Arial" w:hAnsi="Arial" w:cs="Arial"/>
          <w:bCs/>
          <w:color w:val="000000" w:themeColor="text1"/>
          <w:sz w:val="22"/>
          <w:szCs w:val="22"/>
        </w:rPr>
        <w:t xml:space="preserve">the System </w:t>
      </w:r>
      <w:r w:rsidR="004C7A75" w:rsidRPr="00345AA4">
        <w:rPr>
          <w:rFonts w:ascii="Arial" w:hAnsi="Arial" w:cs="Arial"/>
          <w:bCs/>
          <w:color w:val="000000" w:themeColor="text1"/>
          <w:sz w:val="22"/>
          <w:szCs w:val="22"/>
        </w:rPr>
        <w:t xml:space="preserve">has </w:t>
      </w:r>
      <w:r w:rsidR="00521F6E" w:rsidRPr="00345AA4">
        <w:rPr>
          <w:rFonts w:ascii="Arial" w:hAnsi="Arial" w:cs="Arial"/>
          <w:bCs/>
          <w:color w:val="000000" w:themeColor="text1"/>
          <w:sz w:val="22"/>
          <w:szCs w:val="22"/>
        </w:rPr>
        <w:t xml:space="preserve">no reason not to comply. Also, the </w:t>
      </w:r>
      <w:r w:rsidR="00A42CC1" w:rsidRPr="00345AA4">
        <w:rPr>
          <w:rFonts w:ascii="Arial" w:hAnsi="Arial" w:cs="Arial"/>
          <w:bCs/>
          <w:color w:val="000000" w:themeColor="text1"/>
          <w:sz w:val="22"/>
          <w:szCs w:val="22"/>
        </w:rPr>
        <w:t>C</w:t>
      </w:r>
      <w:r w:rsidR="00521F6E" w:rsidRPr="00345AA4">
        <w:rPr>
          <w:rFonts w:ascii="Arial" w:hAnsi="Arial" w:cs="Arial"/>
          <w:bCs/>
          <w:color w:val="000000" w:themeColor="text1"/>
          <w:sz w:val="22"/>
          <w:szCs w:val="22"/>
        </w:rPr>
        <w:t xml:space="preserve">ircular </w:t>
      </w:r>
      <w:r w:rsidR="004C7A75" w:rsidRPr="00345AA4">
        <w:rPr>
          <w:rFonts w:ascii="Arial" w:hAnsi="Arial" w:cs="Arial"/>
          <w:bCs/>
          <w:color w:val="000000" w:themeColor="text1"/>
          <w:sz w:val="22"/>
          <w:szCs w:val="22"/>
        </w:rPr>
        <w:t xml:space="preserve">does </w:t>
      </w:r>
      <w:r w:rsidR="00521F6E" w:rsidRPr="00345AA4">
        <w:rPr>
          <w:rFonts w:ascii="Arial" w:hAnsi="Arial" w:cs="Arial"/>
          <w:bCs/>
          <w:color w:val="000000" w:themeColor="text1"/>
          <w:sz w:val="22"/>
          <w:szCs w:val="22"/>
        </w:rPr>
        <w:t>not mention other conditions for the exception to apply other than those expressly provided to get rid of the requisite approval.</w:t>
      </w:r>
    </w:p>
    <w:p w14:paraId="3EAC2365" w14:textId="77777777" w:rsidR="00802E85" w:rsidRPr="00345AA4" w:rsidRDefault="00802E85" w:rsidP="00802E85">
      <w:pPr>
        <w:tabs>
          <w:tab w:val="left" w:pos="990"/>
        </w:tabs>
        <w:contextualSpacing/>
        <w:jc w:val="both"/>
        <w:rPr>
          <w:rFonts w:ascii="Arial" w:eastAsia="Times New Roman" w:hAnsi="Arial" w:cs="Arial"/>
          <w:color w:val="000000" w:themeColor="text1"/>
        </w:rPr>
      </w:pPr>
    </w:p>
    <w:p w14:paraId="6CD6A3CB" w14:textId="59B523CA" w:rsidR="00802E85" w:rsidRPr="00345AA4" w:rsidRDefault="00802E85" w:rsidP="00802E85">
      <w:pPr>
        <w:pStyle w:val="ListParagraph"/>
        <w:numPr>
          <w:ilvl w:val="0"/>
          <w:numId w:val="1"/>
        </w:numPr>
        <w:ind w:left="360"/>
        <w:contextualSpacing/>
        <w:jc w:val="both"/>
        <w:rPr>
          <w:rFonts w:ascii="Arial" w:hAnsi="Arial" w:cs="Arial"/>
          <w:b/>
          <w:color w:val="000000" w:themeColor="text1"/>
          <w:sz w:val="22"/>
          <w:szCs w:val="22"/>
        </w:rPr>
      </w:pPr>
      <w:r w:rsidRPr="00345AA4">
        <w:rPr>
          <w:rFonts w:ascii="Arial" w:hAnsi="Arial" w:cs="Arial"/>
          <w:b/>
          <w:color w:val="000000" w:themeColor="text1"/>
          <w:sz w:val="22"/>
          <w:szCs w:val="22"/>
        </w:rPr>
        <w:t>The granting and liquidation of cash advances</w:t>
      </w:r>
      <w:r w:rsidR="007308AA" w:rsidRPr="00345AA4">
        <w:rPr>
          <w:rFonts w:ascii="Arial" w:hAnsi="Arial" w:cs="Arial"/>
          <w:b/>
          <w:color w:val="000000" w:themeColor="text1"/>
          <w:sz w:val="22"/>
          <w:szCs w:val="22"/>
        </w:rPr>
        <w:t xml:space="preserve"> (CA)</w:t>
      </w:r>
      <w:r w:rsidRPr="00345AA4">
        <w:rPr>
          <w:rFonts w:ascii="Arial" w:hAnsi="Arial" w:cs="Arial"/>
          <w:b/>
          <w:color w:val="000000" w:themeColor="text1"/>
          <w:sz w:val="22"/>
          <w:szCs w:val="22"/>
        </w:rPr>
        <w:t xml:space="preserve"> disclosed that: </w:t>
      </w:r>
      <w:r w:rsidR="00424394">
        <w:rPr>
          <w:rFonts w:ascii="Arial" w:hAnsi="Arial" w:cs="Arial"/>
          <w:b/>
          <w:color w:val="000000" w:themeColor="text1"/>
          <w:sz w:val="22"/>
          <w:szCs w:val="22"/>
        </w:rPr>
        <w:t>(</w:t>
      </w:r>
      <w:r w:rsidRPr="00345AA4">
        <w:rPr>
          <w:rFonts w:ascii="Arial" w:hAnsi="Arial" w:cs="Arial"/>
          <w:b/>
          <w:color w:val="000000" w:themeColor="text1"/>
          <w:sz w:val="22"/>
          <w:szCs w:val="22"/>
        </w:rPr>
        <w:t xml:space="preserve">a) a </w:t>
      </w:r>
      <w:r w:rsidR="007308AA" w:rsidRPr="00345AA4">
        <w:rPr>
          <w:rFonts w:ascii="Arial" w:hAnsi="Arial" w:cs="Arial"/>
          <w:b/>
          <w:color w:val="000000" w:themeColor="text1"/>
          <w:sz w:val="22"/>
          <w:szCs w:val="22"/>
        </w:rPr>
        <w:t>CA</w:t>
      </w:r>
      <w:r w:rsidRPr="00345AA4">
        <w:rPr>
          <w:rFonts w:ascii="Arial" w:hAnsi="Arial" w:cs="Arial"/>
          <w:b/>
          <w:color w:val="000000" w:themeColor="text1"/>
          <w:sz w:val="22"/>
          <w:szCs w:val="22"/>
        </w:rPr>
        <w:t xml:space="preserve"> for local travel was not liquidated within 30 days after return to </w:t>
      </w:r>
      <w:r w:rsidR="007308AA" w:rsidRPr="00345AA4">
        <w:rPr>
          <w:rFonts w:ascii="Arial" w:hAnsi="Arial" w:cs="Arial"/>
          <w:b/>
          <w:color w:val="000000" w:themeColor="text1"/>
          <w:sz w:val="22"/>
          <w:szCs w:val="22"/>
        </w:rPr>
        <w:t xml:space="preserve">the </w:t>
      </w:r>
      <w:r w:rsidRPr="00345AA4">
        <w:rPr>
          <w:rFonts w:ascii="Arial" w:hAnsi="Arial" w:cs="Arial"/>
          <w:b/>
          <w:color w:val="000000" w:themeColor="text1"/>
          <w:sz w:val="22"/>
          <w:szCs w:val="22"/>
        </w:rPr>
        <w:t xml:space="preserve">permanent official station; and </w:t>
      </w:r>
      <w:r w:rsidR="00424394">
        <w:rPr>
          <w:rFonts w:ascii="Arial" w:hAnsi="Arial" w:cs="Arial"/>
          <w:b/>
          <w:color w:val="000000" w:themeColor="text1"/>
          <w:sz w:val="22"/>
          <w:szCs w:val="22"/>
        </w:rPr>
        <w:t>(</w:t>
      </w:r>
      <w:r w:rsidRPr="00345AA4">
        <w:rPr>
          <w:rFonts w:ascii="Arial" w:hAnsi="Arial" w:cs="Arial"/>
          <w:b/>
          <w:color w:val="000000" w:themeColor="text1"/>
          <w:sz w:val="22"/>
          <w:szCs w:val="22"/>
        </w:rPr>
        <w:t xml:space="preserve">b) </w:t>
      </w:r>
      <w:r w:rsidR="007308AA" w:rsidRPr="00345AA4">
        <w:rPr>
          <w:rFonts w:ascii="Arial" w:hAnsi="Arial" w:cs="Arial"/>
          <w:b/>
          <w:color w:val="000000" w:themeColor="text1"/>
          <w:sz w:val="22"/>
          <w:szCs w:val="22"/>
        </w:rPr>
        <w:t xml:space="preserve">liquidation </w:t>
      </w:r>
      <w:r w:rsidRPr="00345AA4">
        <w:rPr>
          <w:rFonts w:ascii="Arial" w:hAnsi="Arial" w:cs="Arial"/>
          <w:b/>
          <w:color w:val="000000" w:themeColor="text1"/>
          <w:sz w:val="22"/>
          <w:szCs w:val="22"/>
        </w:rPr>
        <w:t>of CA were not supported with proper documentation</w:t>
      </w:r>
      <w:r w:rsidR="007308AA" w:rsidRPr="00345AA4">
        <w:rPr>
          <w:rFonts w:ascii="Arial" w:hAnsi="Arial" w:cs="Arial"/>
          <w:b/>
          <w:color w:val="000000" w:themeColor="text1"/>
          <w:sz w:val="22"/>
          <w:szCs w:val="22"/>
        </w:rPr>
        <w:t>,</w:t>
      </w:r>
      <w:r w:rsidRPr="00345AA4">
        <w:rPr>
          <w:rFonts w:ascii="Arial" w:hAnsi="Arial" w:cs="Arial"/>
          <w:b/>
          <w:color w:val="000000" w:themeColor="text1"/>
          <w:sz w:val="22"/>
          <w:szCs w:val="22"/>
        </w:rPr>
        <w:t xml:space="preserve"> contrary to COA Circular No. 2012-001 dated June 14, 2012, thus, exposes the funds to possible loss, misuse or misapplication.</w:t>
      </w:r>
    </w:p>
    <w:p w14:paraId="0156953E" w14:textId="77777777" w:rsidR="00802E85" w:rsidRPr="00345AA4" w:rsidRDefault="00802E85" w:rsidP="00802E85">
      <w:pPr>
        <w:pStyle w:val="ListParagraph"/>
        <w:ind w:left="360"/>
        <w:contextualSpacing/>
        <w:jc w:val="both"/>
        <w:rPr>
          <w:rFonts w:ascii="Arial" w:eastAsia="Calibri" w:hAnsi="Arial" w:cs="Arial"/>
          <w:b/>
          <w:bCs/>
          <w:color w:val="000000" w:themeColor="text1"/>
          <w:sz w:val="22"/>
          <w:szCs w:val="22"/>
          <w:highlight w:val="yellow"/>
          <w:lang w:val="en-PH"/>
        </w:rPr>
      </w:pPr>
    </w:p>
    <w:p w14:paraId="71A80D9D" w14:textId="285FAE15" w:rsidR="00802E85" w:rsidRPr="00345AA4" w:rsidRDefault="00802E85" w:rsidP="00802E85">
      <w:pPr>
        <w:pStyle w:val="NoSpacing"/>
        <w:numPr>
          <w:ilvl w:val="0"/>
          <w:numId w:val="12"/>
        </w:numPr>
        <w:ind w:left="426" w:hanging="426"/>
        <w:jc w:val="both"/>
        <w:rPr>
          <w:rFonts w:ascii="Arial" w:hAnsi="Arial" w:cs="Arial"/>
          <w:b/>
          <w:color w:val="000000" w:themeColor="text1"/>
        </w:rPr>
      </w:pPr>
      <w:r w:rsidRPr="00345AA4">
        <w:rPr>
          <w:rFonts w:ascii="Arial" w:hAnsi="Arial" w:cs="Arial"/>
          <w:b/>
          <w:i/>
          <w:color w:val="000000" w:themeColor="text1"/>
        </w:rPr>
        <w:t xml:space="preserve">A </w:t>
      </w:r>
      <w:r w:rsidR="007308AA" w:rsidRPr="00345AA4">
        <w:rPr>
          <w:rFonts w:ascii="Arial" w:hAnsi="Arial" w:cs="Arial"/>
          <w:b/>
          <w:i/>
          <w:color w:val="000000" w:themeColor="text1"/>
        </w:rPr>
        <w:t>CA</w:t>
      </w:r>
      <w:r w:rsidRPr="00345AA4">
        <w:rPr>
          <w:rFonts w:ascii="Arial" w:hAnsi="Arial" w:cs="Arial"/>
          <w:b/>
          <w:i/>
          <w:color w:val="000000" w:themeColor="text1"/>
        </w:rPr>
        <w:t xml:space="preserve"> for local travel was not liquidated within 30 days after return to the permanent official station.</w:t>
      </w:r>
      <w:r w:rsidRPr="00345AA4">
        <w:rPr>
          <w:rFonts w:ascii="Arial" w:hAnsi="Arial" w:cs="Arial"/>
          <w:b/>
          <w:color w:val="000000" w:themeColor="text1"/>
        </w:rPr>
        <w:t xml:space="preserve"> </w:t>
      </w:r>
    </w:p>
    <w:p w14:paraId="783FD3A4" w14:textId="77777777" w:rsidR="00964281" w:rsidRPr="00345AA4" w:rsidRDefault="00964281" w:rsidP="00802E85">
      <w:pPr>
        <w:pStyle w:val="NoSpacing"/>
        <w:ind w:left="426"/>
        <w:jc w:val="both"/>
        <w:rPr>
          <w:rFonts w:ascii="Arial" w:hAnsi="Arial" w:cs="Arial"/>
          <w:b/>
          <w:color w:val="000000" w:themeColor="text1"/>
        </w:rPr>
      </w:pPr>
    </w:p>
    <w:p w14:paraId="43A72341" w14:textId="77777777" w:rsidR="00802E85" w:rsidRPr="00345AA4" w:rsidRDefault="00802E85" w:rsidP="00802E85">
      <w:pPr>
        <w:pStyle w:val="ListParagraph"/>
        <w:numPr>
          <w:ilvl w:val="1"/>
          <w:numId w:val="1"/>
        </w:numPr>
        <w:tabs>
          <w:tab w:val="left" w:pos="990"/>
        </w:tabs>
        <w:ind w:left="900" w:hanging="540"/>
        <w:contextualSpacing/>
        <w:jc w:val="both"/>
        <w:rPr>
          <w:rFonts w:ascii="Arial" w:hAnsi="Arial" w:cs="Arial"/>
          <w:bCs/>
          <w:color w:val="000000" w:themeColor="text1"/>
          <w:sz w:val="22"/>
          <w:szCs w:val="22"/>
          <w:lang w:eastAsia="en-PH"/>
        </w:rPr>
      </w:pPr>
      <w:r w:rsidRPr="00345AA4">
        <w:rPr>
          <w:rFonts w:ascii="Arial" w:hAnsi="Arial" w:cs="Arial"/>
          <w:bCs/>
          <w:color w:val="000000" w:themeColor="text1"/>
          <w:sz w:val="22"/>
          <w:szCs w:val="22"/>
          <w:lang w:eastAsia="en-PH"/>
        </w:rPr>
        <w:t>Section 1.2 of COA Circular No. 2012-001 provides:</w:t>
      </w:r>
    </w:p>
    <w:p w14:paraId="7E004502" w14:textId="77777777" w:rsidR="00802E85" w:rsidRPr="00345AA4" w:rsidRDefault="00802E85" w:rsidP="00802E85">
      <w:pPr>
        <w:pStyle w:val="ListParagraph"/>
        <w:ind w:left="0"/>
        <w:contextualSpacing/>
        <w:jc w:val="both"/>
        <w:rPr>
          <w:rFonts w:ascii="Arial" w:hAnsi="Arial" w:cs="Arial"/>
          <w:bCs/>
          <w:color w:val="000000" w:themeColor="text1"/>
          <w:sz w:val="22"/>
          <w:szCs w:val="22"/>
          <w:lang w:eastAsia="en-PH"/>
        </w:rPr>
      </w:pPr>
    </w:p>
    <w:p w14:paraId="6B645A1B" w14:textId="77777777" w:rsidR="00802E85" w:rsidRPr="00345AA4" w:rsidRDefault="00802E85" w:rsidP="001E38EC">
      <w:pPr>
        <w:pStyle w:val="ListParagraph"/>
        <w:numPr>
          <w:ilvl w:val="1"/>
          <w:numId w:val="13"/>
        </w:numPr>
        <w:ind w:left="1890" w:hanging="425"/>
        <w:contextualSpacing/>
        <w:jc w:val="both"/>
        <w:rPr>
          <w:rFonts w:ascii="Arial" w:hAnsi="Arial" w:cs="Arial"/>
          <w:b/>
          <w:bCs/>
          <w:color w:val="000000" w:themeColor="text1"/>
          <w:sz w:val="22"/>
          <w:szCs w:val="22"/>
          <w:lang w:eastAsia="en-PH"/>
        </w:rPr>
      </w:pPr>
      <w:r w:rsidRPr="00345AA4">
        <w:rPr>
          <w:rFonts w:ascii="Arial" w:hAnsi="Arial" w:cs="Arial"/>
          <w:b/>
          <w:bCs/>
          <w:color w:val="000000" w:themeColor="text1"/>
          <w:sz w:val="22"/>
          <w:szCs w:val="22"/>
          <w:lang w:eastAsia="en-PH"/>
        </w:rPr>
        <w:t>Liquidation of Cash Advances</w:t>
      </w:r>
    </w:p>
    <w:p w14:paraId="03E1ABBB" w14:textId="77777777" w:rsidR="00802E85" w:rsidRPr="00345AA4" w:rsidRDefault="00802E85" w:rsidP="00802E85">
      <w:pPr>
        <w:pStyle w:val="ListParagraph"/>
        <w:ind w:left="1276" w:hanging="425"/>
        <w:contextualSpacing/>
        <w:jc w:val="both"/>
        <w:rPr>
          <w:rFonts w:ascii="Arial" w:hAnsi="Arial" w:cs="Arial"/>
          <w:b/>
          <w:bCs/>
          <w:color w:val="000000" w:themeColor="text1"/>
          <w:sz w:val="22"/>
          <w:szCs w:val="22"/>
          <w:lang w:eastAsia="en-PH"/>
        </w:rPr>
      </w:pPr>
    </w:p>
    <w:p w14:paraId="0385EA65" w14:textId="77777777" w:rsidR="00802E85" w:rsidRPr="00345AA4" w:rsidRDefault="00802E85" w:rsidP="001E38EC">
      <w:pPr>
        <w:pStyle w:val="NoSpacing"/>
        <w:ind w:left="1440" w:right="702"/>
        <w:jc w:val="both"/>
        <w:rPr>
          <w:rFonts w:ascii="Arial" w:hAnsi="Arial" w:cs="Arial"/>
          <w:bCs/>
          <w:color w:val="000000" w:themeColor="text1"/>
        </w:rPr>
      </w:pPr>
      <w:r w:rsidRPr="00345AA4">
        <w:rPr>
          <w:rFonts w:ascii="Arial" w:hAnsi="Arial" w:cs="Arial"/>
          <w:bCs/>
          <w:i/>
          <w:color w:val="000000" w:themeColor="text1"/>
          <w:u w:val="single"/>
        </w:rPr>
        <w:t>General Guidelines</w:t>
      </w:r>
    </w:p>
    <w:p w14:paraId="437DE6C7" w14:textId="77777777" w:rsidR="00802E85" w:rsidRPr="00345AA4" w:rsidRDefault="00802E85" w:rsidP="001E38EC">
      <w:pPr>
        <w:pStyle w:val="ListParagraph"/>
        <w:ind w:left="1440" w:right="702" w:hanging="425"/>
        <w:contextualSpacing/>
        <w:jc w:val="both"/>
        <w:rPr>
          <w:rFonts w:ascii="Arial" w:hAnsi="Arial" w:cs="Arial"/>
          <w:bCs/>
          <w:color w:val="000000" w:themeColor="text1"/>
          <w:sz w:val="22"/>
          <w:szCs w:val="22"/>
          <w:lang w:eastAsia="en-PH"/>
        </w:rPr>
      </w:pPr>
    </w:p>
    <w:p w14:paraId="500B4213" w14:textId="77777777" w:rsidR="00802E85" w:rsidRPr="00345AA4" w:rsidRDefault="00802E85" w:rsidP="001E38EC">
      <w:pPr>
        <w:pStyle w:val="NoSpacing"/>
        <w:ind w:left="1440" w:right="702"/>
        <w:jc w:val="both"/>
        <w:rPr>
          <w:rFonts w:ascii="Arial" w:hAnsi="Arial" w:cs="Arial"/>
          <w:bCs/>
          <w:i/>
          <w:color w:val="000000" w:themeColor="text1"/>
        </w:rPr>
      </w:pPr>
      <w:r w:rsidRPr="00345AA4">
        <w:rPr>
          <w:rFonts w:ascii="Arial" w:hAnsi="Arial" w:cs="Arial"/>
          <w:bCs/>
          <w:i/>
          <w:color w:val="000000" w:themeColor="text1"/>
        </w:rPr>
        <w:t>The accountable officer shall liquidate cash advances within the following period:</w:t>
      </w:r>
    </w:p>
    <w:p w14:paraId="5AF2AE50" w14:textId="77777777" w:rsidR="00802E85" w:rsidRPr="00345AA4" w:rsidRDefault="00802E85" w:rsidP="001E38EC">
      <w:pPr>
        <w:pStyle w:val="ListParagraph"/>
        <w:ind w:left="1440" w:right="702" w:hanging="425"/>
        <w:contextualSpacing/>
        <w:jc w:val="both"/>
        <w:rPr>
          <w:rFonts w:ascii="Arial" w:hAnsi="Arial" w:cs="Arial"/>
          <w:bCs/>
          <w:i/>
          <w:color w:val="000000" w:themeColor="text1"/>
          <w:sz w:val="22"/>
          <w:szCs w:val="22"/>
          <w:lang w:eastAsia="en-PH"/>
        </w:rPr>
      </w:pPr>
    </w:p>
    <w:p w14:paraId="2B1623FB" w14:textId="77777777" w:rsidR="00802E85" w:rsidRPr="00345AA4" w:rsidRDefault="00802E85" w:rsidP="001E38EC">
      <w:pPr>
        <w:pStyle w:val="NoSpacing"/>
        <w:ind w:left="1440" w:right="702"/>
        <w:jc w:val="both"/>
        <w:rPr>
          <w:rFonts w:ascii="Arial" w:hAnsi="Arial" w:cs="Arial"/>
          <w:bCs/>
          <w:i/>
          <w:color w:val="000000" w:themeColor="text1"/>
        </w:rPr>
      </w:pPr>
      <w:r w:rsidRPr="00345AA4">
        <w:rPr>
          <w:rFonts w:ascii="Arial" w:hAnsi="Arial" w:cs="Arial"/>
          <w:bCs/>
          <w:i/>
          <w:color w:val="000000" w:themeColor="text1"/>
        </w:rPr>
        <w:t>Xxx</w:t>
      </w:r>
    </w:p>
    <w:p w14:paraId="0B6F23C3" w14:textId="77777777" w:rsidR="00802E85" w:rsidRPr="00345AA4" w:rsidRDefault="00802E85" w:rsidP="001E38EC">
      <w:pPr>
        <w:pStyle w:val="ListParagraph"/>
        <w:ind w:left="1440" w:right="702" w:hanging="425"/>
        <w:contextualSpacing/>
        <w:jc w:val="both"/>
        <w:rPr>
          <w:rFonts w:ascii="Arial" w:hAnsi="Arial" w:cs="Arial"/>
          <w:bCs/>
          <w:i/>
          <w:color w:val="000000" w:themeColor="text1"/>
          <w:sz w:val="22"/>
          <w:szCs w:val="22"/>
          <w:lang w:eastAsia="en-PH"/>
        </w:rPr>
      </w:pPr>
    </w:p>
    <w:p w14:paraId="41BB9F92" w14:textId="77777777" w:rsidR="00802E85" w:rsidRPr="00345AA4" w:rsidRDefault="00802E85" w:rsidP="001E38EC">
      <w:pPr>
        <w:pStyle w:val="NoSpacing"/>
        <w:ind w:left="1440" w:right="702"/>
        <w:jc w:val="both"/>
        <w:rPr>
          <w:rFonts w:ascii="Arial" w:hAnsi="Arial" w:cs="Arial"/>
          <w:bCs/>
          <w:i/>
          <w:color w:val="000000" w:themeColor="text1"/>
        </w:rPr>
      </w:pPr>
      <w:r w:rsidRPr="00345AA4">
        <w:rPr>
          <w:rFonts w:ascii="Arial" w:hAnsi="Arial" w:cs="Arial"/>
          <w:bCs/>
          <w:i/>
          <w:color w:val="000000" w:themeColor="text1"/>
        </w:rPr>
        <w:t xml:space="preserve">Traveling Expenses – </w:t>
      </w:r>
      <w:r w:rsidRPr="00345AA4">
        <w:rPr>
          <w:rFonts w:ascii="Arial" w:hAnsi="Arial" w:cs="Arial"/>
          <w:b/>
          <w:bCs/>
          <w:i/>
          <w:color w:val="000000" w:themeColor="text1"/>
        </w:rPr>
        <w:t>within 30 days after the return of the official/employee concerned to his official station for local travel</w:t>
      </w:r>
      <w:r w:rsidRPr="00345AA4">
        <w:rPr>
          <w:rFonts w:ascii="Arial" w:hAnsi="Arial" w:cs="Arial"/>
          <w:bCs/>
          <w:i/>
          <w:color w:val="000000" w:themeColor="text1"/>
        </w:rPr>
        <w:t xml:space="preserve"> and within 60 days after the return of the official/employee concerned to the Philippines in the case of foreign travel.  </w:t>
      </w:r>
      <w:r w:rsidRPr="00345AA4">
        <w:rPr>
          <w:rFonts w:ascii="Arial" w:hAnsi="Arial" w:cs="Arial"/>
          <w:bCs/>
          <w:iCs/>
          <w:color w:val="000000" w:themeColor="text1"/>
        </w:rPr>
        <w:t>(Emphasis supplied)</w:t>
      </w:r>
    </w:p>
    <w:p w14:paraId="55E57290" w14:textId="77777777" w:rsidR="00802E85" w:rsidRPr="00345AA4" w:rsidRDefault="00802E85" w:rsidP="00802E85">
      <w:pPr>
        <w:pStyle w:val="ListParagraph"/>
        <w:ind w:left="1276" w:right="702" w:hanging="425"/>
        <w:contextualSpacing/>
        <w:jc w:val="both"/>
        <w:rPr>
          <w:rFonts w:ascii="Arial" w:hAnsi="Arial" w:cs="Arial"/>
          <w:bCs/>
          <w:color w:val="000000" w:themeColor="text1"/>
          <w:sz w:val="22"/>
          <w:szCs w:val="22"/>
          <w:lang w:eastAsia="en-PH"/>
        </w:rPr>
      </w:pPr>
    </w:p>
    <w:p w14:paraId="5E68E5F0" w14:textId="79A6261B" w:rsidR="00802E85" w:rsidRPr="00345AA4" w:rsidRDefault="00802E85" w:rsidP="00802E85">
      <w:pPr>
        <w:pStyle w:val="ListParagraph"/>
        <w:numPr>
          <w:ilvl w:val="1"/>
          <w:numId w:val="1"/>
        </w:numPr>
        <w:tabs>
          <w:tab w:val="left" w:pos="990"/>
        </w:tabs>
        <w:ind w:left="900" w:hanging="540"/>
        <w:contextualSpacing/>
        <w:jc w:val="both"/>
        <w:rPr>
          <w:rFonts w:ascii="Arial" w:hAnsi="Arial" w:cs="Arial"/>
          <w:bCs/>
          <w:color w:val="000000" w:themeColor="text1"/>
          <w:sz w:val="22"/>
          <w:szCs w:val="22"/>
          <w:lang w:eastAsia="en-PH"/>
        </w:rPr>
      </w:pPr>
      <w:r w:rsidRPr="00345AA4">
        <w:rPr>
          <w:rFonts w:ascii="Arial" w:hAnsi="Arial" w:cs="Arial"/>
          <w:bCs/>
          <w:color w:val="000000" w:themeColor="text1"/>
          <w:sz w:val="22"/>
          <w:szCs w:val="22"/>
          <w:lang w:eastAsia="en-PH"/>
        </w:rPr>
        <w:lastRenderedPageBreak/>
        <w:t xml:space="preserve">Audit of liquidation of </w:t>
      </w:r>
      <w:r w:rsidR="007308AA" w:rsidRPr="00345AA4">
        <w:rPr>
          <w:rFonts w:ascii="Arial" w:hAnsi="Arial" w:cs="Arial"/>
          <w:bCs/>
          <w:color w:val="000000" w:themeColor="text1"/>
          <w:sz w:val="22"/>
          <w:szCs w:val="22"/>
          <w:lang w:eastAsia="en-PH"/>
        </w:rPr>
        <w:t>CA</w:t>
      </w:r>
      <w:r w:rsidRPr="00345AA4">
        <w:rPr>
          <w:rFonts w:ascii="Arial" w:hAnsi="Arial" w:cs="Arial"/>
          <w:bCs/>
          <w:color w:val="000000" w:themeColor="text1"/>
          <w:sz w:val="22"/>
          <w:szCs w:val="22"/>
          <w:lang w:eastAsia="en-PH"/>
        </w:rPr>
        <w:t xml:space="preserve"> pertinent to the official travel of one </w:t>
      </w:r>
      <w:r w:rsidR="00D35F82" w:rsidRPr="00345AA4">
        <w:rPr>
          <w:rFonts w:ascii="Arial" w:hAnsi="Arial" w:cs="Arial"/>
          <w:bCs/>
          <w:color w:val="000000" w:themeColor="text1"/>
          <w:sz w:val="22"/>
          <w:szCs w:val="22"/>
          <w:lang w:eastAsia="en-PH"/>
        </w:rPr>
        <w:t>Office of the General Corporate Counsel (</w:t>
      </w:r>
      <w:r w:rsidRPr="00345AA4">
        <w:rPr>
          <w:rFonts w:ascii="Arial" w:hAnsi="Arial" w:cs="Arial"/>
          <w:bCs/>
          <w:color w:val="000000" w:themeColor="text1"/>
          <w:sz w:val="22"/>
          <w:szCs w:val="22"/>
          <w:lang w:eastAsia="en-PH"/>
        </w:rPr>
        <w:t>OGCC</w:t>
      </w:r>
      <w:r w:rsidR="00D35F82" w:rsidRPr="00345AA4">
        <w:rPr>
          <w:rFonts w:ascii="Arial" w:hAnsi="Arial" w:cs="Arial"/>
          <w:bCs/>
          <w:color w:val="000000" w:themeColor="text1"/>
          <w:sz w:val="22"/>
          <w:szCs w:val="22"/>
          <w:lang w:eastAsia="en-PH"/>
        </w:rPr>
        <w:t>)</w:t>
      </w:r>
      <w:r w:rsidRPr="00345AA4">
        <w:rPr>
          <w:rFonts w:ascii="Arial" w:hAnsi="Arial" w:cs="Arial"/>
          <w:bCs/>
          <w:color w:val="000000" w:themeColor="text1"/>
          <w:sz w:val="22"/>
          <w:szCs w:val="22"/>
          <w:lang w:eastAsia="en-PH"/>
        </w:rPr>
        <w:t xml:space="preserve"> lawyer, who represented the System in a hearing conducted before the </w:t>
      </w:r>
      <w:r w:rsidR="00D35F82" w:rsidRPr="00345AA4">
        <w:rPr>
          <w:rFonts w:ascii="Arial" w:hAnsi="Arial" w:cs="Arial"/>
          <w:bCs/>
          <w:color w:val="000000" w:themeColor="text1"/>
          <w:sz w:val="22"/>
          <w:szCs w:val="22"/>
          <w:lang w:eastAsia="en-PH"/>
        </w:rPr>
        <w:t>Regional Trial Court (</w:t>
      </w:r>
      <w:r w:rsidRPr="00345AA4">
        <w:rPr>
          <w:rFonts w:ascii="Arial" w:hAnsi="Arial" w:cs="Arial"/>
          <w:bCs/>
          <w:color w:val="000000" w:themeColor="text1"/>
          <w:sz w:val="22"/>
          <w:szCs w:val="22"/>
          <w:lang w:eastAsia="en-PH"/>
        </w:rPr>
        <w:t>RTC</w:t>
      </w:r>
      <w:r w:rsidR="00D35F82" w:rsidRPr="00345AA4">
        <w:rPr>
          <w:rFonts w:ascii="Arial" w:hAnsi="Arial" w:cs="Arial"/>
          <w:bCs/>
          <w:color w:val="000000" w:themeColor="text1"/>
          <w:sz w:val="22"/>
          <w:szCs w:val="22"/>
          <w:lang w:eastAsia="en-PH"/>
        </w:rPr>
        <w:t>)</w:t>
      </w:r>
      <w:r w:rsidRPr="00345AA4">
        <w:rPr>
          <w:rFonts w:ascii="Arial" w:hAnsi="Arial" w:cs="Arial"/>
          <w:bCs/>
          <w:color w:val="000000" w:themeColor="text1"/>
          <w:sz w:val="22"/>
          <w:szCs w:val="22"/>
          <w:lang w:eastAsia="en-PH"/>
        </w:rPr>
        <w:t xml:space="preserve"> Branch 37 of General Santos City on August 15, 2019, disclosed that the cash advance was not liquidated within the prescribed period as follows:</w:t>
      </w:r>
    </w:p>
    <w:p w14:paraId="794A0A0A" w14:textId="77777777" w:rsidR="00802E85" w:rsidRPr="00345AA4" w:rsidRDefault="00802E85" w:rsidP="00802E85">
      <w:pPr>
        <w:pStyle w:val="ListParagraph"/>
        <w:ind w:left="0"/>
        <w:contextualSpacing/>
        <w:jc w:val="both"/>
        <w:rPr>
          <w:rFonts w:ascii="Arial" w:hAnsi="Arial" w:cs="Arial"/>
          <w:bCs/>
          <w:color w:val="000000" w:themeColor="text1"/>
          <w:sz w:val="22"/>
          <w:szCs w:val="22"/>
          <w:lang w:eastAsia="en-PH"/>
        </w:rPr>
      </w:pPr>
    </w:p>
    <w:tbl>
      <w:tblPr>
        <w:tblStyle w:val="TableGrid"/>
        <w:tblW w:w="774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620"/>
        <w:gridCol w:w="1620"/>
        <w:gridCol w:w="1350"/>
        <w:gridCol w:w="1530"/>
      </w:tblGrid>
      <w:tr w:rsidR="00345AA4" w:rsidRPr="00345AA4" w14:paraId="6E160ABB" w14:textId="77777777" w:rsidTr="00964281">
        <w:tc>
          <w:tcPr>
            <w:tcW w:w="1620" w:type="dxa"/>
            <w:tcBorders>
              <w:top w:val="single" w:sz="4" w:space="0" w:color="auto"/>
              <w:bottom w:val="single" w:sz="4" w:space="0" w:color="auto"/>
            </w:tcBorders>
          </w:tcPr>
          <w:p w14:paraId="28702A61" w14:textId="77777777" w:rsidR="00802E85" w:rsidRPr="00345AA4" w:rsidRDefault="00802E85" w:rsidP="00375E56">
            <w:pPr>
              <w:pStyle w:val="ListParagraph"/>
              <w:ind w:left="0"/>
              <w:contextualSpacing/>
              <w:jc w:val="center"/>
              <w:rPr>
                <w:rFonts w:ascii="Arial" w:hAnsi="Arial" w:cs="Arial"/>
                <w:b/>
                <w:bCs/>
                <w:color w:val="000000" w:themeColor="text1"/>
                <w:sz w:val="22"/>
                <w:szCs w:val="22"/>
              </w:rPr>
            </w:pPr>
            <w:r w:rsidRPr="00345AA4">
              <w:rPr>
                <w:rFonts w:ascii="Arial" w:hAnsi="Arial" w:cs="Arial"/>
                <w:b/>
                <w:bCs/>
                <w:color w:val="000000" w:themeColor="text1"/>
                <w:sz w:val="22"/>
                <w:szCs w:val="22"/>
              </w:rPr>
              <w:t>Period of actual travel</w:t>
            </w:r>
          </w:p>
        </w:tc>
        <w:tc>
          <w:tcPr>
            <w:tcW w:w="1620" w:type="dxa"/>
            <w:tcBorders>
              <w:top w:val="single" w:sz="4" w:space="0" w:color="auto"/>
              <w:bottom w:val="single" w:sz="4" w:space="0" w:color="auto"/>
            </w:tcBorders>
          </w:tcPr>
          <w:p w14:paraId="721691BE" w14:textId="77777777" w:rsidR="00802E85" w:rsidRPr="00345AA4" w:rsidRDefault="00802E85" w:rsidP="00375E56">
            <w:pPr>
              <w:pStyle w:val="ListParagraph"/>
              <w:ind w:left="0"/>
              <w:contextualSpacing/>
              <w:jc w:val="center"/>
              <w:rPr>
                <w:rFonts w:ascii="Arial" w:hAnsi="Arial" w:cs="Arial"/>
                <w:b/>
                <w:bCs/>
                <w:color w:val="000000" w:themeColor="text1"/>
                <w:sz w:val="22"/>
                <w:szCs w:val="22"/>
              </w:rPr>
            </w:pPr>
            <w:r w:rsidRPr="00345AA4">
              <w:rPr>
                <w:rFonts w:ascii="Arial" w:hAnsi="Arial" w:cs="Arial"/>
                <w:b/>
                <w:bCs/>
                <w:color w:val="000000" w:themeColor="text1"/>
                <w:sz w:val="22"/>
                <w:szCs w:val="22"/>
              </w:rPr>
              <w:t>Date check/cash advance was granted</w:t>
            </w:r>
          </w:p>
        </w:tc>
        <w:tc>
          <w:tcPr>
            <w:tcW w:w="1620" w:type="dxa"/>
            <w:tcBorders>
              <w:top w:val="single" w:sz="4" w:space="0" w:color="auto"/>
              <w:bottom w:val="single" w:sz="4" w:space="0" w:color="auto"/>
            </w:tcBorders>
          </w:tcPr>
          <w:p w14:paraId="66E2234D" w14:textId="77777777" w:rsidR="00802E85" w:rsidRPr="00345AA4" w:rsidRDefault="00802E85" w:rsidP="00375E56">
            <w:pPr>
              <w:pStyle w:val="ListParagraph"/>
              <w:ind w:left="0"/>
              <w:contextualSpacing/>
              <w:jc w:val="center"/>
              <w:rPr>
                <w:rFonts w:ascii="Arial" w:hAnsi="Arial" w:cs="Arial"/>
                <w:b/>
                <w:bCs/>
                <w:color w:val="000000" w:themeColor="text1"/>
                <w:sz w:val="22"/>
                <w:szCs w:val="22"/>
              </w:rPr>
            </w:pPr>
            <w:r w:rsidRPr="00345AA4">
              <w:rPr>
                <w:rFonts w:ascii="Arial" w:hAnsi="Arial" w:cs="Arial"/>
                <w:b/>
                <w:bCs/>
                <w:color w:val="000000" w:themeColor="text1"/>
                <w:sz w:val="22"/>
                <w:szCs w:val="22"/>
              </w:rPr>
              <w:t>Amount of cash advance granted</w:t>
            </w:r>
          </w:p>
        </w:tc>
        <w:tc>
          <w:tcPr>
            <w:tcW w:w="1350" w:type="dxa"/>
            <w:tcBorders>
              <w:top w:val="single" w:sz="4" w:space="0" w:color="auto"/>
              <w:bottom w:val="single" w:sz="4" w:space="0" w:color="auto"/>
            </w:tcBorders>
          </w:tcPr>
          <w:p w14:paraId="0C7135CA" w14:textId="77777777" w:rsidR="00802E85" w:rsidRPr="00345AA4" w:rsidRDefault="00802E85" w:rsidP="00375E56">
            <w:pPr>
              <w:pStyle w:val="ListParagraph"/>
              <w:ind w:left="0"/>
              <w:contextualSpacing/>
              <w:jc w:val="center"/>
              <w:rPr>
                <w:rFonts w:ascii="Arial" w:hAnsi="Arial" w:cs="Arial"/>
                <w:b/>
                <w:bCs/>
                <w:color w:val="000000" w:themeColor="text1"/>
                <w:sz w:val="22"/>
                <w:szCs w:val="22"/>
              </w:rPr>
            </w:pPr>
            <w:r w:rsidRPr="00345AA4">
              <w:rPr>
                <w:rFonts w:ascii="Arial" w:hAnsi="Arial" w:cs="Arial"/>
                <w:b/>
                <w:bCs/>
                <w:color w:val="000000" w:themeColor="text1"/>
                <w:sz w:val="22"/>
                <w:szCs w:val="22"/>
              </w:rPr>
              <w:t>Date due for liquidation</w:t>
            </w:r>
          </w:p>
        </w:tc>
        <w:tc>
          <w:tcPr>
            <w:tcW w:w="1530" w:type="dxa"/>
            <w:tcBorders>
              <w:top w:val="single" w:sz="4" w:space="0" w:color="auto"/>
              <w:bottom w:val="single" w:sz="4" w:space="0" w:color="auto"/>
            </w:tcBorders>
          </w:tcPr>
          <w:p w14:paraId="6E2940AD" w14:textId="77777777" w:rsidR="00802E85" w:rsidRPr="00345AA4" w:rsidRDefault="00802E85" w:rsidP="00375E56">
            <w:pPr>
              <w:pStyle w:val="ListParagraph"/>
              <w:ind w:left="0"/>
              <w:contextualSpacing/>
              <w:jc w:val="center"/>
              <w:rPr>
                <w:rFonts w:ascii="Arial" w:hAnsi="Arial" w:cs="Arial"/>
                <w:b/>
                <w:bCs/>
                <w:color w:val="000000" w:themeColor="text1"/>
                <w:sz w:val="22"/>
                <w:szCs w:val="22"/>
              </w:rPr>
            </w:pPr>
            <w:r w:rsidRPr="00345AA4">
              <w:rPr>
                <w:rFonts w:ascii="Arial" w:hAnsi="Arial" w:cs="Arial"/>
                <w:b/>
                <w:bCs/>
                <w:color w:val="000000" w:themeColor="text1"/>
                <w:sz w:val="22"/>
                <w:szCs w:val="22"/>
              </w:rPr>
              <w:t>Date liquidated/</w:t>
            </w:r>
          </w:p>
          <w:p w14:paraId="3FA312D3" w14:textId="77777777" w:rsidR="00802E85" w:rsidRPr="00345AA4" w:rsidRDefault="00964281" w:rsidP="00375E56">
            <w:pPr>
              <w:pStyle w:val="ListParagraph"/>
              <w:ind w:left="0"/>
              <w:contextualSpacing/>
              <w:jc w:val="center"/>
              <w:rPr>
                <w:rFonts w:ascii="Arial" w:hAnsi="Arial" w:cs="Arial"/>
                <w:b/>
                <w:bCs/>
                <w:color w:val="000000" w:themeColor="text1"/>
                <w:sz w:val="22"/>
                <w:szCs w:val="22"/>
              </w:rPr>
            </w:pPr>
            <w:r w:rsidRPr="00345AA4">
              <w:rPr>
                <w:rFonts w:ascii="Arial" w:hAnsi="Arial" w:cs="Arial"/>
                <w:b/>
                <w:bCs/>
                <w:color w:val="000000" w:themeColor="text1"/>
                <w:sz w:val="22"/>
                <w:szCs w:val="22"/>
              </w:rPr>
              <w:t>r</w:t>
            </w:r>
            <w:r w:rsidR="00802E85" w:rsidRPr="00345AA4">
              <w:rPr>
                <w:rFonts w:ascii="Arial" w:hAnsi="Arial" w:cs="Arial"/>
                <w:b/>
                <w:bCs/>
                <w:color w:val="000000" w:themeColor="text1"/>
                <w:sz w:val="22"/>
                <w:szCs w:val="22"/>
              </w:rPr>
              <w:t>efunded</w:t>
            </w:r>
          </w:p>
        </w:tc>
      </w:tr>
      <w:tr w:rsidR="00A85B97" w:rsidRPr="00345AA4" w14:paraId="6460378A" w14:textId="77777777" w:rsidTr="00964281">
        <w:tc>
          <w:tcPr>
            <w:tcW w:w="1620" w:type="dxa"/>
            <w:tcBorders>
              <w:top w:val="single" w:sz="4" w:space="0" w:color="auto"/>
            </w:tcBorders>
          </w:tcPr>
          <w:p w14:paraId="5EA69F38" w14:textId="77777777" w:rsidR="00802E85" w:rsidRPr="00345AA4" w:rsidRDefault="00802E85" w:rsidP="00375E56">
            <w:pPr>
              <w:pStyle w:val="ListParagraph"/>
              <w:ind w:left="0"/>
              <w:contextualSpacing/>
              <w:jc w:val="center"/>
              <w:rPr>
                <w:rFonts w:ascii="Arial" w:hAnsi="Arial" w:cs="Arial"/>
                <w:bCs/>
                <w:color w:val="000000" w:themeColor="text1"/>
                <w:sz w:val="22"/>
                <w:szCs w:val="22"/>
              </w:rPr>
            </w:pPr>
            <w:r w:rsidRPr="00345AA4">
              <w:rPr>
                <w:rFonts w:ascii="Arial" w:hAnsi="Arial" w:cs="Arial"/>
                <w:bCs/>
                <w:color w:val="000000" w:themeColor="text1"/>
                <w:sz w:val="22"/>
                <w:szCs w:val="22"/>
              </w:rPr>
              <w:t>Aug. 15-16, 2019</w:t>
            </w:r>
          </w:p>
        </w:tc>
        <w:tc>
          <w:tcPr>
            <w:tcW w:w="1620" w:type="dxa"/>
            <w:tcBorders>
              <w:top w:val="single" w:sz="4" w:space="0" w:color="auto"/>
            </w:tcBorders>
          </w:tcPr>
          <w:p w14:paraId="393707C7" w14:textId="6DAE87C5" w:rsidR="00802E85" w:rsidRPr="00345AA4" w:rsidRDefault="00424394" w:rsidP="00375E56">
            <w:pPr>
              <w:pStyle w:val="ListParagraph"/>
              <w:ind w:left="0"/>
              <w:contextualSpacing/>
              <w:jc w:val="center"/>
              <w:rPr>
                <w:rFonts w:ascii="Arial" w:hAnsi="Arial" w:cs="Arial"/>
                <w:bCs/>
                <w:color w:val="000000" w:themeColor="text1"/>
                <w:sz w:val="22"/>
                <w:szCs w:val="22"/>
              </w:rPr>
            </w:pPr>
            <w:r>
              <w:rPr>
                <w:rFonts w:ascii="Arial" w:hAnsi="Arial" w:cs="Arial"/>
                <w:bCs/>
                <w:color w:val="000000" w:themeColor="text1"/>
                <w:sz w:val="22"/>
                <w:szCs w:val="22"/>
              </w:rPr>
              <w:t>7/29/2019</w:t>
            </w:r>
          </w:p>
        </w:tc>
        <w:tc>
          <w:tcPr>
            <w:tcW w:w="1620" w:type="dxa"/>
            <w:tcBorders>
              <w:top w:val="single" w:sz="4" w:space="0" w:color="auto"/>
            </w:tcBorders>
          </w:tcPr>
          <w:p w14:paraId="0F322E5E" w14:textId="77777777" w:rsidR="00802E85" w:rsidRPr="00345AA4" w:rsidRDefault="00802E85" w:rsidP="00375E56">
            <w:pPr>
              <w:pStyle w:val="ListParagraph"/>
              <w:ind w:left="0"/>
              <w:contextualSpacing/>
              <w:jc w:val="center"/>
              <w:rPr>
                <w:rFonts w:ascii="Arial" w:hAnsi="Arial" w:cs="Arial"/>
                <w:bCs/>
                <w:color w:val="000000" w:themeColor="text1"/>
                <w:sz w:val="22"/>
                <w:szCs w:val="22"/>
              </w:rPr>
            </w:pPr>
            <w:r w:rsidRPr="00345AA4">
              <w:rPr>
                <w:rFonts w:ascii="Arial" w:hAnsi="Arial" w:cs="Arial"/>
                <w:bCs/>
                <w:color w:val="000000" w:themeColor="text1"/>
                <w:sz w:val="22"/>
                <w:szCs w:val="22"/>
              </w:rPr>
              <w:t>25,000</w:t>
            </w:r>
          </w:p>
        </w:tc>
        <w:tc>
          <w:tcPr>
            <w:tcW w:w="1350" w:type="dxa"/>
            <w:tcBorders>
              <w:top w:val="single" w:sz="4" w:space="0" w:color="auto"/>
            </w:tcBorders>
          </w:tcPr>
          <w:p w14:paraId="13299428" w14:textId="77777777" w:rsidR="00802E85" w:rsidRPr="00345AA4" w:rsidRDefault="00802E85" w:rsidP="00375E56">
            <w:pPr>
              <w:pStyle w:val="ListParagraph"/>
              <w:ind w:left="0"/>
              <w:contextualSpacing/>
              <w:jc w:val="center"/>
              <w:rPr>
                <w:rFonts w:ascii="Arial" w:hAnsi="Arial" w:cs="Arial"/>
                <w:bCs/>
                <w:color w:val="000000" w:themeColor="text1"/>
                <w:sz w:val="22"/>
                <w:szCs w:val="22"/>
              </w:rPr>
            </w:pPr>
            <w:r w:rsidRPr="00345AA4">
              <w:rPr>
                <w:rFonts w:ascii="Arial" w:hAnsi="Arial" w:cs="Arial"/>
                <w:bCs/>
                <w:color w:val="000000" w:themeColor="text1"/>
                <w:sz w:val="22"/>
                <w:szCs w:val="22"/>
              </w:rPr>
              <w:t>9/16/2019</w:t>
            </w:r>
          </w:p>
        </w:tc>
        <w:tc>
          <w:tcPr>
            <w:tcW w:w="1530" w:type="dxa"/>
            <w:tcBorders>
              <w:top w:val="single" w:sz="4" w:space="0" w:color="auto"/>
            </w:tcBorders>
          </w:tcPr>
          <w:p w14:paraId="3D258B5D" w14:textId="77777777" w:rsidR="00802E85" w:rsidRPr="00345AA4" w:rsidRDefault="00802E85" w:rsidP="00375E56">
            <w:pPr>
              <w:pStyle w:val="ListParagraph"/>
              <w:ind w:left="0"/>
              <w:contextualSpacing/>
              <w:jc w:val="center"/>
              <w:rPr>
                <w:rFonts w:ascii="Arial" w:hAnsi="Arial" w:cs="Arial"/>
                <w:bCs/>
                <w:color w:val="000000" w:themeColor="text1"/>
                <w:sz w:val="22"/>
                <w:szCs w:val="22"/>
              </w:rPr>
            </w:pPr>
            <w:r w:rsidRPr="00345AA4">
              <w:rPr>
                <w:rFonts w:ascii="Arial" w:hAnsi="Arial" w:cs="Arial"/>
                <w:bCs/>
                <w:color w:val="000000" w:themeColor="text1"/>
                <w:sz w:val="22"/>
                <w:szCs w:val="22"/>
              </w:rPr>
              <w:t>10/7/2019</w:t>
            </w:r>
          </w:p>
        </w:tc>
      </w:tr>
    </w:tbl>
    <w:p w14:paraId="5A3F9148" w14:textId="77777777" w:rsidR="00802E85" w:rsidRPr="00345AA4" w:rsidRDefault="00802E85" w:rsidP="00802E85">
      <w:pPr>
        <w:pStyle w:val="ListParagraph"/>
        <w:ind w:left="0"/>
        <w:contextualSpacing/>
        <w:jc w:val="both"/>
        <w:rPr>
          <w:rFonts w:ascii="Arial" w:hAnsi="Arial" w:cs="Arial"/>
          <w:bCs/>
          <w:color w:val="000000" w:themeColor="text1"/>
          <w:sz w:val="22"/>
          <w:szCs w:val="22"/>
          <w:lang w:eastAsia="en-PH"/>
        </w:rPr>
      </w:pPr>
    </w:p>
    <w:p w14:paraId="53B5636D" w14:textId="7CF35494" w:rsidR="00802E85" w:rsidRPr="00345AA4" w:rsidRDefault="00802E85" w:rsidP="00802E85">
      <w:pPr>
        <w:pStyle w:val="ListParagraph"/>
        <w:numPr>
          <w:ilvl w:val="1"/>
          <w:numId w:val="1"/>
        </w:numPr>
        <w:tabs>
          <w:tab w:val="left" w:pos="990"/>
        </w:tabs>
        <w:ind w:left="900" w:hanging="540"/>
        <w:contextualSpacing/>
        <w:jc w:val="both"/>
        <w:rPr>
          <w:rFonts w:ascii="Arial" w:hAnsi="Arial" w:cs="Arial"/>
          <w:bCs/>
          <w:color w:val="000000" w:themeColor="text1"/>
          <w:sz w:val="22"/>
          <w:szCs w:val="22"/>
          <w:lang w:eastAsia="en-PH"/>
        </w:rPr>
      </w:pPr>
      <w:r w:rsidRPr="00345AA4">
        <w:rPr>
          <w:rFonts w:ascii="Arial" w:hAnsi="Arial" w:cs="Arial"/>
          <w:bCs/>
          <w:color w:val="000000" w:themeColor="text1"/>
          <w:sz w:val="22"/>
          <w:szCs w:val="22"/>
          <w:lang w:eastAsia="en-PH"/>
        </w:rPr>
        <w:t xml:space="preserve">As shown in the above table, it was noted that </w:t>
      </w:r>
      <w:r w:rsidR="007308AA" w:rsidRPr="00345AA4">
        <w:rPr>
          <w:rFonts w:ascii="Arial" w:hAnsi="Arial" w:cs="Arial"/>
          <w:bCs/>
          <w:color w:val="000000" w:themeColor="text1"/>
          <w:sz w:val="22"/>
          <w:szCs w:val="22"/>
          <w:lang w:eastAsia="en-PH"/>
        </w:rPr>
        <w:t>the CA</w:t>
      </w:r>
      <w:r w:rsidRPr="00345AA4">
        <w:rPr>
          <w:rFonts w:ascii="Arial" w:hAnsi="Arial" w:cs="Arial"/>
          <w:bCs/>
          <w:color w:val="000000" w:themeColor="text1"/>
          <w:sz w:val="22"/>
          <w:szCs w:val="22"/>
          <w:lang w:eastAsia="en-PH"/>
        </w:rPr>
        <w:t xml:space="preserve"> </w:t>
      </w:r>
      <w:r w:rsidR="00903A5E" w:rsidRPr="00345AA4">
        <w:rPr>
          <w:rFonts w:ascii="Arial" w:hAnsi="Arial" w:cs="Arial"/>
          <w:bCs/>
          <w:color w:val="000000" w:themeColor="text1"/>
          <w:sz w:val="22"/>
          <w:szCs w:val="22"/>
          <w:lang w:eastAsia="en-PH"/>
        </w:rPr>
        <w:t>was liquidated beyond the 30-day</w:t>
      </w:r>
      <w:r w:rsidRPr="00345AA4">
        <w:rPr>
          <w:rFonts w:ascii="Arial" w:hAnsi="Arial" w:cs="Arial"/>
          <w:bCs/>
          <w:color w:val="000000" w:themeColor="text1"/>
          <w:sz w:val="22"/>
          <w:szCs w:val="22"/>
          <w:lang w:eastAsia="en-PH"/>
        </w:rPr>
        <w:t xml:space="preserve"> period after return to permanent official station or completion of the local travel</w:t>
      </w:r>
      <w:r w:rsidR="007308AA" w:rsidRPr="00345AA4">
        <w:rPr>
          <w:rFonts w:ascii="Arial" w:hAnsi="Arial" w:cs="Arial"/>
          <w:bCs/>
          <w:color w:val="000000" w:themeColor="text1"/>
          <w:sz w:val="22"/>
          <w:szCs w:val="22"/>
          <w:lang w:eastAsia="en-PH"/>
        </w:rPr>
        <w:t>,</w:t>
      </w:r>
      <w:r w:rsidRPr="00345AA4">
        <w:rPr>
          <w:rFonts w:ascii="Arial" w:hAnsi="Arial" w:cs="Arial"/>
          <w:bCs/>
          <w:color w:val="000000" w:themeColor="text1"/>
          <w:sz w:val="22"/>
          <w:szCs w:val="22"/>
          <w:lang w:eastAsia="en-PH"/>
        </w:rPr>
        <w:t xml:space="preserve"> contrary to the above-cited regulations.</w:t>
      </w:r>
    </w:p>
    <w:p w14:paraId="70B4387E" w14:textId="77777777" w:rsidR="00802E85" w:rsidRPr="00345AA4" w:rsidRDefault="00802E85" w:rsidP="00802E85">
      <w:pPr>
        <w:pStyle w:val="NoSpacing"/>
        <w:jc w:val="both"/>
        <w:rPr>
          <w:rFonts w:ascii="Arial" w:hAnsi="Arial" w:cs="Arial"/>
          <w:b/>
          <w:color w:val="000000" w:themeColor="text1"/>
        </w:rPr>
      </w:pPr>
    </w:p>
    <w:p w14:paraId="4CE82931" w14:textId="1E00AD53" w:rsidR="00802E85" w:rsidRPr="00345AA4" w:rsidRDefault="00802E85" w:rsidP="00802E85">
      <w:pPr>
        <w:pStyle w:val="NoSpacing"/>
        <w:numPr>
          <w:ilvl w:val="0"/>
          <w:numId w:val="12"/>
        </w:numPr>
        <w:ind w:left="426" w:hanging="426"/>
        <w:jc w:val="both"/>
        <w:rPr>
          <w:rFonts w:ascii="Arial" w:hAnsi="Arial" w:cs="Arial"/>
          <w:b/>
          <w:bCs/>
          <w:color w:val="000000" w:themeColor="text1"/>
        </w:rPr>
      </w:pPr>
      <w:r w:rsidRPr="00345AA4">
        <w:rPr>
          <w:rFonts w:ascii="Arial" w:hAnsi="Arial" w:cs="Arial"/>
          <w:b/>
          <w:bCs/>
          <w:i/>
          <w:color w:val="000000" w:themeColor="text1"/>
        </w:rPr>
        <w:t xml:space="preserve">Liquidation of </w:t>
      </w:r>
      <w:r w:rsidR="007308AA" w:rsidRPr="00345AA4">
        <w:rPr>
          <w:rFonts w:ascii="Arial" w:hAnsi="Arial" w:cs="Arial"/>
          <w:b/>
          <w:bCs/>
          <w:i/>
          <w:color w:val="000000" w:themeColor="text1"/>
        </w:rPr>
        <w:t>CA</w:t>
      </w:r>
      <w:r w:rsidRPr="00345AA4">
        <w:rPr>
          <w:rFonts w:ascii="Arial" w:hAnsi="Arial" w:cs="Arial"/>
          <w:b/>
          <w:bCs/>
          <w:i/>
          <w:color w:val="000000" w:themeColor="text1"/>
        </w:rPr>
        <w:t xml:space="preserve"> were not supported with proper documentation</w:t>
      </w:r>
    </w:p>
    <w:p w14:paraId="01811A8A" w14:textId="77777777" w:rsidR="00802E85" w:rsidRPr="00345AA4" w:rsidRDefault="00802E85" w:rsidP="00802E85">
      <w:pPr>
        <w:pStyle w:val="ListParagraph"/>
        <w:ind w:left="0"/>
        <w:contextualSpacing/>
        <w:jc w:val="both"/>
        <w:rPr>
          <w:rFonts w:ascii="Arial" w:hAnsi="Arial" w:cs="Arial"/>
          <w:b/>
          <w:bCs/>
          <w:color w:val="000000" w:themeColor="text1"/>
          <w:sz w:val="22"/>
          <w:szCs w:val="22"/>
          <w:lang w:eastAsia="en-PH"/>
        </w:rPr>
      </w:pPr>
    </w:p>
    <w:p w14:paraId="50E3DC86" w14:textId="67722C3B" w:rsidR="00802E85" w:rsidRPr="00345AA4" w:rsidRDefault="00802E85" w:rsidP="00802E85">
      <w:pPr>
        <w:pStyle w:val="ListParagraph"/>
        <w:numPr>
          <w:ilvl w:val="1"/>
          <w:numId w:val="1"/>
        </w:numPr>
        <w:tabs>
          <w:tab w:val="left" w:pos="990"/>
        </w:tabs>
        <w:ind w:left="900" w:hanging="540"/>
        <w:contextualSpacing/>
        <w:jc w:val="both"/>
        <w:rPr>
          <w:rFonts w:ascii="Arial" w:hAnsi="Arial" w:cs="Arial"/>
          <w:bCs/>
          <w:color w:val="000000" w:themeColor="text1"/>
          <w:sz w:val="22"/>
          <w:szCs w:val="22"/>
          <w:lang w:eastAsia="en-PH"/>
        </w:rPr>
      </w:pPr>
      <w:r w:rsidRPr="00345AA4">
        <w:rPr>
          <w:rFonts w:ascii="Arial" w:hAnsi="Arial" w:cs="Arial"/>
          <w:bCs/>
          <w:color w:val="000000" w:themeColor="text1"/>
          <w:sz w:val="22"/>
          <w:szCs w:val="22"/>
          <w:lang w:eastAsia="en-PH"/>
        </w:rPr>
        <w:t xml:space="preserve">Sections 1.1.4.1 and 1.2.4.1 of COA Circular </w:t>
      </w:r>
      <w:r w:rsidR="00901A76" w:rsidRPr="00345AA4">
        <w:rPr>
          <w:rFonts w:ascii="Arial" w:hAnsi="Arial" w:cs="Arial"/>
          <w:bCs/>
          <w:color w:val="000000" w:themeColor="text1"/>
          <w:sz w:val="22"/>
          <w:szCs w:val="22"/>
          <w:lang w:eastAsia="en-PH"/>
        </w:rPr>
        <w:t xml:space="preserve">No. </w:t>
      </w:r>
      <w:r w:rsidRPr="00345AA4">
        <w:rPr>
          <w:rFonts w:ascii="Arial" w:hAnsi="Arial" w:cs="Arial"/>
          <w:bCs/>
          <w:color w:val="000000" w:themeColor="text1"/>
          <w:sz w:val="22"/>
          <w:szCs w:val="22"/>
          <w:lang w:eastAsia="en-PH"/>
        </w:rPr>
        <w:t>2012-001 provide:</w:t>
      </w:r>
    </w:p>
    <w:p w14:paraId="508FE9F4" w14:textId="77777777" w:rsidR="00802E85" w:rsidRPr="00345AA4" w:rsidRDefault="00802E85" w:rsidP="00802E85">
      <w:pPr>
        <w:pStyle w:val="ListParagraph"/>
        <w:ind w:left="0"/>
        <w:contextualSpacing/>
        <w:jc w:val="both"/>
        <w:rPr>
          <w:rFonts w:ascii="Arial" w:hAnsi="Arial" w:cs="Arial"/>
          <w:bCs/>
          <w:color w:val="000000" w:themeColor="text1"/>
          <w:sz w:val="22"/>
          <w:szCs w:val="22"/>
          <w:lang w:eastAsia="en-PH"/>
        </w:rPr>
      </w:pPr>
    </w:p>
    <w:p w14:paraId="3C0F22D0" w14:textId="77777777" w:rsidR="00802E85" w:rsidRPr="00345AA4" w:rsidRDefault="00802E85" w:rsidP="001E38EC">
      <w:pPr>
        <w:pStyle w:val="ListParagraph"/>
        <w:ind w:left="1440"/>
        <w:contextualSpacing/>
        <w:jc w:val="both"/>
        <w:rPr>
          <w:rFonts w:ascii="Arial" w:hAnsi="Arial" w:cs="Arial"/>
          <w:b/>
          <w:bCs/>
          <w:i/>
          <w:color w:val="000000" w:themeColor="text1"/>
          <w:sz w:val="22"/>
          <w:szCs w:val="22"/>
          <w:lang w:eastAsia="en-PH"/>
        </w:rPr>
      </w:pPr>
      <w:r w:rsidRPr="00345AA4">
        <w:rPr>
          <w:rFonts w:ascii="Arial" w:hAnsi="Arial" w:cs="Arial"/>
          <w:bCs/>
          <w:i/>
          <w:color w:val="000000" w:themeColor="text1"/>
          <w:sz w:val="22"/>
          <w:szCs w:val="22"/>
          <w:lang w:eastAsia="en-PH"/>
        </w:rPr>
        <w:t xml:space="preserve">1.1 </w:t>
      </w:r>
      <w:r w:rsidRPr="00345AA4">
        <w:rPr>
          <w:rFonts w:ascii="Arial" w:hAnsi="Arial" w:cs="Arial"/>
          <w:b/>
          <w:bCs/>
          <w:i/>
          <w:color w:val="000000" w:themeColor="text1"/>
          <w:sz w:val="22"/>
          <w:szCs w:val="22"/>
          <w:lang w:eastAsia="en-PH"/>
        </w:rPr>
        <w:t>Granting of Cash Advance</w:t>
      </w:r>
    </w:p>
    <w:p w14:paraId="2BB751FE" w14:textId="77777777" w:rsidR="00802E85" w:rsidRPr="00345AA4" w:rsidRDefault="00802E85" w:rsidP="00802E85">
      <w:pPr>
        <w:pStyle w:val="ListParagraph"/>
        <w:contextualSpacing/>
        <w:jc w:val="both"/>
        <w:rPr>
          <w:rFonts w:ascii="Arial" w:hAnsi="Arial" w:cs="Arial"/>
          <w:bCs/>
          <w:i/>
          <w:color w:val="000000" w:themeColor="text1"/>
          <w:sz w:val="22"/>
          <w:szCs w:val="22"/>
          <w:lang w:eastAsia="en-PH"/>
        </w:rPr>
      </w:pPr>
    </w:p>
    <w:p w14:paraId="32D13B3E" w14:textId="77777777" w:rsidR="00802E85" w:rsidRPr="00345AA4" w:rsidRDefault="00802E85" w:rsidP="001E38EC">
      <w:pPr>
        <w:pStyle w:val="NoSpacing"/>
        <w:ind w:left="1890" w:right="702"/>
        <w:jc w:val="both"/>
        <w:rPr>
          <w:rFonts w:ascii="Arial" w:hAnsi="Arial" w:cs="Arial"/>
          <w:bCs/>
          <w:i/>
          <w:color w:val="000000" w:themeColor="text1"/>
        </w:rPr>
      </w:pPr>
      <w:r w:rsidRPr="00345AA4">
        <w:rPr>
          <w:rFonts w:ascii="Arial" w:hAnsi="Arial" w:cs="Arial"/>
          <w:bCs/>
          <w:i/>
          <w:color w:val="000000" w:themeColor="text1"/>
        </w:rPr>
        <w:t>Xxx</w:t>
      </w:r>
    </w:p>
    <w:p w14:paraId="1FDA7552" w14:textId="77777777" w:rsidR="00802E85" w:rsidRPr="00345AA4" w:rsidRDefault="00802E85" w:rsidP="001E38EC">
      <w:pPr>
        <w:pStyle w:val="ListParagraph"/>
        <w:ind w:left="1350"/>
        <w:contextualSpacing/>
        <w:jc w:val="both"/>
        <w:rPr>
          <w:rFonts w:ascii="Arial" w:hAnsi="Arial" w:cs="Arial"/>
          <w:bCs/>
          <w:i/>
          <w:color w:val="000000" w:themeColor="text1"/>
          <w:sz w:val="22"/>
          <w:szCs w:val="22"/>
          <w:lang w:eastAsia="en-PH"/>
        </w:rPr>
      </w:pPr>
    </w:p>
    <w:p w14:paraId="1AD37C52" w14:textId="77777777" w:rsidR="00802E85" w:rsidRPr="00345AA4" w:rsidRDefault="00802E85" w:rsidP="001E38EC">
      <w:pPr>
        <w:ind w:left="1800"/>
        <w:contextualSpacing/>
        <w:jc w:val="both"/>
        <w:rPr>
          <w:rFonts w:ascii="Arial" w:hAnsi="Arial" w:cs="Arial"/>
          <w:b/>
          <w:bCs/>
          <w:i/>
          <w:color w:val="000000" w:themeColor="text1"/>
          <w:lang w:eastAsia="en-PH"/>
        </w:rPr>
      </w:pPr>
      <w:r w:rsidRPr="00345AA4">
        <w:rPr>
          <w:rFonts w:ascii="Arial" w:hAnsi="Arial" w:cs="Arial"/>
          <w:bCs/>
          <w:i/>
          <w:color w:val="000000" w:themeColor="text1"/>
          <w:lang w:eastAsia="en-PH"/>
        </w:rPr>
        <w:t xml:space="preserve">1.1.4.1 </w:t>
      </w:r>
      <w:r w:rsidRPr="00345AA4">
        <w:rPr>
          <w:rFonts w:ascii="Arial" w:hAnsi="Arial" w:cs="Arial"/>
          <w:b/>
          <w:bCs/>
          <w:i/>
          <w:color w:val="000000" w:themeColor="text1"/>
          <w:lang w:eastAsia="en-PH"/>
        </w:rPr>
        <w:t>Local Travel</w:t>
      </w:r>
    </w:p>
    <w:p w14:paraId="3E550BBD" w14:textId="77777777" w:rsidR="001E38EC" w:rsidRPr="00345AA4" w:rsidRDefault="001E38EC" w:rsidP="001E38EC">
      <w:pPr>
        <w:contextualSpacing/>
        <w:jc w:val="both"/>
        <w:rPr>
          <w:rFonts w:ascii="Arial" w:hAnsi="Arial" w:cs="Arial"/>
          <w:bCs/>
          <w:i/>
          <w:color w:val="000000" w:themeColor="text1"/>
          <w:u w:val="single"/>
          <w:lang w:eastAsia="en-PH"/>
        </w:rPr>
      </w:pPr>
    </w:p>
    <w:p w14:paraId="5FB0231B" w14:textId="77777777" w:rsidR="00802E85" w:rsidRPr="00345AA4" w:rsidRDefault="00802E85" w:rsidP="00A42CC1">
      <w:pPr>
        <w:ind w:left="1890"/>
        <w:contextualSpacing/>
        <w:jc w:val="both"/>
        <w:rPr>
          <w:rFonts w:ascii="Arial" w:hAnsi="Arial" w:cs="Arial"/>
          <w:bCs/>
          <w:i/>
          <w:color w:val="000000" w:themeColor="text1"/>
          <w:lang w:eastAsia="en-PH"/>
        </w:rPr>
      </w:pPr>
      <w:r w:rsidRPr="00345AA4">
        <w:rPr>
          <w:rFonts w:ascii="Arial" w:hAnsi="Arial" w:cs="Arial"/>
          <w:bCs/>
          <w:i/>
          <w:color w:val="000000" w:themeColor="text1"/>
          <w:u w:val="single"/>
          <w:lang w:eastAsia="en-PH"/>
        </w:rPr>
        <w:t>Documentary Requirements</w:t>
      </w:r>
    </w:p>
    <w:p w14:paraId="033FADA9" w14:textId="77777777" w:rsidR="00802E85" w:rsidRPr="00345AA4" w:rsidRDefault="00802E85" w:rsidP="00543E78">
      <w:pPr>
        <w:pStyle w:val="ListParagraph"/>
        <w:numPr>
          <w:ilvl w:val="0"/>
          <w:numId w:val="15"/>
        </w:numPr>
        <w:ind w:left="2160" w:right="720"/>
        <w:contextualSpacing/>
        <w:jc w:val="both"/>
        <w:rPr>
          <w:rFonts w:ascii="Arial" w:hAnsi="Arial" w:cs="Arial"/>
          <w:bCs/>
          <w:i/>
          <w:color w:val="000000" w:themeColor="text1"/>
          <w:sz w:val="22"/>
          <w:szCs w:val="22"/>
          <w:lang w:eastAsia="en-PH"/>
        </w:rPr>
      </w:pPr>
      <w:r w:rsidRPr="00345AA4">
        <w:rPr>
          <w:rFonts w:ascii="Arial" w:hAnsi="Arial" w:cs="Arial"/>
          <w:bCs/>
          <w:i/>
          <w:color w:val="000000" w:themeColor="text1"/>
          <w:sz w:val="22"/>
          <w:szCs w:val="22"/>
          <w:lang w:eastAsia="en-PH"/>
        </w:rPr>
        <w:t>Office Order/Travel Order approved in accordance with Section 3 of EO No. 298</w:t>
      </w:r>
    </w:p>
    <w:p w14:paraId="3CF5E09F" w14:textId="77777777" w:rsidR="00802E85" w:rsidRPr="00345AA4" w:rsidRDefault="00802E85" w:rsidP="001E38EC">
      <w:pPr>
        <w:pStyle w:val="ListParagraph"/>
        <w:numPr>
          <w:ilvl w:val="0"/>
          <w:numId w:val="15"/>
        </w:numPr>
        <w:ind w:left="2160" w:right="639"/>
        <w:contextualSpacing/>
        <w:jc w:val="both"/>
        <w:rPr>
          <w:rFonts w:ascii="Arial" w:hAnsi="Arial" w:cs="Arial"/>
          <w:bCs/>
          <w:i/>
          <w:color w:val="000000" w:themeColor="text1"/>
          <w:sz w:val="22"/>
          <w:szCs w:val="22"/>
          <w:lang w:eastAsia="en-PH"/>
        </w:rPr>
      </w:pPr>
      <w:r w:rsidRPr="00345AA4">
        <w:rPr>
          <w:rFonts w:ascii="Arial" w:hAnsi="Arial" w:cs="Arial"/>
          <w:bCs/>
          <w:i/>
          <w:color w:val="000000" w:themeColor="text1"/>
          <w:sz w:val="22"/>
          <w:szCs w:val="22"/>
          <w:lang w:eastAsia="en-PH"/>
        </w:rPr>
        <w:t>Duly approved itinerary of travel</w:t>
      </w:r>
    </w:p>
    <w:p w14:paraId="3FB6FE65" w14:textId="77777777" w:rsidR="00802E85" w:rsidRPr="00345AA4" w:rsidRDefault="00802E85" w:rsidP="00543E78">
      <w:pPr>
        <w:pStyle w:val="ListParagraph"/>
        <w:numPr>
          <w:ilvl w:val="0"/>
          <w:numId w:val="15"/>
        </w:numPr>
        <w:ind w:left="2160" w:right="720"/>
        <w:contextualSpacing/>
        <w:jc w:val="both"/>
        <w:rPr>
          <w:rFonts w:ascii="Arial" w:hAnsi="Arial" w:cs="Arial"/>
          <w:bCs/>
          <w:i/>
          <w:color w:val="000000" w:themeColor="text1"/>
          <w:sz w:val="22"/>
          <w:szCs w:val="22"/>
          <w:lang w:eastAsia="en-PH"/>
        </w:rPr>
      </w:pPr>
      <w:r w:rsidRPr="00345AA4">
        <w:rPr>
          <w:rFonts w:ascii="Arial" w:hAnsi="Arial" w:cs="Arial"/>
          <w:bCs/>
          <w:i/>
          <w:color w:val="000000" w:themeColor="text1"/>
          <w:sz w:val="22"/>
          <w:szCs w:val="22"/>
          <w:lang w:eastAsia="en-PH"/>
        </w:rPr>
        <w:t>Certification from the accountant that the previous cash advance has been liquidated and accounted for in the books.  Xxx</w:t>
      </w:r>
    </w:p>
    <w:p w14:paraId="6A4A2FDF" w14:textId="77777777" w:rsidR="00802E85" w:rsidRPr="00345AA4" w:rsidRDefault="00802E85" w:rsidP="00802E85">
      <w:pPr>
        <w:spacing w:after="0" w:line="240" w:lineRule="auto"/>
        <w:contextualSpacing/>
        <w:jc w:val="both"/>
        <w:rPr>
          <w:rFonts w:ascii="Arial" w:hAnsi="Arial" w:cs="Arial"/>
          <w:bCs/>
          <w:i/>
          <w:color w:val="000000" w:themeColor="text1"/>
          <w:lang w:eastAsia="en-PH"/>
        </w:rPr>
      </w:pPr>
    </w:p>
    <w:p w14:paraId="3B1B6D48" w14:textId="77777777" w:rsidR="00802E85" w:rsidRPr="00345AA4" w:rsidRDefault="00802E85" w:rsidP="001E38EC">
      <w:pPr>
        <w:pStyle w:val="ListParagraph"/>
        <w:ind w:left="1440"/>
        <w:contextualSpacing/>
        <w:jc w:val="both"/>
        <w:rPr>
          <w:rFonts w:ascii="Arial" w:hAnsi="Arial" w:cs="Arial"/>
          <w:b/>
          <w:bCs/>
          <w:i/>
          <w:color w:val="000000" w:themeColor="text1"/>
          <w:lang w:eastAsia="en-PH"/>
        </w:rPr>
      </w:pPr>
      <w:r w:rsidRPr="00345AA4">
        <w:rPr>
          <w:rFonts w:ascii="Arial" w:hAnsi="Arial" w:cs="Arial"/>
          <w:bCs/>
          <w:i/>
          <w:color w:val="000000" w:themeColor="text1"/>
          <w:lang w:eastAsia="en-PH"/>
        </w:rPr>
        <w:t>1.2</w:t>
      </w:r>
      <w:r w:rsidRPr="00345AA4">
        <w:rPr>
          <w:rFonts w:ascii="Arial" w:hAnsi="Arial" w:cs="Arial"/>
          <w:b/>
          <w:bCs/>
          <w:i/>
          <w:color w:val="000000" w:themeColor="text1"/>
          <w:lang w:eastAsia="en-PH"/>
        </w:rPr>
        <w:t xml:space="preserve"> </w:t>
      </w:r>
      <w:r w:rsidRPr="00345AA4">
        <w:rPr>
          <w:rFonts w:ascii="Arial" w:hAnsi="Arial" w:cs="Arial"/>
          <w:b/>
          <w:bCs/>
          <w:i/>
          <w:color w:val="000000" w:themeColor="text1"/>
          <w:sz w:val="22"/>
          <w:szCs w:val="22"/>
          <w:lang w:eastAsia="en-PH"/>
        </w:rPr>
        <w:t>Liquidation</w:t>
      </w:r>
      <w:r w:rsidRPr="00345AA4">
        <w:rPr>
          <w:rFonts w:ascii="Arial" w:hAnsi="Arial" w:cs="Arial"/>
          <w:b/>
          <w:bCs/>
          <w:i/>
          <w:color w:val="000000" w:themeColor="text1"/>
          <w:lang w:eastAsia="en-PH"/>
        </w:rPr>
        <w:t xml:space="preserve"> of Cash Advances</w:t>
      </w:r>
    </w:p>
    <w:p w14:paraId="263C32E2" w14:textId="77777777" w:rsidR="00802E85" w:rsidRPr="00345AA4" w:rsidRDefault="00802E85" w:rsidP="00802E85">
      <w:pPr>
        <w:spacing w:after="0" w:line="240" w:lineRule="auto"/>
        <w:ind w:left="720"/>
        <w:contextualSpacing/>
        <w:jc w:val="both"/>
        <w:rPr>
          <w:rFonts w:ascii="Arial" w:hAnsi="Arial" w:cs="Arial"/>
          <w:bCs/>
          <w:i/>
          <w:color w:val="000000" w:themeColor="text1"/>
          <w:lang w:eastAsia="en-PH"/>
        </w:rPr>
      </w:pPr>
    </w:p>
    <w:p w14:paraId="6E78C5C4" w14:textId="77777777" w:rsidR="00802E85" w:rsidRPr="00345AA4" w:rsidRDefault="00802E85" w:rsidP="001E38EC">
      <w:pPr>
        <w:spacing w:after="0" w:line="240" w:lineRule="auto"/>
        <w:ind w:left="1800"/>
        <w:contextualSpacing/>
        <w:jc w:val="both"/>
        <w:rPr>
          <w:rFonts w:ascii="Arial" w:hAnsi="Arial" w:cs="Arial"/>
          <w:bCs/>
          <w:i/>
          <w:color w:val="000000" w:themeColor="text1"/>
          <w:lang w:eastAsia="en-PH"/>
        </w:rPr>
      </w:pPr>
      <w:r w:rsidRPr="00345AA4">
        <w:rPr>
          <w:rFonts w:ascii="Arial" w:hAnsi="Arial" w:cs="Arial"/>
          <w:bCs/>
          <w:i/>
          <w:color w:val="000000" w:themeColor="text1"/>
          <w:lang w:eastAsia="en-PH"/>
        </w:rPr>
        <w:t>Xxx</w:t>
      </w:r>
    </w:p>
    <w:p w14:paraId="2A47DCDA" w14:textId="77777777" w:rsidR="001E38EC" w:rsidRPr="00345AA4" w:rsidRDefault="001E38EC" w:rsidP="001E38EC">
      <w:pPr>
        <w:spacing w:after="0" w:line="240" w:lineRule="auto"/>
        <w:contextualSpacing/>
        <w:jc w:val="both"/>
        <w:rPr>
          <w:rFonts w:ascii="Arial" w:hAnsi="Arial" w:cs="Arial"/>
          <w:bCs/>
          <w:i/>
          <w:color w:val="000000" w:themeColor="text1"/>
          <w:lang w:eastAsia="en-PH"/>
        </w:rPr>
      </w:pPr>
    </w:p>
    <w:p w14:paraId="21F0595C" w14:textId="77777777" w:rsidR="00802E85" w:rsidRPr="00345AA4" w:rsidRDefault="00802E85" w:rsidP="001E38EC">
      <w:pPr>
        <w:spacing w:after="0" w:line="240" w:lineRule="auto"/>
        <w:ind w:left="1800"/>
        <w:contextualSpacing/>
        <w:jc w:val="both"/>
        <w:rPr>
          <w:rFonts w:ascii="Arial" w:hAnsi="Arial" w:cs="Arial"/>
          <w:b/>
          <w:bCs/>
          <w:i/>
          <w:color w:val="000000" w:themeColor="text1"/>
          <w:lang w:eastAsia="en-PH"/>
        </w:rPr>
      </w:pPr>
      <w:r w:rsidRPr="00345AA4">
        <w:rPr>
          <w:rFonts w:ascii="Arial" w:hAnsi="Arial" w:cs="Arial"/>
          <w:bCs/>
          <w:i/>
          <w:color w:val="000000" w:themeColor="text1"/>
          <w:lang w:eastAsia="en-PH"/>
        </w:rPr>
        <w:t xml:space="preserve">1.2.4.1 </w:t>
      </w:r>
      <w:r w:rsidRPr="00345AA4">
        <w:rPr>
          <w:rFonts w:ascii="Arial" w:hAnsi="Arial" w:cs="Arial"/>
          <w:b/>
          <w:bCs/>
          <w:i/>
          <w:color w:val="000000" w:themeColor="text1"/>
          <w:lang w:eastAsia="en-PH"/>
        </w:rPr>
        <w:t>Local Travel</w:t>
      </w:r>
    </w:p>
    <w:p w14:paraId="1CA0E0D0" w14:textId="77777777" w:rsidR="00802E85" w:rsidRPr="00345AA4" w:rsidRDefault="00802E85" w:rsidP="001E38EC">
      <w:pPr>
        <w:spacing w:after="0" w:line="240" w:lineRule="auto"/>
        <w:ind w:left="1800"/>
        <w:contextualSpacing/>
        <w:jc w:val="both"/>
        <w:rPr>
          <w:rFonts w:ascii="Arial" w:hAnsi="Arial" w:cs="Arial"/>
          <w:bCs/>
          <w:i/>
          <w:color w:val="000000" w:themeColor="text1"/>
          <w:lang w:eastAsia="en-PH"/>
        </w:rPr>
      </w:pPr>
    </w:p>
    <w:p w14:paraId="62DD3C7D" w14:textId="77777777" w:rsidR="00802E85" w:rsidRPr="00345AA4" w:rsidRDefault="00802E85" w:rsidP="001E38EC">
      <w:pPr>
        <w:spacing w:after="0" w:line="240" w:lineRule="auto"/>
        <w:ind w:left="1800"/>
        <w:contextualSpacing/>
        <w:jc w:val="both"/>
        <w:rPr>
          <w:rFonts w:ascii="Arial" w:hAnsi="Arial" w:cs="Arial"/>
          <w:bCs/>
          <w:i/>
          <w:color w:val="000000" w:themeColor="text1"/>
          <w:u w:val="single"/>
          <w:lang w:eastAsia="en-PH"/>
        </w:rPr>
      </w:pPr>
      <w:r w:rsidRPr="00345AA4">
        <w:rPr>
          <w:rFonts w:ascii="Arial" w:hAnsi="Arial" w:cs="Arial"/>
          <w:bCs/>
          <w:i/>
          <w:color w:val="000000" w:themeColor="text1"/>
          <w:u w:val="single"/>
          <w:lang w:eastAsia="en-PH"/>
        </w:rPr>
        <w:t>Documentary Requirements</w:t>
      </w:r>
    </w:p>
    <w:p w14:paraId="5C6678B3" w14:textId="77777777" w:rsidR="00802E85" w:rsidRPr="00345AA4" w:rsidRDefault="00802E85" w:rsidP="00802E85">
      <w:pPr>
        <w:spacing w:after="0" w:line="240" w:lineRule="auto"/>
        <w:contextualSpacing/>
        <w:jc w:val="both"/>
        <w:rPr>
          <w:rFonts w:ascii="Arial" w:hAnsi="Arial" w:cs="Arial"/>
          <w:bCs/>
          <w:i/>
          <w:color w:val="000000" w:themeColor="text1"/>
          <w:lang w:eastAsia="en-PH"/>
        </w:rPr>
      </w:pPr>
      <w:r w:rsidRPr="00345AA4">
        <w:rPr>
          <w:rFonts w:ascii="Arial" w:hAnsi="Arial" w:cs="Arial"/>
          <w:bCs/>
          <w:i/>
          <w:color w:val="000000" w:themeColor="text1"/>
          <w:lang w:eastAsia="en-PH"/>
        </w:rPr>
        <w:tab/>
      </w:r>
      <w:r w:rsidRPr="00345AA4">
        <w:rPr>
          <w:rFonts w:ascii="Arial" w:hAnsi="Arial" w:cs="Arial"/>
          <w:bCs/>
          <w:i/>
          <w:color w:val="000000" w:themeColor="text1"/>
          <w:lang w:eastAsia="en-PH"/>
        </w:rPr>
        <w:tab/>
      </w:r>
    </w:p>
    <w:p w14:paraId="62315D71" w14:textId="77777777" w:rsidR="00802E85" w:rsidRPr="00345AA4" w:rsidRDefault="00802E85" w:rsidP="00543E78">
      <w:pPr>
        <w:pStyle w:val="ListParagraph"/>
        <w:numPr>
          <w:ilvl w:val="0"/>
          <w:numId w:val="15"/>
        </w:numPr>
        <w:ind w:left="2160" w:right="720"/>
        <w:contextualSpacing/>
        <w:jc w:val="both"/>
        <w:rPr>
          <w:rFonts w:ascii="Arial" w:hAnsi="Arial" w:cs="Arial"/>
          <w:bCs/>
          <w:i/>
          <w:color w:val="000000" w:themeColor="text1"/>
          <w:sz w:val="22"/>
          <w:szCs w:val="22"/>
          <w:lang w:eastAsia="en-PH"/>
        </w:rPr>
      </w:pPr>
      <w:r w:rsidRPr="00345AA4">
        <w:rPr>
          <w:rFonts w:ascii="Arial" w:hAnsi="Arial" w:cs="Arial"/>
          <w:bCs/>
          <w:i/>
          <w:color w:val="000000" w:themeColor="text1"/>
          <w:sz w:val="22"/>
          <w:szCs w:val="22"/>
          <w:lang w:eastAsia="en-PH"/>
        </w:rPr>
        <w:t>Paper/electronic plane, boat or bus tickets, boarding pass, terminal fee</w:t>
      </w:r>
    </w:p>
    <w:p w14:paraId="1ADA9FE7" w14:textId="77777777" w:rsidR="00802E85" w:rsidRPr="00345AA4" w:rsidRDefault="00802E85" w:rsidP="00A42CC1">
      <w:pPr>
        <w:pStyle w:val="ListParagraph"/>
        <w:numPr>
          <w:ilvl w:val="0"/>
          <w:numId w:val="16"/>
        </w:numPr>
        <w:ind w:left="2160" w:right="636"/>
        <w:contextualSpacing/>
        <w:jc w:val="both"/>
        <w:rPr>
          <w:rFonts w:ascii="Arial" w:hAnsi="Arial" w:cs="Arial"/>
          <w:bCs/>
          <w:i/>
          <w:color w:val="000000" w:themeColor="text1"/>
          <w:sz w:val="22"/>
          <w:szCs w:val="22"/>
          <w:lang w:eastAsia="en-PH"/>
        </w:rPr>
      </w:pPr>
      <w:r w:rsidRPr="00345AA4">
        <w:rPr>
          <w:rFonts w:ascii="Arial" w:hAnsi="Arial" w:cs="Arial"/>
          <w:bCs/>
          <w:i/>
          <w:color w:val="000000" w:themeColor="text1"/>
          <w:sz w:val="22"/>
          <w:szCs w:val="22"/>
          <w:lang w:eastAsia="en-PH"/>
        </w:rPr>
        <w:t>Certificate of appearance/attendance</w:t>
      </w:r>
    </w:p>
    <w:p w14:paraId="50353151" w14:textId="77777777" w:rsidR="00802E85" w:rsidRPr="00345AA4" w:rsidRDefault="00802E85" w:rsidP="00A42CC1">
      <w:pPr>
        <w:pStyle w:val="ListParagraph"/>
        <w:numPr>
          <w:ilvl w:val="0"/>
          <w:numId w:val="16"/>
        </w:numPr>
        <w:ind w:left="2160" w:right="636"/>
        <w:contextualSpacing/>
        <w:jc w:val="both"/>
        <w:rPr>
          <w:rFonts w:ascii="Arial" w:hAnsi="Arial" w:cs="Arial"/>
          <w:bCs/>
          <w:i/>
          <w:color w:val="000000" w:themeColor="text1"/>
          <w:sz w:val="22"/>
          <w:szCs w:val="22"/>
          <w:lang w:eastAsia="en-PH"/>
        </w:rPr>
      </w:pPr>
      <w:r w:rsidRPr="00345AA4">
        <w:rPr>
          <w:rFonts w:ascii="Arial" w:hAnsi="Arial" w:cs="Arial"/>
          <w:bCs/>
          <w:i/>
          <w:color w:val="000000" w:themeColor="text1"/>
          <w:sz w:val="22"/>
          <w:szCs w:val="22"/>
          <w:lang w:eastAsia="en-PH"/>
        </w:rPr>
        <w:t>Copy of previously approved itinerary of travel</w:t>
      </w:r>
    </w:p>
    <w:p w14:paraId="23B1C672" w14:textId="77777777" w:rsidR="00802E85" w:rsidRPr="00345AA4" w:rsidRDefault="00802E85" w:rsidP="00543E78">
      <w:pPr>
        <w:pStyle w:val="ListParagraph"/>
        <w:numPr>
          <w:ilvl w:val="0"/>
          <w:numId w:val="15"/>
        </w:numPr>
        <w:ind w:left="2160" w:right="720"/>
        <w:contextualSpacing/>
        <w:jc w:val="both"/>
        <w:rPr>
          <w:rFonts w:ascii="Arial" w:hAnsi="Arial" w:cs="Arial"/>
          <w:bCs/>
          <w:i/>
          <w:color w:val="000000" w:themeColor="text1"/>
          <w:sz w:val="22"/>
          <w:szCs w:val="22"/>
          <w:lang w:eastAsia="en-PH"/>
        </w:rPr>
      </w:pPr>
      <w:r w:rsidRPr="00345AA4">
        <w:rPr>
          <w:rFonts w:ascii="Arial" w:hAnsi="Arial" w:cs="Arial"/>
          <w:bCs/>
          <w:i/>
          <w:color w:val="000000" w:themeColor="text1"/>
          <w:sz w:val="22"/>
          <w:szCs w:val="22"/>
          <w:lang w:eastAsia="en-PH"/>
        </w:rPr>
        <w:t>Revised or supplemental Office Order or any proof supporting the change of schedule</w:t>
      </w:r>
    </w:p>
    <w:p w14:paraId="7616CAF8" w14:textId="77777777" w:rsidR="00802E85" w:rsidRPr="00345AA4" w:rsidRDefault="00802E85" w:rsidP="00543E78">
      <w:pPr>
        <w:pStyle w:val="ListParagraph"/>
        <w:numPr>
          <w:ilvl w:val="0"/>
          <w:numId w:val="15"/>
        </w:numPr>
        <w:ind w:left="2160" w:right="720"/>
        <w:contextualSpacing/>
        <w:jc w:val="both"/>
        <w:rPr>
          <w:rFonts w:ascii="Arial" w:hAnsi="Arial" w:cs="Arial"/>
          <w:bCs/>
          <w:i/>
          <w:color w:val="000000" w:themeColor="text1"/>
          <w:sz w:val="22"/>
          <w:szCs w:val="22"/>
          <w:lang w:eastAsia="en-PH"/>
        </w:rPr>
      </w:pPr>
      <w:r w:rsidRPr="00345AA4">
        <w:rPr>
          <w:rFonts w:ascii="Arial" w:hAnsi="Arial" w:cs="Arial"/>
          <w:bCs/>
          <w:i/>
          <w:color w:val="000000" w:themeColor="text1"/>
          <w:sz w:val="22"/>
          <w:szCs w:val="22"/>
          <w:lang w:eastAsia="en-PH"/>
        </w:rPr>
        <w:lastRenderedPageBreak/>
        <w:t>Revised Itinerary of Travel, if the previous approved itinerary was not followed</w:t>
      </w:r>
    </w:p>
    <w:p w14:paraId="637577D7" w14:textId="77777777" w:rsidR="00802E85" w:rsidRPr="00345AA4" w:rsidRDefault="00802E85" w:rsidP="00543E78">
      <w:pPr>
        <w:pStyle w:val="ListParagraph"/>
        <w:numPr>
          <w:ilvl w:val="0"/>
          <w:numId w:val="15"/>
        </w:numPr>
        <w:ind w:left="2160" w:right="720"/>
        <w:contextualSpacing/>
        <w:jc w:val="both"/>
        <w:rPr>
          <w:rFonts w:ascii="Arial" w:hAnsi="Arial" w:cs="Arial"/>
          <w:bCs/>
          <w:i/>
          <w:color w:val="000000" w:themeColor="text1"/>
          <w:sz w:val="22"/>
          <w:szCs w:val="22"/>
          <w:lang w:eastAsia="en-PH"/>
        </w:rPr>
      </w:pPr>
      <w:r w:rsidRPr="00345AA4">
        <w:rPr>
          <w:rFonts w:ascii="Arial" w:hAnsi="Arial" w:cs="Arial"/>
          <w:bCs/>
          <w:i/>
          <w:color w:val="000000" w:themeColor="text1"/>
          <w:sz w:val="22"/>
          <w:szCs w:val="22"/>
          <w:lang w:eastAsia="en-PH"/>
        </w:rPr>
        <w:t>Certification by the Head of Agency as to the absolute necessity of the expenses together with the corresponding bills or receipts, if the expenses incurred for official travel exceeded the prescribed rate per day (certification or affidavit of loss shall not be considered as an appropriate replacement for the required hotel/lodging bills and receipts)</w:t>
      </w:r>
    </w:p>
    <w:p w14:paraId="2C8354BD" w14:textId="77777777" w:rsidR="00802E85" w:rsidRPr="00345AA4" w:rsidRDefault="00802E85" w:rsidP="00A42CC1">
      <w:pPr>
        <w:pStyle w:val="ListParagraph"/>
        <w:numPr>
          <w:ilvl w:val="0"/>
          <w:numId w:val="16"/>
        </w:numPr>
        <w:ind w:left="2160" w:right="636"/>
        <w:contextualSpacing/>
        <w:jc w:val="both"/>
        <w:rPr>
          <w:rFonts w:ascii="Arial" w:hAnsi="Arial" w:cs="Arial"/>
          <w:bCs/>
          <w:i/>
          <w:color w:val="000000" w:themeColor="text1"/>
          <w:sz w:val="22"/>
          <w:szCs w:val="22"/>
          <w:lang w:eastAsia="en-PH"/>
        </w:rPr>
      </w:pPr>
      <w:r w:rsidRPr="00345AA4">
        <w:rPr>
          <w:rFonts w:ascii="Arial" w:hAnsi="Arial" w:cs="Arial"/>
          <w:bCs/>
          <w:i/>
          <w:color w:val="000000" w:themeColor="text1"/>
          <w:sz w:val="22"/>
          <w:szCs w:val="22"/>
          <w:lang w:eastAsia="en-PH"/>
        </w:rPr>
        <w:t>Liquidation Report</w:t>
      </w:r>
    </w:p>
    <w:p w14:paraId="4556A423" w14:textId="77777777" w:rsidR="00802E85" w:rsidRPr="00345AA4" w:rsidRDefault="00D35F82" w:rsidP="00A42CC1">
      <w:pPr>
        <w:pStyle w:val="ListParagraph"/>
        <w:numPr>
          <w:ilvl w:val="0"/>
          <w:numId w:val="16"/>
        </w:numPr>
        <w:ind w:left="2160" w:right="636"/>
        <w:contextualSpacing/>
        <w:jc w:val="both"/>
        <w:rPr>
          <w:rFonts w:ascii="Arial" w:hAnsi="Arial" w:cs="Arial"/>
          <w:bCs/>
          <w:i/>
          <w:color w:val="000000" w:themeColor="text1"/>
          <w:sz w:val="22"/>
          <w:szCs w:val="22"/>
          <w:lang w:eastAsia="en-PH"/>
        </w:rPr>
      </w:pPr>
      <w:r w:rsidRPr="00345AA4">
        <w:rPr>
          <w:rFonts w:ascii="Arial" w:hAnsi="Arial" w:cs="Arial"/>
          <w:bCs/>
          <w:i/>
          <w:color w:val="000000" w:themeColor="text1"/>
          <w:sz w:val="22"/>
          <w:szCs w:val="22"/>
          <w:lang w:eastAsia="en-PH"/>
        </w:rPr>
        <w:t>Reimbursement Expense Receipt (</w:t>
      </w:r>
      <w:r w:rsidR="00802E85" w:rsidRPr="00345AA4">
        <w:rPr>
          <w:rFonts w:ascii="Arial" w:hAnsi="Arial" w:cs="Arial"/>
          <w:bCs/>
          <w:i/>
          <w:color w:val="000000" w:themeColor="text1"/>
          <w:sz w:val="22"/>
          <w:szCs w:val="22"/>
          <w:lang w:eastAsia="en-PH"/>
        </w:rPr>
        <w:t>RER</w:t>
      </w:r>
      <w:r w:rsidRPr="00345AA4">
        <w:rPr>
          <w:rFonts w:ascii="Arial" w:hAnsi="Arial" w:cs="Arial"/>
          <w:bCs/>
          <w:i/>
          <w:color w:val="000000" w:themeColor="text1"/>
          <w:sz w:val="22"/>
          <w:szCs w:val="22"/>
          <w:lang w:eastAsia="en-PH"/>
        </w:rPr>
        <w:t>)</w:t>
      </w:r>
    </w:p>
    <w:p w14:paraId="27E3A583" w14:textId="77777777" w:rsidR="00802E85" w:rsidRPr="00345AA4" w:rsidRDefault="00802E85" w:rsidP="00802E85">
      <w:pPr>
        <w:spacing w:after="0" w:line="240" w:lineRule="auto"/>
        <w:contextualSpacing/>
        <w:jc w:val="both"/>
        <w:rPr>
          <w:rFonts w:ascii="Arial" w:hAnsi="Arial" w:cs="Arial"/>
          <w:bCs/>
          <w:i/>
          <w:color w:val="000000" w:themeColor="text1"/>
          <w:u w:val="single"/>
          <w:lang w:eastAsia="en-PH"/>
        </w:rPr>
      </w:pPr>
      <w:r w:rsidRPr="00345AA4">
        <w:rPr>
          <w:rFonts w:ascii="Arial" w:hAnsi="Arial" w:cs="Arial"/>
          <w:bCs/>
          <w:i/>
          <w:color w:val="000000" w:themeColor="text1"/>
          <w:lang w:eastAsia="en-PH"/>
        </w:rPr>
        <w:tab/>
      </w:r>
      <w:r w:rsidRPr="00345AA4">
        <w:rPr>
          <w:rFonts w:ascii="Arial" w:hAnsi="Arial" w:cs="Arial"/>
          <w:bCs/>
          <w:i/>
          <w:color w:val="000000" w:themeColor="text1"/>
          <w:lang w:eastAsia="en-PH"/>
        </w:rPr>
        <w:tab/>
      </w:r>
      <w:r w:rsidRPr="00345AA4">
        <w:rPr>
          <w:rFonts w:ascii="Arial" w:hAnsi="Arial" w:cs="Arial"/>
          <w:bCs/>
          <w:i/>
          <w:color w:val="000000" w:themeColor="text1"/>
          <w:u w:val="single"/>
          <w:lang w:eastAsia="en-PH"/>
        </w:rPr>
        <w:t xml:space="preserve"> </w:t>
      </w:r>
    </w:p>
    <w:p w14:paraId="6351616A" w14:textId="77777777" w:rsidR="00802E85" w:rsidRPr="00345AA4" w:rsidRDefault="00802E85" w:rsidP="00802E85">
      <w:pPr>
        <w:pStyle w:val="ListParagraph"/>
        <w:numPr>
          <w:ilvl w:val="1"/>
          <w:numId w:val="1"/>
        </w:numPr>
        <w:tabs>
          <w:tab w:val="left" w:pos="990"/>
        </w:tabs>
        <w:ind w:left="900" w:hanging="540"/>
        <w:contextualSpacing/>
        <w:jc w:val="both"/>
        <w:rPr>
          <w:rFonts w:ascii="Arial" w:hAnsi="Arial" w:cs="Arial"/>
          <w:bCs/>
          <w:color w:val="000000" w:themeColor="text1"/>
          <w:sz w:val="22"/>
          <w:szCs w:val="22"/>
          <w:lang w:eastAsia="en-PH"/>
        </w:rPr>
      </w:pPr>
      <w:r w:rsidRPr="00345AA4">
        <w:rPr>
          <w:rFonts w:ascii="Arial" w:hAnsi="Arial" w:cs="Arial"/>
          <w:bCs/>
          <w:color w:val="000000" w:themeColor="text1"/>
          <w:sz w:val="22"/>
          <w:szCs w:val="22"/>
          <w:lang w:eastAsia="en-PH"/>
        </w:rPr>
        <w:t>Review of liquidation reports pertinent to various official local travels during the CY 2019 showed that the following were not submitted:</w:t>
      </w:r>
    </w:p>
    <w:p w14:paraId="4412FCA5" w14:textId="77777777" w:rsidR="00802E85" w:rsidRPr="00345AA4" w:rsidRDefault="00802E85" w:rsidP="00802E85">
      <w:pPr>
        <w:spacing w:after="0" w:line="240" w:lineRule="auto"/>
        <w:contextualSpacing/>
        <w:jc w:val="both"/>
        <w:rPr>
          <w:rFonts w:ascii="Arial" w:hAnsi="Arial" w:cs="Arial"/>
          <w:bCs/>
          <w:color w:val="000000" w:themeColor="text1"/>
          <w:lang w:eastAsia="en-PH"/>
        </w:rPr>
      </w:pPr>
    </w:p>
    <w:p w14:paraId="27731751" w14:textId="686D72C3" w:rsidR="00802E85" w:rsidRPr="00345AA4" w:rsidRDefault="00802E85" w:rsidP="00802E85">
      <w:pPr>
        <w:pStyle w:val="ListParagraph"/>
        <w:numPr>
          <w:ilvl w:val="0"/>
          <w:numId w:val="14"/>
        </w:numPr>
        <w:ind w:left="1276" w:hanging="283"/>
        <w:contextualSpacing/>
        <w:jc w:val="both"/>
        <w:rPr>
          <w:rFonts w:ascii="Arial" w:hAnsi="Arial" w:cs="Arial"/>
          <w:bCs/>
          <w:color w:val="000000" w:themeColor="text1"/>
          <w:sz w:val="22"/>
          <w:szCs w:val="22"/>
          <w:lang w:eastAsia="en-PH"/>
        </w:rPr>
      </w:pPr>
      <w:r w:rsidRPr="00345AA4">
        <w:rPr>
          <w:rFonts w:ascii="Arial" w:hAnsi="Arial" w:cs="Arial"/>
          <w:bCs/>
          <w:color w:val="000000" w:themeColor="text1"/>
          <w:sz w:val="22"/>
          <w:szCs w:val="22"/>
          <w:lang w:eastAsia="en-PH"/>
        </w:rPr>
        <w:t xml:space="preserve">Approved Itinerary of Travel detailing the transportation expenses and travel expenses to be incurred as basis </w:t>
      </w:r>
      <w:r w:rsidR="000E2152" w:rsidRPr="00345AA4">
        <w:rPr>
          <w:rFonts w:ascii="Arial" w:hAnsi="Arial" w:cs="Arial"/>
          <w:bCs/>
          <w:color w:val="000000" w:themeColor="text1"/>
          <w:sz w:val="22"/>
          <w:szCs w:val="22"/>
          <w:lang w:eastAsia="en-PH"/>
        </w:rPr>
        <w:t xml:space="preserve">for </w:t>
      </w:r>
      <w:r w:rsidRPr="00345AA4">
        <w:rPr>
          <w:rFonts w:ascii="Arial" w:hAnsi="Arial" w:cs="Arial"/>
          <w:bCs/>
          <w:color w:val="000000" w:themeColor="text1"/>
          <w:sz w:val="22"/>
          <w:szCs w:val="22"/>
          <w:lang w:eastAsia="en-PH"/>
        </w:rPr>
        <w:t xml:space="preserve">determining the amount of </w:t>
      </w:r>
      <w:r w:rsidR="007308AA" w:rsidRPr="00345AA4">
        <w:rPr>
          <w:rFonts w:ascii="Arial" w:hAnsi="Arial" w:cs="Arial"/>
          <w:bCs/>
          <w:color w:val="000000" w:themeColor="text1"/>
          <w:sz w:val="22"/>
          <w:szCs w:val="22"/>
          <w:lang w:eastAsia="en-PH"/>
        </w:rPr>
        <w:t>CA</w:t>
      </w:r>
      <w:r w:rsidRPr="00345AA4">
        <w:rPr>
          <w:rFonts w:ascii="Arial" w:hAnsi="Arial" w:cs="Arial"/>
          <w:bCs/>
          <w:color w:val="000000" w:themeColor="text1"/>
          <w:sz w:val="22"/>
          <w:szCs w:val="22"/>
          <w:lang w:eastAsia="en-PH"/>
        </w:rPr>
        <w:t xml:space="preserve">; and </w:t>
      </w:r>
    </w:p>
    <w:p w14:paraId="05523BF2" w14:textId="77777777" w:rsidR="00802E85" w:rsidRPr="00345AA4" w:rsidRDefault="00802E85" w:rsidP="00802E85">
      <w:pPr>
        <w:spacing w:after="0" w:line="240" w:lineRule="auto"/>
        <w:ind w:left="1276" w:hanging="283"/>
        <w:contextualSpacing/>
        <w:jc w:val="both"/>
        <w:rPr>
          <w:rFonts w:ascii="Arial" w:hAnsi="Arial" w:cs="Arial"/>
          <w:bCs/>
          <w:color w:val="000000" w:themeColor="text1"/>
          <w:lang w:eastAsia="en-PH"/>
        </w:rPr>
      </w:pPr>
    </w:p>
    <w:p w14:paraId="3ED26B43" w14:textId="77777777" w:rsidR="00802E85" w:rsidRPr="00345AA4" w:rsidRDefault="00802E85" w:rsidP="00802E85">
      <w:pPr>
        <w:pStyle w:val="ListParagraph"/>
        <w:numPr>
          <w:ilvl w:val="0"/>
          <w:numId w:val="14"/>
        </w:numPr>
        <w:ind w:left="1276" w:hanging="283"/>
        <w:contextualSpacing/>
        <w:jc w:val="both"/>
        <w:rPr>
          <w:rFonts w:ascii="Arial" w:hAnsi="Arial" w:cs="Arial"/>
          <w:bCs/>
          <w:color w:val="000000" w:themeColor="text1"/>
          <w:sz w:val="22"/>
          <w:szCs w:val="22"/>
          <w:lang w:eastAsia="en-PH"/>
        </w:rPr>
      </w:pPr>
      <w:r w:rsidRPr="00345AA4">
        <w:rPr>
          <w:rFonts w:ascii="Arial" w:hAnsi="Arial" w:cs="Arial"/>
          <w:bCs/>
          <w:color w:val="000000" w:themeColor="text1"/>
          <w:sz w:val="22"/>
          <w:szCs w:val="22"/>
          <w:lang w:eastAsia="en-PH"/>
        </w:rPr>
        <w:t>Revised Itinerary of Travel, if the previous approved itinerary of travel was not followed.</w:t>
      </w:r>
    </w:p>
    <w:p w14:paraId="2969B398" w14:textId="77777777" w:rsidR="00802E85" w:rsidRPr="00345AA4" w:rsidRDefault="00802E85" w:rsidP="00802E85">
      <w:pPr>
        <w:pStyle w:val="ListParagraph"/>
        <w:ind w:left="1134"/>
        <w:contextualSpacing/>
        <w:jc w:val="both"/>
        <w:rPr>
          <w:rFonts w:ascii="Arial" w:hAnsi="Arial" w:cs="Arial"/>
          <w:bCs/>
          <w:color w:val="000000" w:themeColor="text1"/>
          <w:sz w:val="22"/>
          <w:szCs w:val="22"/>
          <w:lang w:eastAsia="en-PH"/>
        </w:rPr>
      </w:pPr>
    </w:p>
    <w:p w14:paraId="571BA848" w14:textId="131F7AC5" w:rsidR="00802E85" w:rsidRPr="00345AA4" w:rsidRDefault="00802E85" w:rsidP="00802E85">
      <w:pPr>
        <w:pStyle w:val="ListParagraph"/>
        <w:numPr>
          <w:ilvl w:val="1"/>
          <w:numId w:val="1"/>
        </w:numPr>
        <w:tabs>
          <w:tab w:val="left" w:pos="990"/>
        </w:tabs>
        <w:ind w:left="900" w:hanging="540"/>
        <w:contextualSpacing/>
        <w:jc w:val="both"/>
        <w:rPr>
          <w:rFonts w:ascii="Arial" w:hAnsi="Arial" w:cs="Arial"/>
          <w:bCs/>
          <w:color w:val="000000" w:themeColor="text1"/>
          <w:sz w:val="22"/>
          <w:szCs w:val="22"/>
          <w:lang w:eastAsia="en-PH"/>
        </w:rPr>
      </w:pPr>
      <w:r w:rsidRPr="00345AA4">
        <w:rPr>
          <w:rFonts w:ascii="Arial" w:hAnsi="Arial" w:cs="Arial"/>
          <w:bCs/>
          <w:color w:val="000000" w:themeColor="text1"/>
          <w:sz w:val="22"/>
          <w:szCs w:val="22"/>
          <w:lang w:eastAsia="en-PH"/>
        </w:rPr>
        <w:t xml:space="preserve">In </w:t>
      </w:r>
      <w:r w:rsidR="001E38EC" w:rsidRPr="00345AA4">
        <w:rPr>
          <w:rFonts w:ascii="Arial" w:hAnsi="Arial" w:cs="Arial"/>
          <w:bCs/>
          <w:color w:val="000000" w:themeColor="text1"/>
          <w:sz w:val="22"/>
          <w:szCs w:val="22"/>
          <w:lang w:eastAsia="en-PH"/>
        </w:rPr>
        <w:t xml:space="preserve">the </w:t>
      </w:r>
      <w:r w:rsidRPr="00345AA4">
        <w:rPr>
          <w:rFonts w:ascii="Arial" w:hAnsi="Arial" w:cs="Arial"/>
          <w:bCs/>
          <w:color w:val="000000" w:themeColor="text1"/>
          <w:sz w:val="22"/>
          <w:szCs w:val="22"/>
          <w:lang w:eastAsia="en-PH"/>
        </w:rPr>
        <w:t xml:space="preserve">drawing of </w:t>
      </w:r>
      <w:r w:rsidR="000E2152" w:rsidRPr="00345AA4">
        <w:rPr>
          <w:rFonts w:ascii="Arial" w:hAnsi="Arial" w:cs="Arial"/>
          <w:bCs/>
          <w:color w:val="000000" w:themeColor="text1"/>
          <w:sz w:val="22"/>
          <w:szCs w:val="22"/>
          <w:lang w:eastAsia="en-PH"/>
        </w:rPr>
        <w:t>CA</w:t>
      </w:r>
      <w:r w:rsidRPr="00345AA4">
        <w:rPr>
          <w:rFonts w:ascii="Arial" w:hAnsi="Arial" w:cs="Arial"/>
          <w:bCs/>
          <w:color w:val="000000" w:themeColor="text1"/>
          <w:sz w:val="22"/>
          <w:szCs w:val="22"/>
          <w:lang w:eastAsia="en-PH"/>
        </w:rPr>
        <w:t xml:space="preserve">, the approved itinerary of travel detailing the transportation and travel expenses to be incurred should be submitted as basis for determining the propriety of </w:t>
      </w:r>
      <w:r w:rsidR="000E2152" w:rsidRPr="00345AA4">
        <w:rPr>
          <w:rFonts w:ascii="Arial" w:hAnsi="Arial" w:cs="Arial"/>
          <w:bCs/>
          <w:color w:val="000000" w:themeColor="text1"/>
          <w:sz w:val="22"/>
          <w:szCs w:val="22"/>
          <w:lang w:eastAsia="en-PH"/>
        </w:rPr>
        <w:t>CA</w:t>
      </w:r>
      <w:r w:rsidRPr="00345AA4">
        <w:rPr>
          <w:rFonts w:ascii="Arial" w:hAnsi="Arial" w:cs="Arial"/>
          <w:bCs/>
          <w:color w:val="000000" w:themeColor="text1"/>
          <w:sz w:val="22"/>
          <w:szCs w:val="22"/>
          <w:lang w:eastAsia="en-PH"/>
        </w:rPr>
        <w:t>.  However, the accountable officer failed to submit/prepare the approved and revised itinerary of travel</w:t>
      </w:r>
      <w:r w:rsidR="000E2152" w:rsidRPr="00345AA4">
        <w:rPr>
          <w:rFonts w:ascii="Arial" w:hAnsi="Arial" w:cs="Arial"/>
          <w:bCs/>
          <w:color w:val="000000" w:themeColor="text1"/>
          <w:sz w:val="22"/>
          <w:szCs w:val="22"/>
          <w:lang w:eastAsia="en-PH"/>
        </w:rPr>
        <w:t>,</w:t>
      </w:r>
      <w:r w:rsidRPr="00345AA4">
        <w:rPr>
          <w:rFonts w:ascii="Arial" w:hAnsi="Arial" w:cs="Arial"/>
          <w:bCs/>
          <w:color w:val="000000" w:themeColor="text1"/>
          <w:sz w:val="22"/>
          <w:szCs w:val="22"/>
          <w:lang w:eastAsia="en-PH"/>
        </w:rPr>
        <w:t xml:space="preserve"> contrary to the above regulation, thus resulted </w:t>
      </w:r>
      <w:r w:rsidR="00E91A80" w:rsidRPr="00345AA4">
        <w:rPr>
          <w:rFonts w:ascii="Arial" w:hAnsi="Arial" w:cs="Arial"/>
          <w:bCs/>
          <w:color w:val="000000" w:themeColor="text1"/>
          <w:sz w:val="22"/>
          <w:szCs w:val="22"/>
          <w:lang w:eastAsia="en-PH"/>
        </w:rPr>
        <w:t>in</w:t>
      </w:r>
      <w:r w:rsidRPr="00345AA4">
        <w:rPr>
          <w:rFonts w:ascii="Arial" w:hAnsi="Arial" w:cs="Arial"/>
          <w:bCs/>
          <w:color w:val="000000" w:themeColor="text1"/>
          <w:sz w:val="22"/>
          <w:szCs w:val="22"/>
          <w:lang w:eastAsia="en-PH"/>
        </w:rPr>
        <w:t xml:space="preserve"> overdrawing of the cash advances, to wit:</w:t>
      </w:r>
    </w:p>
    <w:p w14:paraId="67452C80" w14:textId="77777777" w:rsidR="00171EC3" w:rsidRPr="00345AA4" w:rsidRDefault="00171EC3" w:rsidP="00802E85">
      <w:pPr>
        <w:pStyle w:val="ListParagraph"/>
        <w:ind w:left="0"/>
        <w:contextualSpacing/>
        <w:jc w:val="both"/>
        <w:rPr>
          <w:rStyle w:val="Strong"/>
          <w:rFonts w:ascii="Arial" w:eastAsia="Calibri" w:hAnsi="Arial" w:cs="Arial"/>
          <w:color w:val="000000" w:themeColor="text1"/>
          <w:sz w:val="22"/>
          <w:szCs w:val="22"/>
        </w:rPr>
      </w:pPr>
    </w:p>
    <w:tbl>
      <w:tblPr>
        <w:tblStyle w:val="TableGrid"/>
        <w:tblW w:w="783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72" w:type="dxa"/>
        </w:tblCellMar>
        <w:tblLook w:val="04A0" w:firstRow="1" w:lastRow="0" w:firstColumn="1" w:lastColumn="0" w:noHBand="0" w:noVBand="1"/>
      </w:tblPr>
      <w:tblGrid>
        <w:gridCol w:w="2200"/>
        <w:gridCol w:w="1620"/>
        <w:gridCol w:w="1620"/>
        <w:gridCol w:w="1350"/>
        <w:gridCol w:w="1040"/>
      </w:tblGrid>
      <w:tr w:rsidR="00345AA4" w:rsidRPr="00345AA4" w14:paraId="28E0B16E" w14:textId="77777777" w:rsidTr="00721159">
        <w:trPr>
          <w:tblHeader/>
        </w:trPr>
        <w:tc>
          <w:tcPr>
            <w:tcW w:w="2200" w:type="dxa"/>
            <w:tcBorders>
              <w:top w:val="single" w:sz="4" w:space="0" w:color="auto"/>
              <w:bottom w:val="single" w:sz="4" w:space="0" w:color="auto"/>
            </w:tcBorders>
          </w:tcPr>
          <w:p w14:paraId="63C9120D" w14:textId="77777777" w:rsidR="00802E85" w:rsidRPr="00345AA4" w:rsidRDefault="00802E85" w:rsidP="00375E56">
            <w:pPr>
              <w:pStyle w:val="ListParagraph"/>
              <w:ind w:left="0"/>
              <w:contextualSpacing/>
              <w:jc w:val="center"/>
              <w:rPr>
                <w:rStyle w:val="Strong"/>
                <w:rFonts w:ascii="Arial" w:eastAsia="Calibri" w:hAnsi="Arial" w:cs="Arial"/>
                <w:color w:val="000000" w:themeColor="text1"/>
                <w:sz w:val="18"/>
                <w:szCs w:val="18"/>
              </w:rPr>
            </w:pPr>
            <w:r w:rsidRPr="00345AA4">
              <w:rPr>
                <w:rStyle w:val="Strong"/>
                <w:rFonts w:ascii="Arial" w:eastAsia="Calibri" w:hAnsi="Arial" w:cs="Arial"/>
                <w:color w:val="000000" w:themeColor="text1"/>
                <w:sz w:val="18"/>
                <w:szCs w:val="18"/>
              </w:rPr>
              <w:t>Location</w:t>
            </w:r>
          </w:p>
        </w:tc>
        <w:tc>
          <w:tcPr>
            <w:tcW w:w="1620" w:type="dxa"/>
            <w:tcBorders>
              <w:top w:val="single" w:sz="4" w:space="0" w:color="auto"/>
              <w:bottom w:val="single" w:sz="4" w:space="0" w:color="auto"/>
            </w:tcBorders>
          </w:tcPr>
          <w:p w14:paraId="33C6579D" w14:textId="77777777" w:rsidR="00802E85" w:rsidRPr="00345AA4" w:rsidRDefault="00802E85" w:rsidP="00375E56">
            <w:pPr>
              <w:pStyle w:val="ListParagraph"/>
              <w:ind w:left="0"/>
              <w:contextualSpacing/>
              <w:jc w:val="center"/>
              <w:rPr>
                <w:rStyle w:val="Strong"/>
                <w:rFonts w:ascii="Arial" w:eastAsia="Calibri" w:hAnsi="Arial" w:cs="Arial"/>
                <w:color w:val="000000" w:themeColor="text1"/>
                <w:sz w:val="18"/>
                <w:szCs w:val="18"/>
              </w:rPr>
            </w:pPr>
            <w:r w:rsidRPr="00345AA4">
              <w:rPr>
                <w:rStyle w:val="Strong"/>
                <w:rFonts w:ascii="Arial" w:eastAsia="Calibri" w:hAnsi="Arial" w:cs="Arial"/>
                <w:color w:val="000000" w:themeColor="text1"/>
                <w:sz w:val="18"/>
                <w:szCs w:val="18"/>
              </w:rPr>
              <w:t>Period of actual travel</w:t>
            </w:r>
          </w:p>
        </w:tc>
        <w:tc>
          <w:tcPr>
            <w:tcW w:w="1620" w:type="dxa"/>
            <w:tcBorders>
              <w:top w:val="single" w:sz="4" w:space="0" w:color="auto"/>
              <w:bottom w:val="single" w:sz="4" w:space="0" w:color="auto"/>
            </w:tcBorders>
          </w:tcPr>
          <w:p w14:paraId="5B1BE22C" w14:textId="77777777" w:rsidR="00802E85" w:rsidRPr="00345AA4" w:rsidRDefault="00802E85" w:rsidP="00375E56">
            <w:pPr>
              <w:pStyle w:val="ListParagraph"/>
              <w:ind w:left="0"/>
              <w:contextualSpacing/>
              <w:jc w:val="center"/>
              <w:rPr>
                <w:rStyle w:val="Strong"/>
                <w:rFonts w:ascii="Arial" w:eastAsia="Calibri" w:hAnsi="Arial" w:cs="Arial"/>
                <w:color w:val="000000" w:themeColor="text1"/>
                <w:sz w:val="18"/>
                <w:szCs w:val="18"/>
              </w:rPr>
            </w:pPr>
            <w:r w:rsidRPr="00345AA4">
              <w:rPr>
                <w:rStyle w:val="Strong"/>
                <w:rFonts w:ascii="Arial" w:eastAsia="Calibri" w:hAnsi="Arial" w:cs="Arial"/>
                <w:color w:val="000000" w:themeColor="text1"/>
                <w:sz w:val="18"/>
                <w:szCs w:val="18"/>
              </w:rPr>
              <w:t>Date check/</w:t>
            </w:r>
            <w:r w:rsidR="00D35F82" w:rsidRPr="00345AA4">
              <w:rPr>
                <w:rStyle w:val="Strong"/>
                <w:rFonts w:ascii="Arial" w:eastAsia="Calibri" w:hAnsi="Arial" w:cs="Arial"/>
                <w:color w:val="000000" w:themeColor="text1"/>
                <w:sz w:val="18"/>
                <w:szCs w:val="18"/>
              </w:rPr>
              <w:t>cash advance</w:t>
            </w:r>
            <w:r w:rsidRPr="00345AA4">
              <w:rPr>
                <w:rStyle w:val="Strong"/>
                <w:rFonts w:ascii="Arial" w:eastAsia="Calibri" w:hAnsi="Arial" w:cs="Arial"/>
                <w:color w:val="000000" w:themeColor="text1"/>
                <w:sz w:val="18"/>
                <w:szCs w:val="18"/>
              </w:rPr>
              <w:t xml:space="preserve"> was granted</w:t>
            </w:r>
          </w:p>
        </w:tc>
        <w:tc>
          <w:tcPr>
            <w:tcW w:w="1350" w:type="dxa"/>
            <w:tcBorders>
              <w:top w:val="single" w:sz="4" w:space="0" w:color="auto"/>
              <w:bottom w:val="single" w:sz="4" w:space="0" w:color="auto"/>
            </w:tcBorders>
          </w:tcPr>
          <w:p w14:paraId="57C09E68" w14:textId="77777777" w:rsidR="00802E85" w:rsidRPr="00345AA4" w:rsidRDefault="00802E85" w:rsidP="00375E56">
            <w:pPr>
              <w:pStyle w:val="ListParagraph"/>
              <w:ind w:left="0"/>
              <w:contextualSpacing/>
              <w:jc w:val="center"/>
              <w:rPr>
                <w:rStyle w:val="Strong"/>
                <w:rFonts w:ascii="Arial" w:eastAsia="Calibri" w:hAnsi="Arial" w:cs="Arial"/>
                <w:color w:val="000000" w:themeColor="text1"/>
                <w:sz w:val="18"/>
                <w:szCs w:val="18"/>
              </w:rPr>
            </w:pPr>
            <w:r w:rsidRPr="00345AA4">
              <w:rPr>
                <w:rStyle w:val="Strong"/>
                <w:rFonts w:ascii="Arial" w:eastAsia="Calibri" w:hAnsi="Arial" w:cs="Arial"/>
                <w:color w:val="000000" w:themeColor="text1"/>
                <w:sz w:val="18"/>
                <w:szCs w:val="18"/>
              </w:rPr>
              <w:t xml:space="preserve">Amount of </w:t>
            </w:r>
            <w:r w:rsidR="00D35F82" w:rsidRPr="00345AA4">
              <w:rPr>
                <w:rStyle w:val="Strong"/>
                <w:rFonts w:ascii="Arial" w:eastAsia="Calibri" w:hAnsi="Arial" w:cs="Arial"/>
                <w:color w:val="000000" w:themeColor="text1"/>
                <w:sz w:val="18"/>
                <w:szCs w:val="18"/>
              </w:rPr>
              <w:t xml:space="preserve">cash advance </w:t>
            </w:r>
            <w:r w:rsidRPr="00345AA4">
              <w:rPr>
                <w:rStyle w:val="Strong"/>
                <w:rFonts w:ascii="Arial" w:eastAsia="Calibri" w:hAnsi="Arial" w:cs="Arial"/>
                <w:color w:val="000000" w:themeColor="text1"/>
                <w:sz w:val="18"/>
                <w:szCs w:val="18"/>
              </w:rPr>
              <w:t>granted</w:t>
            </w:r>
          </w:p>
        </w:tc>
        <w:tc>
          <w:tcPr>
            <w:tcW w:w="1040" w:type="dxa"/>
            <w:tcBorders>
              <w:top w:val="single" w:sz="4" w:space="0" w:color="auto"/>
              <w:bottom w:val="single" w:sz="4" w:space="0" w:color="auto"/>
            </w:tcBorders>
          </w:tcPr>
          <w:p w14:paraId="1389CF41" w14:textId="77777777" w:rsidR="00802E85" w:rsidRPr="00345AA4" w:rsidRDefault="00802E85" w:rsidP="00375E56">
            <w:pPr>
              <w:pStyle w:val="ListParagraph"/>
              <w:ind w:left="0"/>
              <w:contextualSpacing/>
              <w:jc w:val="center"/>
              <w:rPr>
                <w:rStyle w:val="Strong"/>
                <w:rFonts w:ascii="Arial" w:eastAsia="Calibri" w:hAnsi="Arial" w:cs="Arial"/>
                <w:color w:val="000000" w:themeColor="text1"/>
                <w:sz w:val="18"/>
                <w:szCs w:val="18"/>
              </w:rPr>
            </w:pPr>
            <w:r w:rsidRPr="00345AA4">
              <w:rPr>
                <w:rStyle w:val="Strong"/>
                <w:rFonts w:ascii="Arial" w:eastAsia="Calibri" w:hAnsi="Arial" w:cs="Arial"/>
                <w:color w:val="000000" w:themeColor="text1"/>
                <w:sz w:val="18"/>
                <w:szCs w:val="18"/>
              </w:rPr>
              <w:t>Unused amount for refund</w:t>
            </w:r>
          </w:p>
        </w:tc>
      </w:tr>
      <w:tr w:rsidR="00345AA4" w:rsidRPr="00345AA4" w14:paraId="577659FC" w14:textId="77777777" w:rsidTr="00721159">
        <w:tc>
          <w:tcPr>
            <w:tcW w:w="2200" w:type="dxa"/>
            <w:vMerge w:val="restart"/>
            <w:tcBorders>
              <w:top w:val="single" w:sz="4" w:space="0" w:color="auto"/>
            </w:tcBorders>
          </w:tcPr>
          <w:p w14:paraId="4F038102" w14:textId="77777777" w:rsidR="00802E85" w:rsidRPr="00345AA4" w:rsidRDefault="00802E85" w:rsidP="0000776F">
            <w:pPr>
              <w:pStyle w:val="ListParagraph"/>
              <w:ind w:left="162" w:hanging="162"/>
              <w:contextualSpacing/>
              <w:jc w:val="both"/>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General Santos City</w:t>
            </w:r>
          </w:p>
        </w:tc>
        <w:tc>
          <w:tcPr>
            <w:tcW w:w="1620" w:type="dxa"/>
            <w:tcBorders>
              <w:top w:val="single" w:sz="4" w:space="0" w:color="auto"/>
            </w:tcBorders>
          </w:tcPr>
          <w:p w14:paraId="5478FE78"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Nov. 22-23, 2018</w:t>
            </w:r>
          </w:p>
        </w:tc>
        <w:tc>
          <w:tcPr>
            <w:tcW w:w="1620" w:type="dxa"/>
            <w:tcBorders>
              <w:top w:val="single" w:sz="4" w:space="0" w:color="auto"/>
            </w:tcBorders>
          </w:tcPr>
          <w:p w14:paraId="40C72C24" w14:textId="77777777" w:rsidR="00802E85" w:rsidRPr="00345AA4" w:rsidRDefault="00802E85" w:rsidP="00375E56">
            <w:pPr>
              <w:pStyle w:val="ListParagraph"/>
              <w:ind w:left="0"/>
              <w:contextualSpacing/>
              <w:jc w:val="center"/>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11/20/2018</w:t>
            </w:r>
          </w:p>
        </w:tc>
        <w:tc>
          <w:tcPr>
            <w:tcW w:w="1350" w:type="dxa"/>
            <w:tcBorders>
              <w:top w:val="single" w:sz="4" w:space="0" w:color="auto"/>
            </w:tcBorders>
          </w:tcPr>
          <w:p w14:paraId="33F54628"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P25,000</w:t>
            </w:r>
          </w:p>
        </w:tc>
        <w:tc>
          <w:tcPr>
            <w:tcW w:w="1040" w:type="dxa"/>
            <w:tcBorders>
              <w:top w:val="single" w:sz="4" w:space="0" w:color="auto"/>
            </w:tcBorders>
          </w:tcPr>
          <w:p w14:paraId="639147A4"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P4,026</w:t>
            </w:r>
          </w:p>
        </w:tc>
      </w:tr>
      <w:tr w:rsidR="00345AA4" w:rsidRPr="00345AA4" w14:paraId="2DAF79FD" w14:textId="77777777" w:rsidTr="00721159">
        <w:tc>
          <w:tcPr>
            <w:tcW w:w="2200" w:type="dxa"/>
            <w:vMerge/>
          </w:tcPr>
          <w:p w14:paraId="7266F89A"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p>
        </w:tc>
        <w:tc>
          <w:tcPr>
            <w:tcW w:w="1620" w:type="dxa"/>
          </w:tcPr>
          <w:p w14:paraId="735C26E6"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Jan. 10-11, 2019</w:t>
            </w:r>
          </w:p>
        </w:tc>
        <w:tc>
          <w:tcPr>
            <w:tcW w:w="1620" w:type="dxa"/>
          </w:tcPr>
          <w:p w14:paraId="314D489B" w14:textId="77777777" w:rsidR="00802E85" w:rsidRPr="00345AA4" w:rsidRDefault="00802E85" w:rsidP="00375E56">
            <w:pPr>
              <w:pStyle w:val="ListParagraph"/>
              <w:ind w:left="0"/>
              <w:contextualSpacing/>
              <w:jc w:val="center"/>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01/09/2019</w:t>
            </w:r>
          </w:p>
        </w:tc>
        <w:tc>
          <w:tcPr>
            <w:tcW w:w="1350" w:type="dxa"/>
          </w:tcPr>
          <w:p w14:paraId="7CE7304E"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63,000</w:t>
            </w:r>
          </w:p>
        </w:tc>
        <w:tc>
          <w:tcPr>
            <w:tcW w:w="1040" w:type="dxa"/>
          </w:tcPr>
          <w:p w14:paraId="4C3523E9"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15,567</w:t>
            </w:r>
          </w:p>
        </w:tc>
      </w:tr>
      <w:tr w:rsidR="00345AA4" w:rsidRPr="00345AA4" w14:paraId="1017D445" w14:textId="77777777" w:rsidTr="00721159">
        <w:tc>
          <w:tcPr>
            <w:tcW w:w="2200" w:type="dxa"/>
            <w:vMerge/>
          </w:tcPr>
          <w:p w14:paraId="3FE7984E"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p>
        </w:tc>
        <w:tc>
          <w:tcPr>
            <w:tcW w:w="1620" w:type="dxa"/>
          </w:tcPr>
          <w:p w14:paraId="32CAC76C"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Feb. 12-13, 2019</w:t>
            </w:r>
          </w:p>
        </w:tc>
        <w:tc>
          <w:tcPr>
            <w:tcW w:w="1620" w:type="dxa"/>
          </w:tcPr>
          <w:p w14:paraId="285140F8" w14:textId="77777777" w:rsidR="00802E85" w:rsidRPr="00345AA4" w:rsidRDefault="00802E85" w:rsidP="00375E56">
            <w:pPr>
              <w:pStyle w:val="ListParagraph"/>
              <w:ind w:left="0"/>
              <w:contextualSpacing/>
              <w:jc w:val="center"/>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02/11/2019</w:t>
            </w:r>
          </w:p>
        </w:tc>
        <w:tc>
          <w:tcPr>
            <w:tcW w:w="1350" w:type="dxa"/>
          </w:tcPr>
          <w:p w14:paraId="50362F8D"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78,000</w:t>
            </w:r>
          </w:p>
        </w:tc>
        <w:tc>
          <w:tcPr>
            <w:tcW w:w="1040" w:type="dxa"/>
          </w:tcPr>
          <w:p w14:paraId="49CB1CAC"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26,238</w:t>
            </w:r>
          </w:p>
        </w:tc>
      </w:tr>
      <w:tr w:rsidR="00345AA4" w:rsidRPr="00345AA4" w14:paraId="592C4CED" w14:textId="77777777" w:rsidTr="00721159">
        <w:tc>
          <w:tcPr>
            <w:tcW w:w="2200" w:type="dxa"/>
            <w:vMerge/>
          </w:tcPr>
          <w:p w14:paraId="7D37101D"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p>
        </w:tc>
        <w:tc>
          <w:tcPr>
            <w:tcW w:w="1620" w:type="dxa"/>
          </w:tcPr>
          <w:p w14:paraId="44721974"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Mar. 6-8, 2019</w:t>
            </w:r>
          </w:p>
        </w:tc>
        <w:tc>
          <w:tcPr>
            <w:tcW w:w="1620" w:type="dxa"/>
          </w:tcPr>
          <w:p w14:paraId="684746CA" w14:textId="77777777" w:rsidR="00802E85" w:rsidRPr="00345AA4" w:rsidRDefault="00802E85" w:rsidP="00375E56">
            <w:pPr>
              <w:pStyle w:val="ListParagraph"/>
              <w:ind w:left="0"/>
              <w:contextualSpacing/>
              <w:jc w:val="center"/>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02/19/2019</w:t>
            </w:r>
          </w:p>
        </w:tc>
        <w:tc>
          <w:tcPr>
            <w:tcW w:w="1350" w:type="dxa"/>
          </w:tcPr>
          <w:p w14:paraId="11739072"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25,000</w:t>
            </w:r>
          </w:p>
        </w:tc>
        <w:tc>
          <w:tcPr>
            <w:tcW w:w="1040" w:type="dxa"/>
          </w:tcPr>
          <w:p w14:paraId="19792FD2"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6,693</w:t>
            </w:r>
          </w:p>
        </w:tc>
      </w:tr>
      <w:tr w:rsidR="00345AA4" w:rsidRPr="00345AA4" w14:paraId="7E4A4693" w14:textId="77777777" w:rsidTr="00721159">
        <w:tc>
          <w:tcPr>
            <w:tcW w:w="2200" w:type="dxa"/>
            <w:vMerge/>
          </w:tcPr>
          <w:p w14:paraId="138FFE6F"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p>
        </w:tc>
        <w:tc>
          <w:tcPr>
            <w:tcW w:w="1620" w:type="dxa"/>
          </w:tcPr>
          <w:p w14:paraId="1620B61A"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Mar. 21-22, 2019</w:t>
            </w:r>
          </w:p>
        </w:tc>
        <w:tc>
          <w:tcPr>
            <w:tcW w:w="1620" w:type="dxa"/>
          </w:tcPr>
          <w:p w14:paraId="7FF6CBBF" w14:textId="77777777" w:rsidR="00802E85" w:rsidRPr="00345AA4" w:rsidRDefault="00802E85" w:rsidP="00375E56">
            <w:pPr>
              <w:pStyle w:val="ListParagraph"/>
              <w:ind w:left="0"/>
              <w:contextualSpacing/>
              <w:jc w:val="center"/>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03/18/2019</w:t>
            </w:r>
          </w:p>
        </w:tc>
        <w:tc>
          <w:tcPr>
            <w:tcW w:w="1350" w:type="dxa"/>
          </w:tcPr>
          <w:p w14:paraId="39F36974"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20,000</w:t>
            </w:r>
          </w:p>
        </w:tc>
        <w:tc>
          <w:tcPr>
            <w:tcW w:w="1040" w:type="dxa"/>
          </w:tcPr>
          <w:p w14:paraId="4A2165C6"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530</w:t>
            </w:r>
          </w:p>
        </w:tc>
      </w:tr>
      <w:tr w:rsidR="00345AA4" w:rsidRPr="00345AA4" w14:paraId="7517A5E0" w14:textId="77777777" w:rsidTr="00721159">
        <w:tc>
          <w:tcPr>
            <w:tcW w:w="2200" w:type="dxa"/>
            <w:vMerge/>
          </w:tcPr>
          <w:p w14:paraId="028279F4"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p>
        </w:tc>
        <w:tc>
          <w:tcPr>
            <w:tcW w:w="1620" w:type="dxa"/>
          </w:tcPr>
          <w:p w14:paraId="628D458D"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Apr. 22-23, 2019</w:t>
            </w:r>
          </w:p>
        </w:tc>
        <w:tc>
          <w:tcPr>
            <w:tcW w:w="1620" w:type="dxa"/>
          </w:tcPr>
          <w:p w14:paraId="60B2301A" w14:textId="77777777" w:rsidR="00802E85" w:rsidRPr="00345AA4" w:rsidRDefault="00802E85" w:rsidP="00375E56">
            <w:pPr>
              <w:pStyle w:val="ListParagraph"/>
              <w:ind w:left="0"/>
              <w:contextualSpacing/>
              <w:jc w:val="center"/>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04/12/2019</w:t>
            </w:r>
          </w:p>
        </w:tc>
        <w:tc>
          <w:tcPr>
            <w:tcW w:w="1350" w:type="dxa"/>
          </w:tcPr>
          <w:p w14:paraId="2EEC4C48"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25,000</w:t>
            </w:r>
          </w:p>
        </w:tc>
        <w:tc>
          <w:tcPr>
            <w:tcW w:w="1040" w:type="dxa"/>
          </w:tcPr>
          <w:p w14:paraId="3A374325"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4,935</w:t>
            </w:r>
          </w:p>
        </w:tc>
      </w:tr>
      <w:tr w:rsidR="00345AA4" w:rsidRPr="00345AA4" w14:paraId="5AEB5476" w14:textId="77777777" w:rsidTr="00721159">
        <w:tc>
          <w:tcPr>
            <w:tcW w:w="2200" w:type="dxa"/>
            <w:vMerge/>
          </w:tcPr>
          <w:p w14:paraId="27436E80"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p>
        </w:tc>
        <w:tc>
          <w:tcPr>
            <w:tcW w:w="1620" w:type="dxa"/>
          </w:tcPr>
          <w:p w14:paraId="60F2DC2C"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Aug. 15-17, 2019</w:t>
            </w:r>
          </w:p>
        </w:tc>
        <w:tc>
          <w:tcPr>
            <w:tcW w:w="1620" w:type="dxa"/>
          </w:tcPr>
          <w:p w14:paraId="5FF55C40" w14:textId="77777777" w:rsidR="00802E85" w:rsidRPr="00345AA4" w:rsidRDefault="00802E85" w:rsidP="00375E56">
            <w:pPr>
              <w:pStyle w:val="ListParagraph"/>
              <w:ind w:left="0"/>
              <w:contextualSpacing/>
              <w:jc w:val="center"/>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07/29/2019</w:t>
            </w:r>
          </w:p>
        </w:tc>
        <w:tc>
          <w:tcPr>
            <w:tcW w:w="1350" w:type="dxa"/>
          </w:tcPr>
          <w:p w14:paraId="62E0DC0A"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25,000</w:t>
            </w:r>
          </w:p>
        </w:tc>
        <w:tc>
          <w:tcPr>
            <w:tcW w:w="1040" w:type="dxa"/>
          </w:tcPr>
          <w:p w14:paraId="67664ED6"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3,879</w:t>
            </w:r>
          </w:p>
        </w:tc>
      </w:tr>
      <w:tr w:rsidR="00345AA4" w:rsidRPr="00345AA4" w14:paraId="28EBA6DF" w14:textId="77777777" w:rsidTr="00721159">
        <w:tc>
          <w:tcPr>
            <w:tcW w:w="2200" w:type="dxa"/>
            <w:vMerge/>
          </w:tcPr>
          <w:p w14:paraId="11142237"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p>
        </w:tc>
        <w:tc>
          <w:tcPr>
            <w:tcW w:w="1620" w:type="dxa"/>
          </w:tcPr>
          <w:p w14:paraId="4C71484F"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Aug. 15-16, 2019</w:t>
            </w:r>
          </w:p>
        </w:tc>
        <w:tc>
          <w:tcPr>
            <w:tcW w:w="1620" w:type="dxa"/>
          </w:tcPr>
          <w:p w14:paraId="30EFDE9C" w14:textId="77777777" w:rsidR="00802E85" w:rsidRPr="00345AA4" w:rsidRDefault="00802E85" w:rsidP="00375E56">
            <w:pPr>
              <w:pStyle w:val="ListParagraph"/>
              <w:ind w:left="0"/>
              <w:contextualSpacing/>
              <w:jc w:val="center"/>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07/29/2019</w:t>
            </w:r>
          </w:p>
        </w:tc>
        <w:tc>
          <w:tcPr>
            <w:tcW w:w="1350" w:type="dxa"/>
          </w:tcPr>
          <w:p w14:paraId="7D3BCD53"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25,000</w:t>
            </w:r>
          </w:p>
        </w:tc>
        <w:tc>
          <w:tcPr>
            <w:tcW w:w="1040" w:type="dxa"/>
          </w:tcPr>
          <w:p w14:paraId="7A40F45E"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3,782</w:t>
            </w:r>
          </w:p>
        </w:tc>
      </w:tr>
      <w:tr w:rsidR="00345AA4" w:rsidRPr="00345AA4" w14:paraId="08EF1631" w14:textId="77777777" w:rsidTr="00721159">
        <w:tc>
          <w:tcPr>
            <w:tcW w:w="2200" w:type="dxa"/>
            <w:vMerge/>
          </w:tcPr>
          <w:p w14:paraId="736D8210"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p>
        </w:tc>
        <w:tc>
          <w:tcPr>
            <w:tcW w:w="1620" w:type="dxa"/>
          </w:tcPr>
          <w:p w14:paraId="4B23A3D6"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Sep. 11-13, 2019</w:t>
            </w:r>
          </w:p>
        </w:tc>
        <w:tc>
          <w:tcPr>
            <w:tcW w:w="1620" w:type="dxa"/>
          </w:tcPr>
          <w:p w14:paraId="315124AE" w14:textId="77777777" w:rsidR="00802E85" w:rsidRPr="00345AA4" w:rsidRDefault="00802E85" w:rsidP="00375E56">
            <w:pPr>
              <w:pStyle w:val="ListParagraph"/>
              <w:ind w:left="0"/>
              <w:contextualSpacing/>
              <w:jc w:val="center"/>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09/09/2019</w:t>
            </w:r>
          </w:p>
        </w:tc>
        <w:tc>
          <w:tcPr>
            <w:tcW w:w="1350" w:type="dxa"/>
          </w:tcPr>
          <w:p w14:paraId="10F8FC2F"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22,000</w:t>
            </w:r>
          </w:p>
        </w:tc>
        <w:tc>
          <w:tcPr>
            <w:tcW w:w="1040" w:type="dxa"/>
          </w:tcPr>
          <w:p w14:paraId="3AEF49CD"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3,452</w:t>
            </w:r>
          </w:p>
        </w:tc>
      </w:tr>
      <w:tr w:rsidR="00345AA4" w:rsidRPr="00345AA4" w14:paraId="74760CBD" w14:textId="77777777" w:rsidTr="00721159">
        <w:tc>
          <w:tcPr>
            <w:tcW w:w="2200" w:type="dxa"/>
            <w:vMerge/>
          </w:tcPr>
          <w:p w14:paraId="57330BAC"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p>
        </w:tc>
        <w:tc>
          <w:tcPr>
            <w:tcW w:w="1620" w:type="dxa"/>
          </w:tcPr>
          <w:p w14:paraId="5C53B653"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Sep. 11-13, 2019</w:t>
            </w:r>
          </w:p>
        </w:tc>
        <w:tc>
          <w:tcPr>
            <w:tcW w:w="1620" w:type="dxa"/>
          </w:tcPr>
          <w:p w14:paraId="12867D20" w14:textId="77777777" w:rsidR="00802E85" w:rsidRPr="00345AA4" w:rsidRDefault="00802E85" w:rsidP="00375E56">
            <w:pPr>
              <w:pStyle w:val="ListParagraph"/>
              <w:ind w:left="0"/>
              <w:contextualSpacing/>
              <w:jc w:val="center"/>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09/10/2019</w:t>
            </w:r>
          </w:p>
        </w:tc>
        <w:tc>
          <w:tcPr>
            <w:tcW w:w="1350" w:type="dxa"/>
          </w:tcPr>
          <w:p w14:paraId="4C7AE87A"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28,200</w:t>
            </w:r>
          </w:p>
        </w:tc>
        <w:tc>
          <w:tcPr>
            <w:tcW w:w="1040" w:type="dxa"/>
          </w:tcPr>
          <w:p w14:paraId="22355E79"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8,286</w:t>
            </w:r>
          </w:p>
        </w:tc>
      </w:tr>
      <w:tr w:rsidR="00345AA4" w:rsidRPr="00345AA4" w14:paraId="15F45157" w14:textId="77777777" w:rsidTr="00721159">
        <w:tc>
          <w:tcPr>
            <w:tcW w:w="2200" w:type="dxa"/>
            <w:vMerge/>
          </w:tcPr>
          <w:p w14:paraId="6FD3A51F"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p>
        </w:tc>
        <w:tc>
          <w:tcPr>
            <w:tcW w:w="1620" w:type="dxa"/>
          </w:tcPr>
          <w:p w14:paraId="257276D9"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Oct. 23-25, 2019</w:t>
            </w:r>
          </w:p>
        </w:tc>
        <w:tc>
          <w:tcPr>
            <w:tcW w:w="1620" w:type="dxa"/>
          </w:tcPr>
          <w:p w14:paraId="33461B8E" w14:textId="77777777" w:rsidR="00802E85" w:rsidRPr="00345AA4" w:rsidRDefault="00802E85" w:rsidP="00375E56">
            <w:pPr>
              <w:pStyle w:val="ListParagraph"/>
              <w:ind w:left="0"/>
              <w:contextualSpacing/>
              <w:jc w:val="center"/>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10/22/2019</w:t>
            </w:r>
          </w:p>
        </w:tc>
        <w:tc>
          <w:tcPr>
            <w:tcW w:w="1350" w:type="dxa"/>
          </w:tcPr>
          <w:p w14:paraId="239BDD52"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64,500</w:t>
            </w:r>
          </w:p>
        </w:tc>
        <w:tc>
          <w:tcPr>
            <w:tcW w:w="1040" w:type="dxa"/>
          </w:tcPr>
          <w:p w14:paraId="2D865840" w14:textId="39B5A2CC" w:rsidR="00802E85" w:rsidRPr="00345AA4" w:rsidRDefault="00F043CF"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0</w:t>
            </w:r>
          </w:p>
        </w:tc>
      </w:tr>
      <w:tr w:rsidR="00345AA4" w:rsidRPr="00345AA4" w14:paraId="6A550A87" w14:textId="77777777" w:rsidTr="00721159">
        <w:tc>
          <w:tcPr>
            <w:tcW w:w="2200" w:type="dxa"/>
            <w:vMerge/>
          </w:tcPr>
          <w:p w14:paraId="58E13206"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p>
        </w:tc>
        <w:tc>
          <w:tcPr>
            <w:tcW w:w="1620" w:type="dxa"/>
          </w:tcPr>
          <w:p w14:paraId="5248EB97"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Oct. 23-24, 2019</w:t>
            </w:r>
          </w:p>
        </w:tc>
        <w:tc>
          <w:tcPr>
            <w:tcW w:w="1620" w:type="dxa"/>
          </w:tcPr>
          <w:p w14:paraId="5282F0C6" w14:textId="77777777" w:rsidR="00802E85" w:rsidRPr="00345AA4" w:rsidRDefault="00802E85" w:rsidP="00375E56">
            <w:pPr>
              <w:pStyle w:val="ListParagraph"/>
              <w:ind w:left="0"/>
              <w:contextualSpacing/>
              <w:jc w:val="center"/>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10/22/2019</w:t>
            </w:r>
          </w:p>
        </w:tc>
        <w:tc>
          <w:tcPr>
            <w:tcW w:w="1350" w:type="dxa"/>
          </w:tcPr>
          <w:p w14:paraId="045BAB82"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20,000</w:t>
            </w:r>
          </w:p>
        </w:tc>
        <w:tc>
          <w:tcPr>
            <w:tcW w:w="1040" w:type="dxa"/>
          </w:tcPr>
          <w:p w14:paraId="4BCF49F5"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7,473</w:t>
            </w:r>
          </w:p>
        </w:tc>
      </w:tr>
      <w:tr w:rsidR="00345AA4" w:rsidRPr="00345AA4" w14:paraId="0FDC5305" w14:textId="77777777" w:rsidTr="00721159">
        <w:tc>
          <w:tcPr>
            <w:tcW w:w="2200" w:type="dxa"/>
            <w:vMerge/>
          </w:tcPr>
          <w:p w14:paraId="5B81C4AB"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p>
        </w:tc>
        <w:tc>
          <w:tcPr>
            <w:tcW w:w="1620" w:type="dxa"/>
          </w:tcPr>
          <w:p w14:paraId="1C62B5FB"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Nov. 13-15, 2019</w:t>
            </w:r>
          </w:p>
        </w:tc>
        <w:tc>
          <w:tcPr>
            <w:tcW w:w="1620" w:type="dxa"/>
          </w:tcPr>
          <w:p w14:paraId="11EC1A34" w14:textId="77777777" w:rsidR="00802E85" w:rsidRPr="00345AA4" w:rsidRDefault="00802E85" w:rsidP="00375E56">
            <w:pPr>
              <w:pStyle w:val="ListParagraph"/>
              <w:ind w:left="0"/>
              <w:contextualSpacing/>
              <w:jc w:val="center"/>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11/05/2019</w:t>
            </w:r>
          </w:p>
        </w:tc>
        <w:tc>
          <w:tcPr>
            <w:tcW w:w="1350" w:type="dxa"/>
          </w:tcPr>
          <w:p w14:paraId="29B60353"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20,000</w:t>
            </w:r>
          </w:p>
        </w:tc>
        <w:tc>
          <w:tcPr>
            <w:tcW w:w="1040" w:type="dxa"/>
          </w:tcPr>
          <w:p w14:paraId="46AA571A"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584</w:t>
            </w:r>
          </w:p>
        </w:tc>
      </w:tr>
      <w:tr w:rsidR="00345AA4" w:rsidRPr="00345AA4" w14:paraId="2109C46F" w14:textId="77777777" w:rsidTr="00721159">
        <w:tc>
          <w:tcPr>
            <w:tcW w:w="2200" w:type="dxa"/>
          </w:tcPr>
          <w:p w14:paraId="1269A0BD" w14:textId="77777777" w:rsidR="00802E85" w:rsidRPr="00345AA4" w:rsidRDefault="00802E85" w:rsidP="0000776F">
            <w:pPr>
              <w:pStyle w:val="ListParagraph"/>
              <w:ind w:left="162" w:hanging="162"/>
              <w:contextualSpacing/>
              <w:jc w:val="both"/>
              <w:rPr>
                <w:rStyle w:val="Strong"/>
                <w:rFonts w:ascii="Arial" w:eastAsia="Calibri" w:hAnsi="Arial" w:cs="Arial"/>
                <w:b w:val="0"/>
                <w:color w:val="000000" w:themeColor="text1"/>
                <w:sz w:val="18"/>
                <w:szCs w:val="18"/>
              </w:rPr>
            </w:pPr>
            <w:proofErr w:type="spellStart"/>
            <w:r w:rsidRPr="00345AA4">
              <w:rPr>
                <w:rStyle w:val="Strong"/>
                <w:rFonts w:ascii="Arial" w:eastAsia="Calibri" w:hAnsi="Arial" w:cs="Arial"/>
                <w:b w:val="0"/>
                <w:color w:val="000000" w:themeColor="text1"/>
                <w:sz w:val="18"/>
                <w:szCs w:val="18"/>
              </w:rPr>
              <w:t>Bansud</w:t>
            </w:r>
            <w:proofErr w:type="spellEnd"/>
            <w:r w:rsidR="007F20BC" w:rsidRPr="00345AA4">
              <w:rPr>
                <w:rStyle w:val="Strong"/>
                <w:rFonts w:ascii="Arial" w:eastAsia="Calibri" w:hAnsi="Arial" w:cs="Arial"/>
                <w:b w:val="0"/>
                <w:color w:val="000000" w:themeColor="text1"/>
                <w:sz w:val="18"/>
                <w:szCs w:val="18"/>
              </w:rPr>
              <w:t>,</w:t>
            </w:r>
            <w:r w:rsidRPr="00345AA4">
              <w:rPr>
                <w:rStyle w:val="Strong"/>
                <w:rFonts w:ascii="Arial" w:eastAsia="Calibri" w:hAnsi="Arial" w:cs="Arial"/>
                <w:b w:val="0"/>
                <w:color w:val="000000" w:themeColor="text1"/>
                <w:sz w:val="18"/>
                <w:szCs w:val="18"/>
              </w:rPr>
              <w:t xml:space="preserve"> Oriental Mindoro</w:t>
            </w:r>
          </w:p>
        </w:tc>
        <w:tc>
          <w:tcPr>
            <w:tcW w:w="1620" w:type="dxa"/>
          </w:tcPr>
          <w:p w14:paraId="794835CB"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Feb. 7-9, 2019</w:t>
            </w:r>
          </w:p>
        </w:tc>
        <w:tc>
          <w:tcPr>
            <w:tcW w:w="1620" w:type="dxa"/>
          </w:tcPr>
          <w:p w14:paraId="6244A35B" w14:textId="77777777" w:rsidR="00802E85" w:rsidRPr="00345AA4" w:rsidRDefault="00802E85" w:rsidP="00375E56">
            <w:pPr>
              <w:pStyle w:val="ListParagraph"/>
              <w:ind w:left="0"/>
              <w:contextualSpacing/>
              <w:jc w:val="center"/>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02/07/2019</w:t>
            </w:r>
          </w:p>
        </w:tc>
        <w:tc>
          <w:tcPr>
            <w:tcW w:w="1350" w:type="dxa"/>
          </w:tcPr>
          <w:p w14:paraId="7E3BC893"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14,950</w:t>
            </w:r>
          </w:p>
        </w:tc>
        <w:tc>
          <w:tcPr>
            <w:tcW w:w="1040" w:type="dxa"/>
          </w:tcPr>
          <w:p w14:paraId="568AAC88"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2,980</w:t>
            </w:r>
          </w:p>
        </w:tc>
      </w:tr>
      <w:tr w:rsidR="00345AA4" w:rsidRPr="00345AA4" w14:paraId="50A838BB" w14:textId="77777777" w:rsidTr="00721159">
        <w:tc>
          <w:tcPr>
            <w:tcW w:w="2200" w:type="dxa"/>
          </w:tcPr>
          <w:p w14:paraId="0EC1A6CD"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Romblon</w:t>
            </w:r>
          </w:p>
        </w:tc>
        <w:tc>
          <w:tcPr>
            <w:tcW w:w="1620" w:type="dxa"/>
          </w:tcPr>
          <w:p w14:paraId="3628BD19"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Apr. 4-5, 2019</w:t>
            </w:r>
          </w:p>
        </w:tc>
        <w:tc>
          <w:tcPr>
            <w:tcW w:w="1620" w:type="dxa"/>
          </w:tcPr>
          <w:p w14:paraId="53EB2B84" w14:textId="77777777" w:rsidR="00802E85" w:rsidRPr="00345AA4" w:rsidRDefault="00802E85" w:rsidP="00375E56">
            <w:pPr>
              <w:pStyle w:val="ListParagraph"/>
              <w:ind w:left="0"/>
              <w:contextualSpacing/>
              <w:jc w:val="center"/>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04/02/2019</w:t>
            </w:r>
          </w:p>
        </w:tc>
        <w:tc>
          <w:tcPr>
            <w:tcW w:w="1350" w:type="dxa"/>
          </w:tcPr>
          <w:p w14:paraId="7FF15312"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15,900</w:t>
            </w:r>
          </w:p>
        </w:tc>
        <w:tc>
          <w:tcPr>
            <w:tcW w:w="1040" w:type="dxa"/>
          </w:tcPr>
          <w:p w14:paraId="680CDDDC"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3,997</w:t>
            </w:r>
          </w:p>
        </w:tc>
      </w:tr>
      <w:tr w:rsidR="00345AA4" w:rsidRPr="00345AA4" w14:paraId="3DB75339" w14:textId="77777777" w:rsidTr="00721159">
        <w:tc>
          <w:tcPr>
            <w:tcW w:w="2200" w:type="dxa"/>
          </w:tcPr>
          <w:p w14:paraId="609548C8"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Nueva Vizcaya</w:t>
            </w:r>
          </w:p>
        </w:tc>
        <w:tc>
          <w:tcPr>
            <w:tcW w:w="1620" w:type="dxa"/>
          </w:tcPr>
          <w:p w14:paraId="5A15FB3E"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May 16-18, 2019</w:t>
            </w:r>
          </w:p>
        </w:tc>
        <w:tc>
          <w:tcPr>
            <w:tcW w:w="1620" w:type="dxa"/>
          </w:tcPr>
          <w:p w14:paraId="18546A85" w14:textId="77777777" w:rsidR="00802E85" w:rsidRPr="00345AA4" w:rsidRDefault="00802E85" w:rsidP="00375E56">
            <w:pPr>
              <w:pStyle w:val="ListParagraph"/>
              <w:ind w:left="0"/>
              <w:contextualSpacing/>
              <w:jc w:val="center"/>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05/16/2019</w:t>
            </w:r>
          </w:p>
        </w:tc>
        <w:tc>
          <w:tcPr>
            <w:tcW w:w="1350" w:type="dxa"/>
          </w:tcPr>
          <w:p w14:paraId="7987207E"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20,600</w:t>
            </w:r>
          </w:p>
        </w:tc>
        <w:tc>
          <w:tcPr>
            <w:tcW w:w="1040" w:type="dxa"/>
          </w:tcPr>
          <w:p w14:paraId="4FF67A1C"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12,070</w:t>
            </w:r>
          </w:p>
        </w:tc>
      </w:tr>
      <w:tr w:rsidR="00345AA4" w:rsidRPr="00345AA4" w14:paraId="2F00904C" w14:textId="77777777" w:rsidTr="00721159">
        <w:tc>
          <w:tcPr>
            <w:tcW w:w="2200" w:type="dxa"/>
          </w:tcPr>
          <w:p w14:paraId="3D007D63"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Iloilo City</w:t>
            </w:r>
          </w:p>
        </w:tc>
        <w:tc>
          <w:tcPr>
            <w:tcW w:w="1620" w:type="dxa"/>
          </w:tcPr>
          <w:p w14:paraId="56D703F9"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July 3-5, 2019</w:t>
            </w:r>
          </w:p>
        </w:tc>
        <w:tc>
          <w:tcPr>
            <w:tcW w:w="1620" w:type="dxa"/>
          </w:tcPr>
          <w:p w14:paraId="11C04C77" w14:textId="77777777" w:rsidR="00802E85" w:rsidRPr="00345AA4" w:rsidRDefault="00802E85" w:rsidP="00375E56">
            <w:pPr>
              <w:pStyle w:val="ListParagraph"/>
              <w:ind w:left="0"/>
              <w:contextualSpacing/>
              <w:jc w:val="center"/>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07/02/2019</w:t>
            </w:r>
          </w:p>
        </w:tc>
        <w:tc>
          <w:tcPr>
            <w:tcW w:w="1350" w:type="dxa"/>
          </w:tcPr>
          <w:p w14:paraId="19421F04"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59,500</w:t>
            </w:r>
          </w:p>
        </w:tc>
        <w:tc>
          <w:tcPr>
            <w:tcW w:w="1040" w:type="dxa"/>
          </w:tcPr>
          <w:p w14:paraId="18AC8F42"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13,503</w:t>
            </w:r>
          </w:p>
        </w:tc>
      </w:tr>
      <w:tr w:rsidR="00345AA4" w:rsidRPr="00345AA4" w14:paraId="11F559A0" w14:textId="77777777" w:rsidTr="00721159">
        <w:tc>
          <w:tcPr>
            <w:tcW w:w="2200" w:type="dxa"/>
            <w:vMerge w:val="restart"/>
          </w:tcPr>
          <w:p w14:paraId="43AC8BBA"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Dumaguete City</w:t>
            </w:r>
          </w:p>
        </w:tc>
        <w:tc>
          <w:tcPr>
            <w:tcW w:w="1620" w:type="dxa"/>
          </w:tcPr>
          <w:p w14:paraId="4D79296C"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Sep. 3-4, 2019</w:t>
            </w:r>
          </w:p>
        </w:tc>
        <w:tc>
          <w:tcPr>
            <w:tcW w:w="1620" w:type="dxa"/>
          </w:tcPr>
          <w:p w14:paraId="3C36FFAF" w14:textId="77777777" w:rsidR="00802E85" w:rsidRPr="00345AA4" w:rsidRDefault="00802E85" w:rsidP="00375E56">
            <w:pPr>
              <w:pStyle w:val="ListParagraph"/>
              <w:ind w:left="0"/>
              <w:contextualSpacing/>
              <w:jc w:val="center"/>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09/02/2019</w:t>
            </w:r>
          </w:p>
        </w:tc>
        <w:tc>
          <w:tcPr>
            <w:tcW w:w="1350" w:type="dxa"/>
          </w:tcPr>
          <w:p w14:paraId="24FBA22F"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19,631</w:t>
            </w:r>
          </w:p>
        </w:tc>
        <w:tc>
          <w:tcPr>
            <w:tcW w:w="1040" w:type="dxa"/>
          </w:tcPr>
          <w:p w14:paraId="6489B519"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7,808</w:t>
            </w:r>
          </w:p>
        </w:tc>
      </w:tr>
      <w:tr w:rsidR="00345AA4" w:rsidRPr="00345AA4" w14:paraId="21246F8C" w14:textId="77777777" w:rsidTr="00721159">
        <w:tc>
          <w:tcPr>
            <w:tcW w:w="2200" w:type="dxa"/>
            <w:vMerge/>
          </w:tcPr>
          <w:p w14:paraId="0C7C04ED"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p>
        </w:tc>
        <w:tc>
          <w:tcPr>
            <w:tcW w:w="1620" w:type="dxa"/>
          </w:tcPr>
          <w:p w14:paraId="0CD5BB9D"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Sep. 18-20, 2019</w:t>
            </w:r>
          </w:p>
        </w:tc>
        <w:tc>
          <w:tcPr>
            <w:tcW w:w="1620" w:type="dxa"/>
          </w:tcPr>
          <w:p w14:paraId="7E8B1C65" w14:textId="77777777" w:rsidR="00802E85" w:rsidRPr="00345AA4" w:rsidRDefault="00802E85" w:rsidP="00375E56">
            <w:pPr>
              <w:pStyle w:val="ListParagraph"/>
              <w:ind w:left="0"/>
              <w:contextualSpacing/>
              <w:jc w:val="center"/>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09/17/2019</w:t>
            </w:r>
          </w:p>
        </w:tc>
        <w:tc>
          <w:tcPr>
            <w:tcW w:w="1350" w:type="dxa"/>
          </w:tcPr>
          <w:p w14:paraId="39CD4EE5"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19,185</w:t>
            </w:r>
          </w:p>
        </w:tc>
        <w:tc>
          <w:tcPr>
            <w:tcW w:w="1040" w:type="dxa"/>
          </w:tcPr>
          <w:p w14:paraId="145878F1"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4,011</w:t>
            </w:r>
          </w:p>
        </w:tc>
      </w:tr>
      <w:tr w:rsidR="00345AA4" w:rsidRPr="00345AA4" w14:paraId="766D071B" w14:textId="77777777" w:rsidTr="00721159">
        <w:tc>
          <w:tcPr>
            <w:tcW w:w="2200" w:type="dxa"/>
            <w:tcBorders>
              <w:bottom w:val="single" w:sz="4" w:space="0" w:color="auto"/>
            </w:tcBorders>
          </w:tcPr>
          <w:p w14:paraId="0DD817F8"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Manila</w:t>
            </w:r>
          </w:p>
        </w:tc>
        <w:tc>
          <w:tcPr>
            <w:tcW w:w="1620" w:type="dxa"/>
            <w:tcBorders>
              <w:bottom w:val="single" w:sz="4" w:space="0" w:color="auto"/>
            </w:tcBorders>
          </w:tcPr>
          <w:p w14:paraId="361C2ADC"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Dec. 6-7, 2019</w:t>
            </w:r>
          </w:p>
        </w:tc>
        <w:tc>
          <w:tcPr>
            <w:tcW w:w="1620" w:type="dxa"/>
            <w:tcBorders>
              <w:bottom w:val="single" w:sz="4" w:space="0" w:color="auto"/>
            </w:tcBorders>
          </w:tcPr>
          <w:p w14:paraId="71A50260" w14:textId="77777777" w:rsidR="00802E85" w:rsidRPr="00345AA4" w:rsidRDefault="00802E85" w:rsidP="00375E56">
            <w:pPr>
              <w:pStyle w:val="ListParagraph"/>
              <w:ind w:left="0"/>
              <w:contextualSpacing/>
              <w:jc w:val="center"/>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11/26/2019</w:t>
            </w:r>
          </w:p>
        </w:tc>
        <w:tc>
          <w:tcPr>
            <w:tcW w:w="1350" w:type="dxa"/>
            <w:tcBorders>
              <w:bottom w:val="single" w:sz="4" w:space="0" w:color="auto"/>
            </w:tcBorders>
          </w:tcPr>
          <w:p w14:paraId="62590F83"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20,600</w:t>
            </w:r>
          </w:p>
        </w:tc>
        <w:tc>
          <w:tcPr>
            <w:tcW w:w="1040" w:type="dxa"/>
            <w:tcBorders>
              <w:bottom w:val="single" w:sz="4" w:space="0" w:color="auto"/>
            </w:tcBorders>
          </w:tcPr>
          <w:p w14:paraId="0DB51180" w14:textId="77777777" w:rsidR="00802E85" w:rsidRPr="00345AA4" w:rsidRDefault="00802E85" w:rsidP="00375E56">
            <w:pPr>
              <w:pStyle w:val="ListParagraph"/>
              <w:ind w:left="0"/>
              <w:contextualSpacing/>
              <w:jc w:val="right"/>
              <w:rPr>
                <w:rStyle w:val="Strong"/>
                <w:rFonts w:ascii="Arial" w:eastAsia="Calibri" w:hAnsi="Arial" w:cs="Arial"/>
                <w:b w:val="0"/>
                <w:color w:val="000000" w:themeColor="text1"/>
                <w:sz w:val="18"/>
                <w:szCs w:val="18"/>
              </w:rPr>
            </w:pPr>
            <w:r w:rsidRPr="00345AA4">
              <w:rPr>
                <w:rStyle w:val="Strong"/>
                <w:rFonts w:ascii="Arial" w:eastAsia="Calibri" w:hAnsi="Arial" w:cs="Arial"/>
                <w:b w:val="0"/>
                <w:color w:val="000000" w:themeColor="text1"/>
                <w:sz w:val="18"/>
                <w:szCs w:val="18"/>
              </w:rPr>
              <w:t>8,179</w:t>
            </w:r>
          </w:p>
        </w:tc>
      </w:tr>
      <w:tr w:rsidR="00A85B97" w:rsidRPr="00345AA4" w14:paraId="63A4A5CF" w14:textId="77777777" w:rsidTr="00721159">
        <w:tc>
          <w:tcPr>
            <w:tcW w:w="2200" w:type="dxa"/>
            <w:tcBorders>
              <w:top w:val="single" w:sz="4" w:space="0" w:color="auto"/>
              <w:bottom w:val="double" w:sz="4" w:space="0" w:color="auto"/>
            </w:tcBorders>
          </w:tcPr>
          <w:p w14:paraId="4FB68C12" w14:textId="77777777" w:rsidR="00802E85" w:rsidRPr="00345AA4" w:rsidRDefault="00802E85" w:rsidP="00375E56">
            <w:pPr>
              <w:pStyle w:val="ListParagraph"/>
              <w:ind w:left="0"/>
              <w:contextualSpacing/>
              <w:jc w:val="both"/>
              <w:rPr>
                <w:rStyle w:val="Strong"/>
                <w:rFonts w:ascii="Arial" w:eastAsia="Calibri" w:hAnsi="Arial" w:cs="Arial"/>
                <w:color w:val="000000" w:themeColor="text1"/>
                <w:sz w:val="18"/>
                <w:szCs w:val="18"/>
              </w:rPr>
            </w:pPr>
            <w:r w:rsidRPr="00345AA4">
              <w:rPr>
                <w:rStyle w:val="Strong"/>
                <w:rFonts w:ascii="Arial" w:eastAsia="Calibri" w:hAnsi="Arial" w:cs="Arial"/>
                <w:color w:val="000000" w:themeColor="text1"/>
                <w:sz w:val="18"/>
                <w:szCs w:val="18"/>
              </w:rPr>
              <w:t>Total</w:t>
            </w:r>
          </w:p>
        </w:tc>
        <w:tc>
          <w:tcPr>
            <w:tcW w:w="1620" w:type="dxa"/>
            <w:tcBorders>
              <w:top w:val="single" w:sz="4" w:space="0" w:color="auto"/>
              <w:bottom w:val="double" w:sz="4" w:space="0" w:color="auto"/>
            </w:tcBorders>
          </w:tcPr>
          <w:p w14:paraId="292872B8"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p>
        </w:tc>
        <w:tc>
          <w:tcPr>
            <w:tcW w:w="1620" w:type="dxa"/>
            <w:tcBorders>
              <w:top w:val="single" w:sz="4" w:space="0" w:color="auto"/>
              <w:bottom w:val="double" w:sz="4" w:space="0" w:color="auto"/>
            </w:tcBorders>
          </w:tcPr>
          <w:p w14:paraId="0FC5D111" w14:textId="77777777" w:rsidR="00802E85" w:rsidRPr="00345AA4" w:rsidRDefault="00802E85" w:rsidP="00375E56">
            <w:pPr>
              <w:pStyle w:val="ListParagraph"/>
              <w:ind w:left="0"/>
              <w:contextualSpacing/>
              <w:jc w:val="both"/>
              <w:rPr>
                <w:rStyle w:val="Strong"/>
                <w:rFonts w:ascii="Arial" w:eastAsia="Calibri" w:hAnsi="Arial" w:cs="Arial"/>
                <w:b w:val="0"/>
                <w:color w:val="000000" w:themeColor="text1"/>
                <w:sz w:val="18"/>
                <w:szCs w:val="18"/>
              </w:rPr>
            </w:pPr>
          </w:p>
        </w:tc>
        <w:tc>
          <w:tcPr>
            <w:tcW w:w="1350" w:type="dxa"/>
            <w:tcBorders>
              <w:top w:val="single" w:sz="4" w:space="0" w:color="auto"/>
              <w:bottom w:val="double" w:sz="4" w:space="0" w:color="auto"/>
            </w:tcBorders>
          </w:tcPr>
          <w:p w14:paraId="32F232F2" w14:textId="77777777" w:rsidR="00802E85" w:rsidRPr="00345AA4" w:rsidRDefault="00802E85" w:rsidP="00375E56">
            <w:pPr>
              <w:pStyle w:val="ListParagraph"/>
              <w:ind w:left="0"/>
              <w:contextualSpacing/>
              <w:jc w:val="right"/>
              <w:rPr>
                <w:rStyle w:val="Strong"/>
                <w:rFonts w:ascii="Arial" w:eastAsia="Calibri" w:hAnsi="Arial" w:cs="Arial"/>
                <w:color w:val="000000" w:themeColor="text1"/>
                <w:sz w:val="18"/>
                <w:szCs w:val="18"/>
              </w:rPr>
            </w:pPr>
            <w:r w:rsidRPr="00345AA4">
              <w:rPr>
                <w:rStyle w:val="Strong"/>
                <w:rFonts w:ascii="Arial" w:eastAsia="Calibri" w:hAnsi="Arial" w:cs="Arial"/>
                <w:color w:val="000000" w:themeColor="text1"/>
                <w:sz w:val="18"/>
                <w:szCs w:val="18"/>
              </w:rPr>
              <w:t>P611,066</w:t>
            </w:r>
          </w:p>
        </w:tc>
        <w:tc>
          <w:tcPr>
            <w:tcW w:w="1040" w:type="dxa"/>
            <w:tcBorders>
              <w:top w:val="single" w:sz="4" w:space="0" w:color="auto"/>
              <w:bottom w:val="double" w:sz="4" w:space="0" w:color="auto"/>
            </w:tcBorders>
          </w:tcPr>
          <w:p w14:paraId="1099497B" w14:textId="77777777" w:rsidR="00802E85" w:rsidRPr="00345AA4" w:rsidRDefault="00802E85" w:rsidP="00375E56">
            <w:pPr>
              <w:pStyle w:val="ListParagraph"/>
              <w:ind w:left="0"/>
              <w:contextualSpacing/>
              <w:jc w:val="right"/>
              <w:rPr>
                <w:rStyle w:val="Strong"/>
                <w:rFonts w:ascii="Arial" w:eastAsia="Calibri" w:hAnsi="Arial" w:cs="Arial"/>
                <w:color w:val="000000" w:themeColor="text1"/>
                <w:sz w:val="18"/>
                <w:szCs w:val="18"/>
              </w:rPr>
            </w:pPr>
            <w:r w:rsidRPr="00345AA4">
              <w:rPr>
                <w:rStyle w:val="Strong"/>
                <w:rFonts w:ascii="Arial" w:eastAsia="Calibri" w:hAnsi="Arial" w:cs="Arial"/>
                <w:color w:val="000000" w:themeColor="text1"/>
                <w:sz w:val="18"/>
                <w:szCs w:val="18"/>
              </w:rPr>
              <w:t>P137,993</w:t>
            </w:r>
          </w:p>
        </w:tc>
      </w:tr>
    </w:tbl>
    <w:p w14:paraId="3E79E3E5" w14:textId="77777777" w:rsidR="00802E85" w:rsidRPr="00345AA4" w:rsidRDefault="00802E85" w:rsidP="00802E85">
      <w:pPr>
        <w:pStyle w:val="ListParagraph"/>
        <w:ind w:left="0"/>
        <w:contextualSpacing/>
        <w:jc w:val="both"/>
        <w:rPr>
          <w:rStyle w:val="Strong"/>
          <w:rFonts w:ascii="Arial" w:eastAsia="Calibri" w:hAnsi="Arial" w:cs="Arial"/>
          <w:color w:val="000000" w:themeColor="text1"/>
          <w:sz w:val="22"/>
          <w:szCs w:val="22"/>
        </w:rPr>
      </w:pPr>
    </w:p>
    <w:p w14:paraId="65289F08" w14:textId="041F3849" w:rsidR="00802E85" w:rsidRPr="00345AA4" w:rsidRDefault="00802E85" w:rsidP="00802E85">
      <w:pPr>
        <w:pStyle w:val="ListParagraph"/>
        <w:numPr>
          <w:ilvl w:val="1"/>
          <w:numId w:val="1"/>
        </w:numPr>
        <w:tabs>
          <w:tab w:val="left" w:pos="990"/>
        </w:tabs>
        <w:ind w:left="900" w:hanging="540"/>
        <w:contextualSpacing/>
        <w:jc w:val="both"/>
        <w:rPr>
          <w:rFonts w:ascii="Arial" w:hAnsi="Arial" w:cs="Arial"/>
          <w:color w:val="000000" w:themeColor="text1"/>
          <w:sz w:val="22"/>
          <w:szCs w:val="22"/>
          <w:lang w:eastAsia="en-PH"/>
        </w:rPr>
      </w:pPr>
      <w:r w:rsidRPr="00345AA4">
        <w:rPr>
          <w:rFonts w:ascii="Arial" w:hAnsi="Arial" w:cs="Arial"/>
          <w:color w:val="000000" w:themeColor="text1"/>
          <w:sz w:val="22"/>
          <w:szCs w:val="22"/>
          <w:lang w:eastAsia="en-PH"/>
        </w:rPr>
        <w:t xml:space="preserve">As shown in the preceding table, the total </w:t>
      </w:r>
      <w:r w:rsidR="000E2152" w:rsidRPr="00345AA4">
        <w:rPr>
          <w:rFonts w:ascii="Arial" w:hAnsi="Arial" w:cs="Arial"/>
          <w:color w:val="000000" w:themeColor="text1"/>
          <w:sz w:val="22"/>
          <w:szCs w:val="22"/>
          <w:lang w:eastAsia="en-PH"/>
        </w:rPr>
        <w:t>CA</w:t>
      </w:r>
      <w:r w:rsidRPr="00345AA4">
        <w:rPr>
          <w:rFonts w:ascii="Arial" w:hAnsi="Arial" w:cs="Arial"/>
          <w:color w:val="000000" w:themeColor="text1"/>
          <w:sz w:val="22"/>
          <w:szCs w:val="22"/>
          <w:lang w:eastAsia="en-PH"/>
        </w:rPr>
        <w:t xml:space="preserve"> of P611,066, only </w:t>
      </w:r>
      <w:r w:rsidRPr="00345AA4">
        <w:rPr>
          <w:rFonts w:ascii="Arial" w:hAnsi="Arial" w:cs="Arial"/>
          <w:bCs/>
          <w:color w:val="000000" w:themeColor="text1"/>
          <w:sz w:val="22"/>
          <w:szCs w:val="22"/>
          <w:lang w:eastAsia="en-PH"/>
        </w:rPr>
        <w:t>P473</w:t>
      </w:r>
      <w:r w:rsidRPr="00345AA4">
        <w:rPr>
          <w:rFonts w:ascii="Arial" w:hAnsi="Arial" w:cs="Arial"/>
          <w:color w:val="000000" w:themeColor="text1"/>
          <w:sz w:val="22"/>
          <w:szCs w:val="22"/>
          <w:lang w:eastAsia="en-PH"/>
        </w:rPr>
        <w:t xml:space="preserve">,073 or 77 per cent were expended and P137,993 or 23 per cent were unused amounts </w:t>
      </w:r>
      <w:r w:rsidRPr="00345AA4">
        <w:rPr>
          <w:rFonts w:ascii="Arial" w:hAnsi="Arial" w:cs="Arial"/>
          <w:color w:val="000000" w:themeColor="text1"/>
          <w:sz w:val="22"/>
          <w:szCs w:val="22"/>
          <w:lang w:eastAsia="en-PH"/>
        </w:rPr>
        <w:lastRenderedPageBreak/>
        <w:t>which indicate over granting of cash advances.  Such practice will expose to risk of loss, misappropriation of funds and the unused funds</w:t>
      </w:r>
      <w:r w:rsidR="003B18C8" w:rsidRPr="00345AA4">
        <w:rPr>
          <w:rFonts w:ascii="Arial" w:hAnsi="Arial" w:cs="Arial"/>
          <w:color w:val="000000" w:themeColor="text1"/>
          <w:sz w:val="22"/>
          <w:szCs w:val="22"/>
          <w:lang w:eastAsia="en-PH"/>
        </w:rPr>
        <w:t xml:space="preserve"> retained</w:t>
      </w:r>
      <w:r w:rsidRPr="00345AA4">
        <w:rPr>
          <w:rFonts w:ascii="Arial" w:hAnsi="Arial" w:cs="Arial"/>
          <w:color w:val="000000" w:themeColor="text1"/>
          <w:sz w:val="22"/>
          <w:szCs w:val="22"/>
          <w:lang w:eastAsia="en-PH"/>
        </w:rPr>
        <w:t xml:space="preserve"> in the hands of the AO.</w:t>
      </w:r>
    </w:p>
    <w:p w14:paraId="6269E3C0" w14:textId="77777777" w:rsidR="00802E85" w:rsidRPr="00345AA4" w:rsidRDefault="00802E85" w:rsidP="00802E85">
      <w:pPr>
        <w:pStyle w:val="NoSpacing"/>
        <w:jc w:val="both"/>
        <w:rPr>
          <w:rFonts w:ascii="Arial" w:hAnsi="Arial" w:cs="Arial"/>
          <w:b/>
          <w:color w:val="000000" w:themeColor="text1"/>
        </w:rPr>
      </w:pPr>
    </w:p>
    <w:p w14:paraId="13532188" w14:textId="77777777" w:rsidR="00802E85" w:rsidRPr="00345AA4" w:rsidRDefault="00A42CC1" w:rsidP="00802E85">
      <w:pPr>
        <w:pStyle w:val="ListParagraph"/>
        <w:numPr>
          <w:ilvl w:val="1"/>
          <w:numId w:val="1"/>
        </w:numPr>
        <w:tabs>
          <w:tab w:val="left" w:pos="990"/>
        </w:tabs>
        <w:ind w:left="900" w:hanging="540"/>
        <w:contextualSpacing/>
        <w:jc w:val="both"/>
        <w:rPr>
          <w:rFonts w:ascii="Arial" w:hAnsi="Arial" w:cs="Arial"/>
          <w:b/>
          <w:bCs/>
          <w:color w:val="000000" w:themeColor="text1"/>
          <w:sz w:val="22"/>
          <w:szCs w:val="22"/>
          <w:lang w:eastAsia="en-PH"/>
        </w:rPr>
      </w:pPr>
      <w:r w:rsidRPr="00345AA4">
        <w:rPr>
          <w:rFonts w:ascii="Arial" w:hAnsi="Arial" w:cs="Arial"/>
          <w:b/>
          <w:bCs/>
          <w:color w:val="000000" w:themeColor="text1"/>
          <w:sz w:val="22"/>
          <w:szCs w:val="22"/>
          <w:lang w:eastAsia="en-PH"/>
        </w:rPr>
        <w:t>W</w:t>
      </w:r>
      <w:r w:rsidR="00802E85" w:rsidRPr="00345AA4">
        <w:rPr>
          <w:rFonts w:ascii="Arial" w:hAnsi="Arial" w:cs="Arial"/>
          <w:b/>
          <w:bCs/>
          <w:color w:val="000000" w:themeColor="text1"/>
          <w:sz w:val="22"/>
          <w:szCs w:val="22"/>
          <w:lang w:eastAsia="en-PH"/>
        </w:rPr>
        <w:t>e recommended and Management agreed to:</w:t>
      </w:r>
    </w:p>
    <w:p w14:paraId="773A1DA5" w14:textId="77777777" w:rsidR="00802E85" w:rsidRPr="00345AA4" w:rsidRDefault="00802E85" w:rsidP="00802E85">
      <w:pPr>
        <w:pStyle w:val="ListParagraph"/>
        <w:ind w:left="0"/>
        <w:contextualSpacing/>
        <w:jc w:val="both"/>
        <w:rPr>
          <w:rStyle w:val="Strong"/>
          <w:rFonts w:ascii="Arial" w:eastAsia="Calibri" w:hAnsi="Arial" w:cs="Arial"/>
          <w:color w:val="000000" w:themeColor="text1"/>
          <w:sz w:val="22"/>
          <w:szCs w:val="22"/>
        </w:rPr>
      </w:pPr>
    </w:p>
    <w:p w14:paraId="0B902879" w14:textId="2E6BF6DA" w:rsidR="00802E85" w:rsidRPr="00345AA4" w:rsidRDefault="00802E85" w:rsidP="00802E85">
      <w:pPr>
        <w:pStyle w:val="ListParagraph"/>
        <w:numPr>
          <w:ilvl w:val="0"/>
          <w:numId w:val="17"/>
        </w:numPr>
        <w:ind w:left="1134" w:hanging="283"/>
        <w:contextualSpacing/>
        <w:jc w:val="both"/>
        <w:rPr>
          <w:rStyle w:val="Strong"/>
          <w:rFonts w:ascii="Arial" w:eastAsia="Calibri" w:hAnsi="Arial" w:cs="Arial"/>
          <w:color w:val="000000" w:themeColor="text1"/>
          <w:sz w:val="22"/>
          <w:szCs w:val="22"/>
        </w:rPr>
      </w:pPr>
      <w:r w:rsidRPr="00345AA4">
        <w:rPr>
          <w:rStyle w:val="Strong"/>
          <w:rFonts w:ascii="Arial" w:eastAsia="Calibri" w:hAnsi="Arial" w:cs="Arial"/>
          <w:color w:val="000000" w:themeColor="text1"/>
          <w:sz w:val="22"/>
          <w:szCs w:val="22"/>
        </w:rPr>
        <w:t xml:space="preserve">Strictly comply with Section 1.2 of COA Circular </w:t>
      </w:r>
      <w:r w:rsidR="000E2152" w:rsidRPr="00345AA4">
        <w:rPr>
          <w:rStyle w:val="Strong"/>
          <w:rFonts w:ascii="Arial" w:eastAsia="Calibri" w:hAnsi="Arial" w:cs="Arial"/>
          <w:color w:val="000000" w:themeColor="text1"/>
          <w:sz w:val="22"/>
          <w:szCs w:val="22"/>
        </w:rPr>
        <w:t xml:space="preserve">No. </w:t>
      </w:r>
      <w:r w:rsidRPr="00345AA4">
        <w:rPr>
          <w:rStyle w:val="Strong"/>
          <w:rFonts w:ascii="Arial" w:eastAsia="Calibri" w:hAnsi="Arial" w:cs="Arial"/>
          <w:color w:val="000000" w:themeColor="text1"/>
          <w:sz w:val="22"/>
          <w:szCs w:val="22"/>
        </w:rPr>
        <w:t xml:space="preserve">2012-001 in liquidating </w:t>
      </w:r>
      <w:r w:rsidR="000E2152" w:rsidRPr="00345AA4">
        <w:rPr>
          <w:rStyle w:val="Strong"/>
          <w:rFonts w:ascii="Arial" w:eastAsia="Calibri" w:hAnsi="Arial" w:cs="Arial"/>
          <w:color w:val="000000" w:themeColor="text1"/>
          <w:sz w:val="22"/>
          <w:szCs w:val="22"/>
        </w:rPr>
        <w:t>CA</w:t>
      </w:r>
      <w:r w:rsidRPr="00345AA4">
        <w:rPr>
          <w:rStyle w:val="Strong"/>
          <w:rFonts w:ascii="Arial" w:eastAsia="Calibri" w:hAnsi="Arial" w:cs="Arial"/>
          <w:color w:val="000000" w:themeColor="text1"/>
          <w:sz w:val="22"/>
          <w:szCs w:val="22"/>
        </w:rPr>
        <w:t xml:space="preserve"> within 30 days from return to permanent official station; and</w:t>
      </w:r>
    </w:p>
    <w:p w14:paraId="346D623B" w14:textId="77777777" w:rsidR="00802E85" w:rsidRPr="00345AA4" w:rsidRDefault="00802E85" w:rsidP="00802E85">
      <w:pPr>
        <w:pStyle w:val="ListParagraph"/>
        <w:ind w:left="1134"/>
        <w:contextualSpacing/>
        <w:jc w:val="both"/>
        <w:rPr>
          <w:rStyle w:val="Strong"/>
          <w:rFonts w:ascii="Arial" w:eastAsia="Calibri" w:hAnsi="Arial" w:cs="Arial"/>
          <w:color w:val="000000" w:themeColor="text1"/>
          <w:sz w:val="22"/>
          <w:szCs w:val="22"/>
        </w:rPr>
      </w:pPr>
    </w:p>
    <w:p w14:paraId="635E34B8" w14:textId="7EE9DB17" w:rsidR="00802E85" w:rsidRPr="00345AA4" w:rsidRDefault="00802E85" w:rsidP="00802E85">
      <w:pPr>
        <w:pStyle w:val="ListParagraph"/>
        <w:numPr>
          <w:ilvl w:val="0"/>
          <w:numId w:val="17"/>
        </w:numPr>
        <w:ind w:left="1134" w:hanging="283"/>
        <w:contextualSpacing/>
        <w:jc w:val="both"/>
        <w:rPr>
          <w:rStyle w:val="Strong"/>
          <w:rFonts w:ascii="Arial" w:eastAsia="Calibri" w:hAnsi="Arial" w:cs="Arial"/>
          <w:color w:val="000000" w:themeColor="text1"/>
          <w:sz w:val="22"/>
          <w:szCs w:val="22"/>
        </w:rPr>
      </w:pPr>
      <w:r w:rsidRPr="00345AA4">
        <w:rPr>
          <w:rStyle w:val="Strong"/>
          <w:rFonts w:ascii="Arial" w:eastAsia="Calibri" w:hAnsi="Arial" w:cs="Arial"/>
          <w:color w:val="000000" w:themeColor="text1"/>
          <w:sz w:val="22"/>
          <w:szCs w:val="22"/>
        </w:rPr>
        <w:t xml:space="preserve">Prepare the itinerary of travel following the format prescribed in Appendix A of COA Circular </w:t>
      </w:r>
      <w:r w:rsidR="000E2152" w:rsidRPr="00345AA4">
        <w:rPr>
          <w:rStyle w:val="Strong"/>
          <w:rFonts w:ascii="Arial" w:eastAsia="Calibri" w:hAnsi="Arial" w:cs="Arial"/>
          <w:color w:val="000000" w:themeColor="text1"/>
          <w:sz w:val="22"/>
          <w:szCs w:val="22"/>
        </w:rPr>
        <w:t xml:space="preserve">No. </w:t>
      </w:r>
      <w:r w:rsidRPr="00345AA4">
        <w:rPr>
          <w:rStyle w:val="Strong"/>
          <w:rFonts w:ascii="Arial" w:eastAsia="Calibri" w:hAnsi="Arial" w:cs="Arial"/>
          <w:color w:val="000000" w:themeColor="text1"/>
          <w:sz w:val="22"/>
          <w:szCs w:val="22"/>
        </w:rPr>
        <w:t xml:space="preserve">96-004 dated April 19, 1996 to ensure that the </w:t>
      </w:r>
      <w:r w:rsidR="000E2152" w:rsidRPr="00345AA4">
        <w:rPr>
          <w:rStyle w:val="Strong"/>
          <w:rFonts w:ascii="Arial" w:eastAsia="Calibri" w:hAnsi="Arial" w:cs="Arial"/>
          <w:color w:val="000000" w:themeColor="text1"/>
          <w:sz w:val="22"/>
          <w:szCs w:val="22"/>
        </w:rPr>
        <w:t>amount of CA</w:t>
      </w:r>
      <w:r w:rsidRPr="00345AA4">
        <w:rPr>
          <w:rStyle w:val="Strong"/>
          <w:rFonts w:ascii="Arial" w:eastAsia="Calibri" w:hAnsi="Arial" w:cs="Arial"/>
          <w:color w:val="000000" w:themeColor="text1"/>
          <w:sz w:val="22"/>
          <w:szCs w:val="22"/>
        </w:rPr>
        <w:t xml:space="preserve"> is reasonable.</w:t>
      </w:r>
    </w:p>
    <w:p w14:paraId="30195508" w14:textId="77777777" w:rsidR="00375E56" w:rsidRPr="00345AA4" w:rsidRDefault="00375E56" w:rsidP="00CB00A3">
      <w:pPr>
        <w:contextualSpacing/>
        <w:jc w:val="both"/>
        <w:rPr>
          <w:rFonts w:ascii="Arial" w:hAnsi="Arial" w:cs="Arial"/>
          <w:b/>
          <w:bCs/>
          <w:color w:val="000000" w:themeColor="text1"/>
        </w:rPr>
      </w:pPr>
    </w:p>
    <w:p w14:paraId="56DFD3BE" w14:textId="3CBF0B6E" w:rsidR="002C39EB" w:rsidRPr="00345AA4" w:rsidRDefault="00375E56" w:rsidP="003B2D58">
      <w:pPr>
        <w:pStyle w:val="NoSpacing"/>
        <w:numPr>
          <w:ilvl w:val="0"/>
          <w:numId w:val="1"/>
        </w:numPr>
        <w:ind w:left="426"/>
        <w:jc w:val="both"/>
        <w:rPr>
          <w:rFonts w:ascii="Arial" w:hAnsi="Arial" w:cs="Arial"/>
          <w:b/>
          <w:color w:val="000000" w:themeColor="text1"/>
        </w:rPr>
      </w:pPr>
      <w:r w:rsidRPr="00345AA4">
        <w:rPr>
          <w:rFonts w:ascii="Arial" w:hAnsi="Arial" w:cs="Arial"/>
          <w:b/>
          <w:color w:val="000000" w:themeColor="text1"/>
        </w:rPr>
        <w:t>The System’s Appointive Director holds more than two other board seats in three Subsidiaries and three Affiliates of AFPRSBS</w:t>
      </w:r>
      <w:r w:rsidR="00903A5E" w:rsidRPr="00345AA4">
        <w:rPr>
          <w:rFonts w:ascii="Arial" w:hAnsi="Arial" w:cs="Arial"/>
          <w:b/>
          <w:color w:val="000000" w:themeColor="text1"/>
        </w:rPr>
        <w:t>,</w:t>
      </w:r>
      <w:r w:rsidRPr="00345AA4">
        <w:rPr>
          <w:rFonts w:ascii="Arial" w:hAnsi="Arial" w:cs="Arial"/>
          <w:b/>
          <w:color w:val="000000" w:themeColor="text1"/>
        </w:rPr>
        <w:t xml:space="preserve"> contrary to Section 11 of the Code of Corporate Governance for GOCCs or </w:t>
      </w:r>
      <w:r w:rsidR="00D35F82" w:rsidRPr="00345AA4">
        <w:rPr>
          <w:rFonts w:ascii="Arial" w:hAnsi="Arial" w:cs="Arial"/>
          <w:b/>
          <w:color w:val="000000" w:themeColor="text1"/>
        </w:rPr>
        <w:t>Governance Commission for GOCCs Memorandum Circular (</w:t>
      </w:r>
      <w:r w:rsidRPr="00345AA4">
        <w:rPr>
          <w:rFonts w:ascii="Arial" w:hAnsi="Arial" w:cs="Arial"/>
          <w:b/>
          <w:color w:val="000000" w:themeColor="text1"/>
        </w:rPr>
        <w:t>GCG MC</w:t>
      </w:r>
      <w:r w:rsidR="00D35F82" w:rsidRPr="00345AA4">
        <w:rPr>
          <w:rFonts w:ascii="Arial" w:hAnsi="Arial" w:cs="Arial"/>
          <w:b/>
          <w:color w:val="000000" w:themeColor="text1"/>
        </w:rPr>
        <w:t>)</w:t>
      </w:r>
      <w:r w:rsidRPr="00345AA4">
        <w:rPr>
          <w:rFonts w:ascii="Arial" w:hAnsi="Arial" w:cs="Arial"/>
          <w:b/>
          <w:color w:val="000000" w:themeColor="text1"/>
        </w:rPr>
        <w:t xml:space="preserve"> No. 2012-07, thus, the required due diligence of the Appointive Director may be compromised.  Moreover, </w:t>
      </w:r>
      <w:r w:rsidR="00901A76" w:rsidRPr="00345AA4">
        <w:rPr>
          <w:rFonts w:ascii="Arial" w:hAnsi="Arial" w:cs="Arial"/>
          <w:b/>
          <w:color w:val="000000" w:themeColor="text1"/>
        </w:rPr>
        <w:t xml:space="preserve">no </w:t>
      </w:r>
      <w:r w:rsidRPr="00345AA4">
        <w:rPr>
          <w:rFonts w:ascii="Arial" w:hAnsi="Arial" w:cs="Arial"/>
          <w:b/>
          <w:color w:val="000000" w:themeColor="text1"/>
        </w:rPr>
        <w:t xml:space="preserve">Manual of Corporate Governance for </w:t>
      </w:r>
      <w:r w:rsidR="006A4EA5" w:rsidRPr="00345AA4">
        <w:rPr>
          <w:rFonts w:ascii="Arial" w:hAnsi="Arial" w:cs="Arial"/>
          <w:b/>
          <w:color w:val="000000" w:themeColor="text1"/>
        </w:rPr>
        <w:t xml:space="preserve">the </w:t>
      </w:r>
      <w:r w:rsidRPr="00345AA4">
        <w:rPr>
          <w:rFonts w:ascii="Arial" w:hAnsi="Arial" w:cs="Arial"/>
          <w:b/>
          <w:color w:val="000000" w:themeColor="text1"/>
        </w:rPr>
        <w:t xml:space="preserve">GOCC </w:t>
      </w:r>
      <w:r w:rsidR="00901A76" w:rsidRPr="00345AA4">
        <w:rPr>
          <w:rFonts w:ascii="Arial" w:hAnsi="Arial" w:cs="Arial"/>
          <w:b/>
          <w:color w:val="000000" w:themeColor="text1"/>
        </w:rPr>
        <w:t xml:space="preserve">was </w:t>
      </w:r>
      <w:r w:rsidR="00BD582B" w:rsidRPr="00345AA4">
        <w:rPr>
          <w:rFonts w:ascii="Arial" w:hAnsi="Arial" w:cs="Arial"/>
          <w:b/>
          <w:color w:val="000000" w:themeColor="text1"/>
        </w:rPr>
        <w:t xml:space="preserve">issued </w:t>
      </w:r>
      <w:r w:rsidR="00901A76" w:rsidRPr="00345AA4">
        <w:rPr>
          <w:rFonts w:ascii="Arial" w:hAnsi="Arial" w:cs="Arial"/>
          <w:b/>
          <w:color w:val="000000" w:themeColor="text1"/>
        </w:rPr>
        <w:t xml:space="preserve">and </w:t>
      </w:r>
      <w:r w:rsidRPr="00345AA4">
        <w:rPr>
          <w:rFonts w:ascii="Arial" w:hAnsi="Arial" w:cs="Arial"/>
          <w:b/>
          <w:color w:val="000000" w:themeColor="text1"/>
        </w:rPr>
        <w:t>adopted</w:t>
      </w:r>
      <w:r w:rsidR="00901A76" w:rsidRPr="00345AA4">
        <w:rPr>
          <w:rFonts w:ascii="Arial" w:hAnsi="Arial" w:cs="Arial"/>
          <w:b/>
          <w:color w:val="000000" w:themeColor="text1"/>
        </w:rPr>
        <w:t>, contrary to</w:t>
      </w:r>
      <w:r w:rsidRPr="00345AA4">
        <w:rPr>
          <w:rFonts w:ascii="Arial" w:hAnsi="Arial" w:cs="Arial"/>
          <w:b/>
          <w:color w:val="000000" w:themeColor="text1"/>
        </w:rPr>
        <w:t xml:space="preserve"> Section 42 of the same Circular.</w:t>
      </w:r>
    </w:p>
    <w:p w14:paraId="63CB16EF" w14:textId="77777777" w:rsidR="002C39EB" w:rsidRPr="00345AA4" w:rsidRDefault="002C39EB" w:rsidP="00375E56">
      <w:pPr>
        <w:pStyle w:val="NoSpacing"/>
        <w:ind w:left="426"/>
        <w:jc w:val="both"/>
        <w:rPr>
          <w:rFonts w:ascii="Arial" w:hAnsi="Arial" w:cs="Arial"/>
          <w:b/>
          <w:color w:val="000000" w:themeColor="text1"/>
        </w:rPr>
      </w:pPr>
    </w:p>
    <w:p w14:paraId="013BB2C8" w14:textId="77777777" w:rsidR="00375E56" w:rsidRPr="00345AA4" w:rsidRDefault="00375E56" w:rsidP="00375E56">
      <w:pPr>
        <w:pStyle w:val="ListParagraph"/>
        <w:numPr>
          <w:ilvl w:val="1"/>
          <w:numId w:val="1"/>
        </w:numPr>
        <w:tabs>
          <w:tab w:val="left" w:pos="990"/>
        </w:tabs>
        <w:ind w:left="900" w:hanging="540"/>
        <w:contextualSpacing/>
        <w:jc w:val="both"/>
        <w:rPr>
          <w:rFonts w:ascii="Arial" w:hAnsi="Arial" w:cs="Arial"/>
          <w:color w:val="000000" w:themeColor="text1"/>
          <w:sz w:val="22"/>
          <w:szCs w:val="22"/>
          <w:lang w:eastAsia="en-PH"/>
        </w:rPr>
      </w:pPr>
      <w:r w:rsidRPr="00345AA4">
        <w:rPr>
          <w:rFonts w:ascii="Arial" w:hAnsi="Arial" w:cs="Arial"/>
          <w:color w:val="000000" w:themeColor="text1"/>
          <w:sz w:val="22"/>
          <w:szCs w:val="22"/>
          <w:lang w:eastAsia="en-PH"/>
        </w:rPr>
        <w:t>GCG MC No. 2012-07 provides:</w:t>
      </w:r>
    </w:p>
    <w:p w14:paraId="6A4661F8" w14:textId="77777777" w:rsidR="00375E56" w:rsidRPr="00345AA4" w:rsidRDefault="00375E56" w:rsidP="00375E56">
      <w:pPr>
        <w:pStyle w:val="ListParagraph"/>
        <w:ind w:left="709"/>
        <w:contextualSpacing/>
        <w:jc w:val="both"/>
        <w:rPr>
          <w:rFonts w:ascii="Arial" w:hAnsi="Arial" w:cs="Arial"/>
          <w:color w:val="000000" w:themeColor="text1"/>
          <w:sz w:val="22"/>
          <w:szCs w:val="22"/>
          <w:lang w:eastAsia="en-PH"/>
        </w:rPr>
      </w:pPr>
    </w:p>
    <w:p w14:paraId="29295398" w14:textId="77777777" w:rsidR="00375E56" w:rsidRPr="00345AA4" w:rsidRDefault="00375E56" w:rsidP="0052288C">
      <w:pPr>
        <w:pStyle w:val="NoSpacing"/>
        <w:ind w:left="1440" w:right="720"/>
        <w:jc w:val="both"/>
        <w:rPr>
          <w:rFonts w:ascii="Arial" w:hAnsi="Arial" w:cs="Arial"/>
          <w:color w:val="000000" w:themeColor="text1"/>
        </w:rPr>
      </w:pPr>
      <w:r w:rsidRPr="00345AA4">
        <w:rPr>
          <w:rFonts w:ascii="Arial" w:hAnsi="Arial" w:cs="Arial"/>
          <w:b/>
          <w:i/>
          <w:color w:val="000000" w:themeColor="text1"/>
        </w:rPr>
        <w:t>SEC. 11. Multiple Board Seats</w:t>
      </w:r>
      <w:r w:rsidRPr="00345AA4">
        <w:rPr>
          <w:rFonts w:ascii="Arial" w:hAnsi="Arial" w:cs="Arial"/>
          <w:i/>
          <w:color w:val="000000" w:themeColor="text1"/>
        </w:rPr>
        <w:t xml:space="preserve">. – The capacity of Appointive Directors to serve with diligence shall not be compromised.  As such, no Appointive Director in a GOCC, Subsidiary or Affiliate may </w:t>
      </w:r>
      <w:r w:rsidRPr="00345AA4">
        <w:rPr>
          <w:rFonts w:ascii="Arial" w:hAnsi="Arial" w:cs="Arial"/>
          <w:b/>
          <w:i/>
          <w:color w:val="000000" w:themeColor="text1"/>
        </w:rPr>
        <w:t xml:space="preserve">hold more than two (2) other Board seats in other GOCCs, Subsidiaries and/or Affiliates.  </w:t>
      </w:r>
      <w:r w:rsidRPr="00345AA4">
        <w:rPr>
          <w:rFonts w:ascii="Arial" w:hAnsi="Arial" w:cs="Arial"/>
          <w:color w:val="000000" w:themeColor="text1"/>
        </w:rPr>
        <w:t>(Emphasis supplied)</w:t>
      </w:r>
    </w:p>
    <w:p w14:paraId="3178ADC2" w14:textId="77777777" w:rsidR="00375E56" w:rsidRPr="00345AA4" w:rsidRDefault="00375E56" w:rsidP="00375E56">
      <w:pPr>
        <w:pStyle w:val="NoSpacing"/>
        <w:ind w:left="426"/>
        <w:jc w:val="both"/>
        <w:rPr>
          <w:rFonts w:ascii="Arial" w:hAnsi="Arial" w:cs="Arial"/>
          <w:b/>
          <w:color w:val="000000" w:themeColor="text1"/>
        </w:rPr>
      </w:pPr>
    </w:p>
    <w:p w14:paraId="7DAEC683" w14:textId="77777777" w:rsidR="00375E56" w:rsidRPr="00345AA4" w:rsidRDefault="00375E56" w:rsidP="00375E56">
      <w:pPr>
        <w:pStyle w:val="ListParagraph"/>
        <w:numPr>
          <w:ilvl w:val="1"/>
          <w:numId w:val="1"/>
        </w:numPr>
        <w:tabs>
          <w:tab w:val="left" w:pos="990"/>
        </w:tabs>
        <w:ind w:left="900" w:hanging="540"/>
        <w:contextualSpacing/>
        <w:jc w:val="both"/>
        <w:rPr>
          <w:rFonts w:ascii="Arial" w:hAnsi="Arial" w:cs="Arial"/>
          <w:color w:val="000000" w:themeColor="text1"/>
          <w:sz w:val="22"/>
          <w:szCs w:val="22"/>
          <w:lang w:eastAsia="en-PH"/>
        </w:rPr>
      </w:pPr>
      <w:r w:rsidRPr="00345AA4">
        <w:rPr>
          <w:rFonts w:ascii="Arial" w:hAnsi="Arial" w:cs="Arial"/>
          <w:color w:val="000000" w:themeColor="text1"/>
          <w:sz w:val="22"/>
          <w:szCs w:val="22"/>
          <w:lang w:eastAsia="en-PH"/>
        </w:rPr>
        <w:t>Also, Section 42 of the same Circular provides:</w:t>
      </w:r>
    </w:p>
    <w:p w14:paraId="35028408" w14:textId="77777777" w:rsidR="00375E56" w:rsidRPr="00345AA4" w:rsidRDefault="00375E56" w:rsidP="00375E56">
      <w:pPr>
        <w:pStyle w:val="ListParagraph"/>
        <w:ind w:left="709"/>
        <w:contextualSpacing/>
        <w:jc w:val="both"/>
        <w:rPr>
          <w:rFonts w:ascii="Arial" w:hAnsi="Arial" w:cs="Arial"/>
          <w:color w:val="000000" w:themeColor="text1"/>
          <w:sz w:val="22"/>
          <w:szCs w:val="22"/>
          <w:lang w:eastAsia="en-PH"/>
        </w:rPr>
      </w:pPr>
    </w:p>
    <w:p w14:paraId="3C8FE4DF" w14:textId="77777777" w:rsidR="00375E56" w:rsidRPr="00345AA4" w:rsidRDefault="00375E56" w:rsidP="0052288C">
      <w:pPr>
        <w:pStyle w:val="NoSpacing"/>
        <w:ind w:left="1440" w:right="720"/>
        <w:jc w:val="both"/>
        <w:rPr>
          <w:rFonts w:ascii="Arial" w:hAnsi="Arial" w:cs="Arial"/>
          <w:i/>
          <w:color w:val="000000" w:themeColor="text1"/>
        </w:rPr>
      </w:pPr>
      <w:r w:rsidRPr="00345AA4">
        <w:rPr>
          <w:rFonts w:ascii="Arial" w:hAnsi="Arial" w:cs="Arial"/>
          <w:b/>
          <w:i/>
          <w:color w:val="000000" w:themeColor="text1"/>
        </w:rPr>
        <w:t>SEC. 42. GOCC Manual of Corporate Governance. – Every GOCC, acting through its Governing Board, shall promulgate and adopt its corporate governance rules and principles in accordance with this Code</w:t>
      </w:r>
      <w:r w:rsidRPr="00345AA4">
        <w:rPr>
          <w:rFonts w:ascii="Arial" w:hAnsi="Arial" w:cs="Arial"/>
          <w:i/>
          <w:color w:val="000000" w:themeColor="text1"/>
        </w:rPr>
        <w:t>.  XXX</w:t>
      </w:r>
    </w:p>
    <w:p w14:paraId="774C212A" w14:textId="77777777" w:rsidR="00375E56" w:rsidRPr="00345AA4" w:rsidRDefault="00375E56" w:rsidP="00375E56">
      <w:pPr>
        <w:pStyle w:val="ListParagraph"/>
        <w:ind w:left="709" w:right="702"/>
        <w:jc w:val="both"/>
        <w:rPr>
          <w:rFonts w:ascii="Arial" w:hAnsi="Arial" w:cs="Arial"/>
          <w:i/>
          <w:color w:val="000000" w:themeColor="text1"/>
          <w:sz w:val="22"/>
          <w:szCs w:val="22"/>
        </w:rPr>
      </w:pPr>
    </w:p>
    <w:p w14:paraId="3EA14683" w14:textId="77777777" w:rsidR="00375E56" w:rsidRPr="00345AA4" w:rsidRDefault="00375E56" w:rsidP="00543E78">
      <w:pPr>
        <w:pStyle w:val="NoSpacing"/>
        <w:ind w:left="1440" w:right="720"/>
        <w:jc w:val="both"/>
        <w:rPr>
          <w:rFonts w:ascii="Arial" w:hAnsi="Arial" w:cs="Arial"/>
          <w:i/>
          <w:color w:val="000000" w:themeColor="text1"/>
        </w:rPr>
      </w:pPr>
      <w:r w:rsidRPr="00345AA4">
        <w:rPr>
          <w:rFonts w:ascii="Arial" w:hAnsi="Arial" w:cs="Arial"/>
          <w:i/>
          <w:color w:val="000000" w:themeColor="text1"/>
        </w:rPr>
        <w:t xml:space="preserve">The Manual shall be submitted to the GCG, which shall evaluate the same and their compliance with this Code taking into account the classification and industry of the GOCC.  The Manual shall be available for inspection by any of the identified Stakeholders of the GOCC at reasonable hours on business days.  </w:t>
      </w:r>
      <w:r w:rsidRPr="00345AA4">
        <w:rPr>
          <w:rFonts w:ascii="Arial" w:hAnsi="Arial" w:cs="Arial"/>
          <w:iCs/>
          <w:color w:val="000000" w:themeColor="text1"/>
        </w:rPr>
        <w:t>(Emphasis supplied)</w:t>
      </w:r>
    </w:p>
    <w:p w14:paraId="4C1AEBFA" w14:textId="77777777" w:rsidR="00375E56" w:rsidRPr="00345AA4" w:rsidRDefault="00375E56" w:rsidP="00375E56">
      <w:pPr>
        <w:pStyle w:val="ListParagraph"/>
        <w:ind w:right="792"/>
        <w:jc w:val="both"/>
        <w:rPr>
          <w:rFonts w:ascii="Arial" w:hAnsi="Arial" w:cs="Arial"/>
          <w:color w:val="000000" w:themeColor="text1"/>
          <w:sz w:val="22"/>
          <w:szCs w:val="22"/>
        </w:rPr>
      </w:pPr>
    </w:p>
    <w:p w14:paraId="3FDBAE3C" w14:textId="77777777" w:rsidR="00375E56" w:rsidRPr="00345AA4" w:rsidRDefault="00375E56" w:rsidP="00375E56">
      <w:pPr>
        <w:pStyle w:val="ListParagraph"/>
        <w:numPr>
          <w:ilvl w:val="1"/>
          <w:numId w:val="1"/>
        </w:numPr>
        <w:tabs>
          <w:tab w:val="left" w:pos="990"/>
        </w:tabs>
        <w:ind w:left="900" w:hanging="540"/>
        <w:contextualSpacing/>
        <w:jc w:val="both"/>
        <w:rPr>
          <w:rFonts w:ascii="Arial" w:hAnsi="Arial" w:cs="Arial"/>
          <w:color w:val="000000" w:themeColor="text1"/>
          <w:sz w:val="22"/>
          <w:szCs w:val="22"/>
          <w:lang w:eastAsia="en-PH"/>
        </w:rPr>
      </w:pPr>
      <w:r w:rsidRPr="00345AA4">
        <w:rPr>
          <w:rFonts w:ascii="Arial" w:hAnsi="Arial" w:cs="Arial"/>
          <w:color w:val="000000" w:themeColor="text1"/>
          <w:sz w:val="22"/>
          <w:szCs w:val="22"/>
          <w:lang w:eastAsia="en-PH"/>
        </w:rPr>
        <w:t>The aforementioned Circular also provides the following definition of terms:</w:t>
      </w:r>
    </w:p>
    <w:p w14:paraId="69B81A85" w14:textId="77777777" w:rsidR="00375E56" w:rsidRPr="00345AA4" w:rsidRDefault="00375E56" w:rsidP="00375E56">
      <w:pPr>
        <w:pStyle w:val="ListParagraph"/>
        <w:ind w:left="0"/>
        <w:jc w:val="both"/>
        <w:rPr>
          <w:rFonts w:ascii="Arial" w:hAnsi="Arial" w:cs="Arial"/>
          <w:color w:val="000000" w:themeColor="text1"/>
          <w:sz w:val="22"/>
          <w:szCs w:val="22"/>
        </w:rPr>
      </w:pPr>
    </w:p>
    <w:p w14:paraId="56DE61A4" w14:textId="10B643C5" w:rsidR="00375E56" w:rsidRPr="00345AA4" w:rsidRDefault="00375E56" w:rsidP="00543E78">
      <w:pPr>
        <w:pStyle w:val="NoSpacing"/>
        <w:ind w:left="1440" w:right="720"/>
        <w:jc w:val="both"/>
        <w:rPr>
          <w:rFonts w:ascii="Arial" w:hAnsi="Arial" w:cs="Arial"/>
          <w:i/>
          <w:color w:val="000000" w:themeColor="text1"/>
        </w:rPr>
      </w:pPr>
      <w:r w:rsidRPr="00345AA4">
        <w:rPr>
          <w:rFonts w:ascii="Arial" w:hAnsi="Arial" w:cs="Arial"/>
          <w:b/>
          <w:i/>
          <w:color w:val="000000" w:themeColor="text1"/>
        </w:rPr>
        <w:t>Appointive Directors</w:t>
      </w:r>
      <w:r w:rsidRPr="00345AA4">
        <w:rPr>
          <w:rFonts w:ascii="Arial" w:hAnsi="Arial" w:cs="Arial"/>
          <w:i/>
          <w:color w:val="000000" w:themeColor="text1"/>
        </w:rPr>
        <w:t xml:space="preserve"> refers to: (a) In the case of Chartered GOCCs, all members of its Board of Directors/Trustees who are not ex officio members thereof; (b) In the case of </w:t>
      </w:r>
      <w:proofErr w:type="spellStart"/>
      <w:r w:rsidRPr="00345AA4">
        <w:rPr>
          <w:rFonts w:ascii="Arial" w:hAnsi="Arial" w:cs="Arial"/>
          <w:i/>
          <w:color w:val="000000" w:themeColor="text1"/>
        </w:rPr>
        <w:t>Nonchartered</w:t>
      </w:r>
      <w:proofErr w:type="spellEnd"/>
      <w:r w:rsidRPr="00345AA4">
        <w:rPr>
          <w:rFonts w:ascii="Arial" w:hAnsi="Arial" w:cs="Arial"/>
          <w:i/>
          <w:color w:val="000000" w:themeColor="text1"/>
        </w:rPr>
        <w:t xml:space="preserve"> GOCCs, members of its Board of Directors/Trustees whom the </w:t>
      </w:r>
      <w:r w:rsidRPr="00345AA4">
        <w:rPr>
          <w:rFonts w:ascii="Arial" w:hAnsi="Arial" w:cs="Arial"/>
          <w:i/>
          <w:color w:val="000000" w:themeColor="text1"/>
        </w:rPr>
        <w:lastRenderedPageBreak/>
        <w:t>State nominates, or is entitled to nominate, to the extent of its percentage shareholdings in such GOCC; and (c) In the case of Subsidiaries and Affiliates, members of its Board of Directors/Trustees whom the GOCC nominates, or is entitled to nominate to the extent of its percentage shareholdings in such Subsidiary or Affiliate.</w:t>
      </w:r>
    </w:p>
    <w:p w14:paraId="2C54BE0D" w14:textId="77777777" w:rsidR="00375E56" w:rsidRPr="00345AA4" w:rsidRDefault="00375E56" w:rsidP="001E38EC">
      <w:pPr>
        <w:pStyle w:val="ListParagraph"/>
        <w:ind w:left="1440" w:right="792"/>
        <w:jc w:val="both"/>
        <w:rPr>
          <w:rFonts w:ascii="Arial" w:hAnsi="Arial" w:cs="Arial"/>
          <w:i/>
          <w:color w:val="000000" w:themeColor="text1"/>
          <w:sz w:val="22"/>
          <w:szCs w:val="22"/>
        </w:rPr>
      </w:pPr>
    </w:p>
    <w:p w14:paraId="4A0BBAA9" w14:textId="699DA578" w:rsidR="00375E56" w:rsidRPr="00345AA4" w:rsidRDefault="00375E56" w:rsidP="00543E78">
      <w:pPr>
        <w:pStyle w:val="NoSpacing"/>
        <w:ind w:left="1440" w:right="720"/>
        <w:jc w:val="both"/>
        <w:rPr>
          <w:rFonts w:ascii="Arial" w:hAnsi="Arial" w:cs="Arial"/>
          <w:i/>
          <w:color w:val="000000" w:themeColor="text1"/>
        </w:rPr>
      </w:pPr>
      <w:r w:rsidRPr="00345AA4">
        <w:rPr>
          <w:rFonts w:ascii="Arial" w:hAnsi="Arial" w:cs="Arial"/>
          <w:b/>
          <w:i/>
          <w:color w:val="000000" w:themeColor="text1"/>
        </w:rPr>
        <w:t xml:space="preserve">Ex Officio Board Member (Ex Officio Director) </w:t>
      </w:r>
      <w:r w:rsidRPr="00345AA4">
        <w:rPr>
          <w:rFonts w:ascii="Arial" w:hAnsi="Arial" w:cs="Arial"/>
          <w:i/>
          <w:color w:val="000000" w:themeColor="text1"/>
        </w:rPr>
        <w:t>refers to any individual who sits or acts as a member of the Board of Director/Trustees by virtue of one’s title to another office, and without further warrant or appointment.</w:t>
      </w:r>
    </w:p>
    <w:p w14:paraId="3F04B93D" w14:textId="77777777" w:rsidR="00375E56" w:rsidRPr="00345AA4" w:rsidRDefault="00375E56" w:rsidP="001E38EC">
      <w:pPr>
        <w:pStyle w:val="ListParagraph"/>
        <w:ind w:left="1440" w:right="792"/>
        <w:rPr>
          <w:rFonts w:ascii="Arial" w:eastAsiaTheme="minorHAnsi" w:hAnsi="Arial" w:cs="Arial"/>
          <w:i/>
          <w:iCs/>
          <w:color w:val="000000" w:themeColor="text1"/>
          <w:sz w:val="22"/>
          <w:szCs w:val="22"/>
          <w:lang w:val="en-PH"/>
        </w:rPr>
      </w:pPr>
    </w:p>
    <w:p w14:paraId="33433CD1" w14:textId="77777777" w:rsidR="00375E56" w:rsidRPr="00345AA4" w:rsidRDefault="00375E56" w:rsidP="001E38EC">
      <w:pPr>
        <w:pStyle w:val="ListParagraph"/>
        <w:ind w:left="1440" w:right="702"/>
        <w:contextualSpacing/>
        <w:jc w:val="both"/>
        <w:rPr>
          <w:rFonts w:ascii="Arial" w:hAnsi="Arial" w:cs="Arial"/>
          <w:i/>
          <w:color w:val="000000" w:themeColor="text1"/>
          <w:sz w:val="22"/>
          <w:szCs w:val="22"/>
        </w:rPr>
      </w:pPr>
      <w:r w:rsidRPr="00345AA4">
        <w:rPr>
          <w:rFonts w:ascii="Arial" w:eastAsiaTheme="minorHAnsi" w:hAnsi="Arial" w:cs="Arial"/>
          <w:b/>
          <w:i/>
          <w:iCs/>
          <w:color w:val="000000" w:themeColor="text1"/>
          <w:sz w:val="22"/>
          <w:szCs w:val="22"/>
          <w:lang w:val="en-PH"/>
        </w:rPr>
        <w:t>“Chartered GOCC</w:t>
      </w:r>
      <w:r w:rsidRPr="00345AA4">
        <w:rPr>
          <w:rFonts w:ascii="Arial" w:eastAsiaTheme="minorHAnsi" w:hAnsi="Arial" w:cs="Arial"/>
          <w:b/>
          <w:i/>
          <w:color w:val="000000" w:themeColor="text1"/>
          <w:sz w:val="22"/>
          <w:szCs w:val="22"/>
          <w:lang w:val="en-PH"/>
        </w:rPr>
        <w:t>”</w:t>
      </w:r>
      <w:r w:rsidRPr="00345AA4">
        <w:rPr>
          <w:rFonts w:ascii="Arial" w:eastAsiaTheme="minorHAnsi" w:hAnsi="Arial" w:cs="Arial"/>
          <w:i/>
          <w:color w:val="000000" w:themeColor="text1"/>
          <w:sz w:val="22"/>
          <w:szCs w:val="22"/>
          <w:lang w:val="en-PH"/>
        </w:rPr>
        <w:t xml:space="preserve"> refers to a GOCC, including a GFI, created and vested with functions by a special law.</w:t>
      </w:r>
    </w:p>
    <w:p w14:paraId="3580E7BB" w14:textId="77777777" w:rsidR="00375E56" w:rsidRPr="00345AA4" w:rsidRDefault="00375E56" w:rsidP="001E38EC">
      <w:pPr>
        <w:pStyle w:val="ListParagraph"/>
        <w:ind w:left="1440" w:right="792"/>
        <w:rPr>
          <w:rFonts w:ascii="Arial" w:hAnsi="Arial" w:cs="Arial"/>
          <w:b/>
          <w:i/>
          <w:color w:val="000000" w:themeColor="text1"/>
          <w:sz w:val="22"/>
          <w:szCs w:val="22"/>
        </w:rPr>
      </w:pPr>
    </w:p>
    <w:p w14:paraId="2D46C78D" w14:textId="77777777" w:rsidR="00375E56" w:rsidRPr="00345AA4" w:rsidRDefault="00375E56" w:rsidP="00543E78">
      <w:pPr>
        <w:pStyle w:val="NoSpacing"/>
        <w:ind w:left="1440" w:right="720"/>
        <w:jc w:val="both"/>
        <w:rPr>
          <w:rFonts w:ascii="Arial" w:hAnsi="Arial" w:cs="Arial"/>
          <w:i/>
          <w:color w:val="000000" w:themeColor="text1"/>
        </w:rPr>
      </w:pPr>
      <w:r w:rsidRPr="00345AA4">
        <w:rPr>
          <w:rFonts w:ascii="Arial" w:hAnsi="Arial" w:cs="Arial"/>
          <w:b/>
          <w:i/>
          <w:color w:val="000000" w:themeColor="text1"/>
        </w:rPr>
        <w:t>Government-Owned or Controlled Corporation (GOCC)</w:t>
      </w:r>
      <w:r w:rsidRPr="00345AA4">
        <w:rPr>
          <w:rFonts w:ascii="Arial" w:hAnsi="Arial" w:cs="Arial"/>
          <w:i/>
          <w:color w:val="000000" w:themeColor="text1"/>
        </w:rPr>
        <w:t xml:space="preserve"> refers to any agency organized as a stock or non-stock corporation, vested with functions relating to public need, whether governmental or proprietary in nature and owned by the Government of the Republic of the Philippines, directly or through its instrumentalities, either wholly or, where applicable, as in the case of stock corporations, to the extent of at least a majority of its outstanding capital stock.  The term also includes a </w:t>
      </w:r>
      <w:r w:rsidRPr="00345AA4">
        <w:rPr>
          <w:rFonts w:ascii="Arial" w:hAnsi="Arial" w:cs="Arial"/>
          <w:b/>
          <w:i/>
          <w:color w:val="000000" w:themeColor="text1"/>
        </w:rPr>
        <w:t>Subsidiary</w:t>
      </w:r>
      <w:r w:rsidRPr="00345AA4">
        <w:rPr>
          <w:rFonts w:ascii="Arial" w:hAnsi="Arial" w:cs="Arial"/>
          <w:i/>
          <w:color w:val="000000" w:themeColor="text1"/>
        </w:rPr>
        <w:t xml:space="preserve"> of a GOCC.</w:t>
      </w:r>
    </w:p>
    <w:p w14:paraId="0F62452A" w14:textId="77777777" w:rsidR="00375E56" w:rsidRPr="00345AA4" w:rsidRDefault="00375E56" w:rsidP="001E38EC">
      <w:pPr>
        <w:pStyle w:val="ListParagraph"/>
        <w:ind w:left="1440" w:right="792"/>
        <w:jc w:val="both"/>
        <w:rPr>
          <w:rFonts w:ascii="Arial" w:hAnsi="Arial" w:cs="Arial"/>
          <w:i/>
          <w:color w:val="000000" w:themeColor="text1"/>
          <w:sz w:val="22"/>
          <w:szCs w:val="22"/>
        </w:rPr>
      </w:pPr>
    </w:p>
    <w:p w14:paraId="48042709" w14:textId="77777777" w:rsidR="00375E56" w:rsidRPr="00345AA4" w:rsidRDefault="00375E56" w:rsidP="00543E78">
      <w:pPr>
        <w:pStyle w:val="NoSpacing"/>
        <w:ind w:left="1440" w:right="720"/>
        <w:jc w:val="both"/>
        <w:rPr>
          <w:rFonts w:ascii="Arial" w:hAnsi="Arial" w:cs="Arial"/>
          <w:i/>
          <w:color w:val="000000" w:themeColor="text1"/>
        </w:rPr>
      </w:pPr>
      <w:r w:rsidRPr="00345AA4">
        <w:rPr>
          <w:rFonts w:ascii="Arial" w:hAnsi="Arial" w:cs="Arial"/>
          <w:b/>
          <w:i/>
          <w:color w:val="000000" w:themeColor="text1"/>
        </w:rPr>
        <w:t>Subsidiary</w:t>
      </w:r>
      <w:r w:rsidRPr="00345AA4">
        <w:rPr>
          <w:rFonts w:ascii="Arial" w:hAnsi="Arial" w:cs="Arial"/>
          <w:i/>
          <w:color w:val="000000" w:themeColor="text1"/>
        </w:rPr>
        <w:t xml:space="preserve"> refers to a corporation where at least a majority of the outstanding capital stock is owned or controlled, directly or indirectly, through one or more intermediaries, by the GOCC.</w:t>
      </w:r>
    </w:p>
    <w:p w14:paraId="625A68BF" w14:textId="77777777" w:rsidR="00375E56" w:rsidRPr="00345AA4" w:rsidRDefault="00375E56" w:rsidP="001E38EC">
      <w:pPr>
        <w:pStyle w:val="ListParagraph"/>
        <w:ind w:left="1440" w:right="792"/>
        <w:rPr>
          <w:rFonts w:ascii="Arial" w:hAnsi="Arial" w:cs="Arial"/>
          <w:b/>
          <w:i/>
          <w:color w:val="000000" w:themeColor="text1"/>
          <w:sz w:val="22"/>
          <w:szCs w:val="22"/>
        </w:rPr>
      </w:pPr>
    </w:p>
    <w:p w14:paraId="4171577B" w14:textId="77777777" w:rsidR="00375E56" w:rsidRPr="00345AA4" w:rsidRDefault="00375E56" w:rsidP="00543E78">
      <w:pPr>
        <w:pStyle w:val="NoSpacing"/>
        <w:ind w:left="1440" w:right="720"/>
        <w:jc w:val="both"/>
        <w:rPr>
          <w:rFonts w:ascii="Arial" w:hAnsi="Arial" w:cs="Arial"/>
          <w:i/>
          <w:color w:val="000000" w:themeColor="text1"/>
        </w:rPr>
      </w:pPr>
      <w:r w:rsidRPr="00345AA4">
        <w:rPr>
          <w:rFonts w:ascii="Arial" w:hAnsi="Arial" w:cs="Arial"/>
          <w:b/>
          <w:i/>
          <w:color w:val="000000" w:themeColor="text1"/>
        </w:rPr>
        <w:t>Affiliate</w:t>
      </w:r>
      <w:r w:rsidRPr="00345AA4">
        <w:rPr>
          <w:rFonts w:ascii="Arial" w:hAnsi="Arial" w:cs="Arial"/>
          <w:i/>
          <w:color w:val="000000" w:themeColor="text1"/>
        </w:rPr>
        <w:t xml:space="preserve"> refers to a corporation fifty percent (50%) or less of the outstanding capital stock of which is owned or controlled, directly or indirectly, by the GOCC.</w:t>
      </w:r>
    </w:p>
    <w:p w14:paraId="3435D955" w14:textId="77777777" w:rsidR="00375E56" w:rsidRPr="00345AA4" w:rsidRDefault="00375E56" w:rsidP="001E38EC">
      <w:pPr>
        <w:pStyle w:val="ListParagraph"/>
        <w:ind w:left="1440"/>
        <w:rPr>
          <w:rFonts w:ascii="Arial" w:hAnsi="Arial" w:cs="Arial"/>
          <w:color w:val="000000" w:themeColor="text1"/>
          <w:sz w:val="22"/>
          <w:szCs w:val="22"/>
        </w:rPr>
      </w:pPr>
    </w:p>
    <w:p w14:paraId="10DF6EF1" w14:textId="7474F742" w:rsidR="00375E56" w:rsidRPr="00345AA4" w:rsidRDefault="00375E56" w:rsidP="00375E56">
      <w:pPr>
        <w:pStyle w:val="ListParagraph"/>
        <w:numPr>
          <w:ilvl w:val="1"/>
          <w:numId w:val="1"/>
        </w:numPr>
        <w:tabs>
          <w:tab w:val="left" w:pos="990"/>
        </w:tabs>
        <w:ind w:left="900" w:hanging="540"/>
        <w:contextualSpacing/>
        <w:jc w:val="both"/>
        <w:rPr>
          <w:rFonts w:ascii="Arial" w:hAnsi="Arial" w:cs="Arial"/>
          <w:color w:val="000000" w:themeColor="text1"/>
          <w:sz w:val="22"/>
          <w:szCs w:val="22"/>
          <w:lang w:eastAsia="en-PH"/>
        </w:rPr>
      </w:pPr>
      <w:r w:rsidRPr="00345AA4">
        <w:rPr>
          <w:rFonts w:ascii="Arial" w:hAnsi="Arial" w:cs="Arial"/>
          <w:color w:val="000000" w:themeColor="text1"/>
          <w:sz w:val="22"/>
          <w:szCs w:val="22"/>
          <w:lang w:eastAsia="en-PH"/>
        </w:rPr>
        <w:t>The System is a chartered GOCC created by virtue of PD No. 361, which was promulgated on December 30, 1973.  The System is engaged in various business operations which include the management of funds invested in the stock market and equity holdings in subsidiaries and associates.  As at December 31, 2019, the President of AFPRSBS is currently the Vice-Chairman of its BOT which is the policy making body of the System.</w:t>
      </w:r>
    </w:p>
    <w:p w14:paraId="66AFDDF4" w14:textId="77777777" w:rsidR="00375E56" w:rsidRPr="00345AA4" w:rsidRDefault="00375E56" w:rsidP="00375E56">
      <w:pPr>
        <w:pStyle w:val="ListParagraph"/>
        <w:ind w:left="0"/>
        <w:jc w:val="both"/>
        <w:rPr>
          <w:rFonts w:ascii="Arial" w:hAnsi="Arial" w:cs="Arial"/>
          <w:b/>
          <w:color w:val="000000" w:themeColor="text1"/>
          <w:sz w:val="22"/>
          <w:szCs w:val="22"/>
        </w:rPr>
      </w:pPr>
      <w:r w:rsidRPr="00345AA4">
        <w:rPr>
          <w:rFonts w:ascii="Arial" w:hAnsi="Arial" w:cs="Arial"/>
          <w:color w:val="000000" w:themeColor="text1"/>
          <w:sz w:val="22"/>
          <w:szCs w:val="22"/>
        </w:rPr>
        <w:t xml:space="preserve"> </w:t>
      </w:r>
    </w:p>
    <w:p w14:paraId="03E2C1A5" w14:textId="0D893D05" w:rsidR="00375E56" w:rsidRPr="00345AA4" w:rsidRDefault="00375E56" w:rsidP="00375E56">
      <w:pPr>
        <w:pStyle w:val="ListParagraph"/>
        <w:numPr>
          <w:ilvl w:val="1"/>
          <w:numId w:val="1"/>
        </w:numPr>
        <w:tabs>
          <w:tab w:val="left" w:pos="990"/>
        </w:tabs>
        <w:ind w:left="900" w:hanging="540"/>
        <w:contextualSpacing/>
        <w:jc w:val="both"/>
        <w:rPr>
          <w:rFonts w:ascii="Arial" w:hAnsi="Arial" w:cs="Arial"/>
          <w:color w:val="000000" w:themeColor="text1"/>
          <w:sz w:val="22"/>
          <w:szCs w:val="22"/>
          <w:lang w:eastAsia="en-PH"/>
        </w:rPr>
      </w:pPr>
      <w:r w:rsidRPr="00345AA4">
        <w:rPr>
          <w:rFonts w:ascii="Arial" w:hAnsi="Arial" w:cs="Arial"/>
          <w:color w:val="000000" w:themeColor="text1"/>
          <w:sz w:val="22"/>
          <w:szCs w:val="22"/>
          <w:lang w:eastAsia="en-PH"/>
        </w:rPr>
        <w:t>Review of the composition of Appointive Directors in the Board of the System’s Subsidiaries and Affiliates disclosed that the President holds more than two board seats</w:t>
      </w:r>
      <w:r w:rsidR="006A4EA5" w:rsidRPr="00345AA4">
        <w:rPr>
          <w:rFonts w:ascii="Arial" w:hAnsi="Arial" w:cs="Arial"/>
          <w:color w:val="000000" w:themeColor="text1"/>
          <w:sz w:val="22"/>
          <w:szCs w:val="22"/>
          <w:lang w:eastAsia="en-PH"/>
        </w:rPr>
        <w:t>,</w:t>
      </w:r>
      <w:r w:rsidRPr="00345AA4">
        <w:rPr>
          <w:rFonts w:ascii="Arial" w:hAnsi="Arial" w:cs="Arial"/>
          <w:color w:val="000000" w:themeColor="text1"/>
          <w:sz w:val="22"/>
          <w:szCs w:val="22"/>
          <w:lang w:eastAsia="en-PH"/>
        </w:rPr>
        <w:t xml:space="preserve"> contrary to the aforementioned GCG Circular.  Details are as follows:</w:t>
      </w:r>
    </w:p>
    <w:p w14:paraId="2D2B8EEA" w14:textId="77777777" w:rsidR="00375E56" w:rsidRPr="00345AA4" w:rsidRDefault="00375E56" w:rsidP="00375E56">
      <w:pPr>
        <w:pStyle w:val="ListParagraph"/>
        <w:jc w:val="center"/>
        <w:rPr>
          <w:rFonts w:ascii="Arial" w:hAnsi="Arial" w:cs="Arial"/>
          <w:b/>
          <w:color w:val="000000" w:themeColor="text1"/>
          <w:sz w:val="22"/>
          <w:szCs w:val="22"/>
        </w:rPr>
      </w:pPr>
    </w:p>
    <w:tbl>
      <w:tblPr>
        <w:tblStyle w:val="TableGrid"/>
        <w:tblW w:w="774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4638"/>
        <w:gridCol w:w="1276"/>
        <w:gridCol w:w="1376"/>
      </w:tblGrid>
      <w:tr w:rsidR="00345AA4" w:rsidRPr="00345AA4" w14:paraId="4E49C657" w14:textId="77777777" w:rsidTr="002C39EB">
        <w:trPr>
          <w:trHeight w:val="268"/>
        </w:trPr>
        <w:tc>
          <w:tcPr>
            <w:tcW w:w="450" w:type="dxa"/>
          </w:tcPr>
          <w:p w14:paraId="7B1674C8" w14:textId="77777777" w:rsidR="00375E56" w:rsidRPr="00345AA4" w:rsidRDefault="00375E56" w:rsidP="00375E56">
            <w:pPr>
              <w:pStyle w:val="ListParagraph"/>
              <w:ind w:left="0"/>
              <w:jc w:val="both"/>
              <w:rPr>
                <w:rFonts w:ascii="Arial" w:hAnsi="Arial" w:cs="Arial"/>
                <w:b/>
                <w:color w:val="000000" w:themeColor="text1"/>
                <w:sz w:val="18"/>
                <w:szCs w:val="18"/>
              </w:rPr>
            </w:pPr>
          </w:p>
        </w:tc>
        <w:tc>
          <w:tcPr>
            <w:tcW w:w="4638" w:type="dxa"/>
            <w:tcBorders>
              <w:top w:val="single" w:sz="4" w:space="0" w:color="auto"/>
              <w:bottom w:val="single" w:sz="4" w:space="0" w:color="auto"/>
            </w:tcBorders>
          </w:tcPr>
          <w:p w14:paraId="278B0B54" w14:textId="77777777" w:rsidR="00375E56" w:rsidRPr="00345AA4" w:rsidRDefault="00375E56" w:rsidP="00375E56">
            <w:pPr>
              <w:pStyle w:val="ListParagraph"/>
              <w:ind w:left="0"/>
              <w:jc w:val="both"/>
              <w:rPr>
                <w:rFonts w:ascii="Arial" w:hAnsi="Arial" w:cs="Arial"/>
                <w:b/>
                <w:color w:val="000000" w:themeColor="text1"/>
                <w:sz w:val="18"/>
                <w:szCs w:val="18"/>
              </w:rPr>
            </w:pPr>
            <w:r w:rsidRPr="00345AA4">
              <w:rPr>
                <w:rFonts w:ascii="Arial" w:hAnsi="Arial" w:cs="Arial"/>
                <w:b/>
                <w:color w:val="000000" w:themeColor="text1"/>
                <w:sz w:val="18"/>
                <w:szCs w:val="18"/>
              </w:rPr>
              <w:t>Subsidiaries</w:t>
            </w:r>
          </w:p>
        </w:tc>
        <w:tc>
          <w:tcPr>
            <w:tcW w:w="1276" w:type="dxa"/>
            <w:tcBorders>
              <w:top w:val="single" w:sz="4" w:space="0" w:color="auto"/>
              <w:bottom w:val="single" w:sz="4" w:space="0" w:color="auto"/>
            </w:tcBorders>
          </w:tcPr>
          <w:p w14:paraId="1C3E53EF" w14:textId="77777777" w:rsidR="00375E56" w:rsidRPr="00345AA4" w:rsidRDefault="00375E56" w:rsidP="00375E56">
            <w:pPr>
              <w:pStyle w:val="ListParagraph"/>
              <w:ind w:left="0"/>
              <w:jc w:val="center"/>
              <w:rPr>
                <w:rFonts w:ascii="Arial" w:hAnsi="Arial" w:cs="Arial"/>
                <w:b/>
                <w:color w:val="000000" w:themeColor="text1"/>
                <w:sz w:val="18"/>
                <w:szCs w:val="18"/>
              </w:rPr>
            </w:pPr>
            <w:r w:rsidRPr="00345AA4">
              <w:rPr>
                <w:rFonts w:ascii="Arial" w:hAnsi="Arial" w:cs="Arial"/>
                <w:b/>
                <w:color w:val="000000" w:themeColor="text1"/>
                <w:sz w:val="18"/>
                <w:szCs w:val="18"/>
              </w:rPr>
              <w:t>Ownership</w:t>
            </w:r>
          </w:p>
        </w:tc>
        <w:tc>
          <w:tcPr>
            <w:tcW w:w="1376" w:type="dxa"/>
            <w:tcBorders>
              <w:top w:val="single" w:sz="4" w:space="0" w:color="auto"/>
              <w:bottom w:val="single" w:sz="4" w:space="0" w:color="auto"/>
            </w:tcBorders>
          </w:tcPr>
          <w:p w14:paraId="1E26B711" w14:textId="77777777" w:rsidR="00375E56" w:rsidRPr="00345AA4" w:rsidRDefault="00375E56" w:rsidP="00375E56">
            <w:pPr>
              <w:pStyle w:val="ListParagraph"/>
              <w:ind w:left="0"/>
              <w:jc w:val="center"/>
              <w:rPr>
                <w:rFonts w:ascii="Arial" w:hAnsi="Arial" w:cs="Arial"/>
                <w:b/>
                <w:color w:val="000000" w:themeColor="text1"/>
                <w:sz w:val="18"/>
                <w:szCs w:val="18"/>
              </w:rPr>
            </w:pPr>
            <w:r w:rsidRPr="00345AA4">
              <w:rPr>
                <w:rFonts w:ascii="Arial" w:hAnsi="Arial" w:cs="Arial"/>
                <w:b/>
                <w:color w:val="000000" w:themeColor="text1"/>
                <w:sz w:val="18"/>
                <w:szCs w:val="18"/>
              </w:rPr>
              <w:t>Position</w:t>
            </w:r>
          </w:p>
        </w:tc>
      </w:tr>
      <w:tr w:rsidR="00345AA4" w:rsidRPr="00345AA4" w14:paraId="4DCC74C7" w14:textId="77777777" w:rsidTr="002C39EB">
        <w:trPr>
          <w:trHeight w:val="253"/>
        </w:trPr>
        <w:tc>
          <w:tcPr>
            <w:tcW w:w="450" w:type="dxa"/>
          </w:tcPr>
          <w:p w14:paraId="7F4AD629" w14:textId="77777777" w:rsidR="00375E56" w:rsidRPr="00345AA4" w:rsidRDefault="00375E56" w:rsidP="00375E56">
            <w:pPr>
              <w:pStyle w:val="ListParagraph"/>
              <w:ind w:left="0"/>
              <w:jc w:val="both"/>
              <w:rPr>
                <w:rFonts w:ascii="Arial" w:hAnsi="Arial" w:cs="Arial"/>
                <w:color w:val="000000" w:themeColor="text1"/>
                <w:sz w:val="18"/>
                <w:szCs w:val="18"/>
              </w:rPr>
            </w:pPr>
            <w:r w:rsidRPr="00345AA4">
              <w:rPr>
                <w:rFonts w:ascii="Arial" w:hAnsi="Arial" w:cs="Arial"/>
                <w:color w:val="000000" w:themeColor="text1"/>
                <w:sz w:val="18"/>
                <w:szCs w:val="18"/>
              </w:rPr>
              <w:t>1.</w:t>
            </w:r>
          </w:p>
        </w:tc>
        <w:tc>
          <w:tcPr>
            <w:tcW w:w="4638" w:type="dxa"/>
            <w:tcBorders>
              <w:top w:val="single" w:sz="4" w:space="0" w:color="auto"/>
            </w:tcBorders>
          </w:tcPr>
          <w:p w14:paraId="7506EBEF" w14:textId="77777777" w:rsidR="00375E56" w:rsidRPr="00345AA4" w:rsidRDefault="00082E3A" w:rsidP="00375E56">
            <w:pPr>
              <w:pStyle w:val="ListParagraph"/>
              <w:ind w:left="0"/>
              <w:jc w:val="both"/>
              <w:rPr>
                <w:rFonts w:ascii="Arial" w:hAnsi="Arial" w:cs="Arial"/>
                <w:color w:val="000000" w:themeColor="text1"/>
                <w:sz w:val="18"/>
                <w:szCs w:val="18"/>
              </w:rPr>
            </w:pPr>
            <w:r w:rsidRPr="00345AA4">
              <w:rPr>
                <w:rFonts w:ascii="Arial" w:hAnsi="Arial" w:cs="Arial"/>
                <w:color w:val="000000" w:themeColor="text1"/>
                <w:sz w:val="18"/>
                <w:szCs w:val="18"/>
              </w:rPr>
              <w:t>Southern Utility Management and Services, Inc (</w:t>
            </w:r>
            <w:r w:rsidR="00375E56" w:rsidRPr="00345AA4">
              <w:rPr>
                <w:rFonts w:ascii="Arial" w:hAnsi="Arial" w:cs="Arial"/>
                <w:color w:val="000000" w:themeColor="text1"/>
                <w:sz w:val="18"/>
                <w:szCs w:val="18"/>
              </w:rPr>
              <w:t>SUMSI</w:t>
            </w:r>
            <w:r w:rsidRPr="00345AA4">
              <w:rPr>
                <w:rFonts w:ascii="Arial" w:hAnsi="Arial" w:cs="Arial"/>
                <w:color w:val="000000" w:themeColor="text1"/>
                <w:sz w:val="18"/>
                <w:szCs w:val="18"/>
              </w:rPr>
              <w:t>)</w:t>
            </w:r>
          </w:p>
        </w:tc>
        <w:tc>
          <w:tcPr>
            <w:tcW w:w="1276" w:type="dxa"/>
            <w:tcBorders>
              <w:top w:val="single" w:sz="4" w:space="0" w:color="auto"/>
            </w:tcBorders>
          </w:tcPr>
          <w:p w14:paraId="25963892" w14:textId="77777777" w:rsidR="00375E56" w:rsidRPr="00345AA4" w:rsidRDefault="00375E56" w:rsidP="00375E56">
            <w:pPr>
              <w:pStyle w:val="ListParagraph"/>
              <w:ind w:left="0"/>
              <w:jc w:val="center"/>
              <w:rPr>
                <w:rFonts w:ascii="Arial" w:hAnsi="Arial" w:cs="Arial"/>
                <w:color w:val="000000" w:themeColor="text1"/>
                <w:sz w:val="18"/>
                <w:szCs w:val="18"/>
              </w:rPr>
            </w:pPr>
            <w:r w:rsidRPr="00345AA4">
              <w:rPr>
                <w:rFonts w:ascii="Arial" w:hAnsi="Arial" w:cs="Arial"/>
                <w:color w:val="000000" w:themeColor="text1"/>
                <w:sz w:val="18"/>
                <w:szCs w:val="18"/>
              </w:rPr>
              <w:t>100.00%</w:t>
            </w:r>
          </w:p>
        </w:tc>
        <w:tc>
          <w:tcPr>
            <w:tcW w:w="1376" w:type="dxa"/>
            <w:tcBorders>
              <w:top w:val="single" w:sz="4" w:space="0" w:color="auto"/>
            </w:tcBorders>
          </w:tcPr>
          <w:p w14:paraId="0F04FF8D" w14:textId="77777777" w:rsidR="00375E56" w:rsidRPr="00345AA4" w:rsidRDefault="00375E56" w:rsidP="00375E56">
            <w:pPr>
              <w:pStyle w:val="ListParagraph"/>
              <w:ind w:left="0"/>
              <w:jc w:val="center"/>
              <w:rPr>
                <w:rFonts w:ascii="Arial" w:hAnsi="Arial" w:cs="Arial"/>
                <w:color w:val="000000" w:themeColor="text1"/>
                <w:sz w:val="18"/>
                <w:szCs w:val="18"/>
              </w:rPr>
            </w:pPr>
            <w:r w:rsidRPr="00345AA4">
              <w:rPr>
                <w:rFonts w:ascii="Arial" w:hAnsi="Arial" w:cs="Arial"/>
                <w:color w:val="000000" w:themeColor="text1"/>
                <w:sz w:val="18"/>
                <w:szCs w:val="18"/>
              </w:rPr>
              <w:t>Chairman</w:t>
            </w:r>
          </w:p>
        </w:tc>
      </w:tr>
      <w:tr w:rsidR="00345AA4" w:rsidRPr="00345AA4" w14:paraId="52A4085E" w14:textId="77777777" w:rsidTr="002C39EB">
        <w:trPr>
          <w:trHeight w:val="268"/>
        </w:trPr>
        <w:tc>
          <w:tcPr>
            <w:tcW w:w="450" w:type="dxa"/>
          </w:tcPr>
          <w:p w14:paraId="37A8C4BE" w14:textId="77777777" w:rsidR="00375E56" w:rsidRPr="00345AA4" w:rsidRDefault="00375E56" w:rsidP="00375E56">
            <w:pPr>
              <w:pStyle w:val="ListParagraph"/>
              <w:ind w:left="0"/>
              <w:jc w:val="both"/>
              <w:rPr>
                <w:rFonts w:ascii="Arial" w:hAnsi="Arial" w:cs="Arial"/>
                <w:color w:val="000000" w:themeColor="text1"/>
                <w:sz w:val="18"/>
                <w:szCs w:val="18"/>
              </w:rPr>
            </w:pPr>
            <w:r w:rsidRPr="00345AA4">
              <w:rPr>
                <w:rFonts w:ascii="Arial" w:hAnsi="Arial" w:cs="Arial"/>
                <w:color w:val="000000" w:themeColor="text1"/>
                <w:sz w:val="18"/>
                <w:szCs w:val="18"/>
              </w:rPr>
              <w:t>2.</w:t>
            </w:r>
          </w:p>
        </w:tc>
        <w:tc>
          <w:tcPr>
            <w:tcW w:w="4638" w:type="dxa"/>
          </w:tcPr>
          <w:p w14:paraId="60908DAE" w14:textId="77777777" w:rsidR="00375E56" w:rsidRPr="00345AA4" w:rsidRDefault="00082E3A" w:rsidP="00375E56">
            <w:pPr>
              <w:pStyle w:val="ListParagraph"/>
              <w:ind w:left="0"/>
              <w:jc w:val="both"/>
              <w:rPr>
                <w:rFonts w:ascii="Arial" w:hAnsi="Arial" w:cs="Arial"/>
                <w:color w:val="000000" w:themeColor="text1"/>
                <w:sz w:val="18"/>
                <w:szCs w:val="18"/>
              </w:rPr>
            </w:pPr>
            <w:proofErr w:type="spellStart"/>
            <w:r w:rsidRPr="00345AA4">
              <w:rPr>
                <w:rFonts w:ascii="Arial" w:hAnsi="Arial" w:cs="Arial"/>
                <w:color w:val="000000" w:themeColor="text1"/>
                <w:sz w:val="18"/>
                <w:szCs w:val="18"/>
              </w:rPr>
              <w:t>Monterrosa</w:t>
            </w:r>
            <w:proofErr w:type="spellEnd"/>
            <w:r w:rsidRPr="00345AA4">
              <w:rPr>
                <w:rFonts w:ascii="Arial" w:hAnsi="Arial" w:cs="Arial"/>
                <w:color w:val="000000" w:themeColor="text1"/>
                <w:sz w:val="18"/>
                <w:szCs w:val="18"/>
              </w:rPr>
              <w:t xml:space="preserve"> Development Corporation (</w:t>
            </w:r>
            <w:r w:rsidR="00375E56" w:rsidRPr="00345AA4">
              <w:rPr>
                <w:rFonts w:ascii="Arial" w:hAnsi="Arial" w:cs="Arial"/>
                <w:color w:val="000000" w:themeColor="text1"/>
                <w:sz w:val="18"/>
                <w:szCs w:val="18"/>
              </w:rPr>
              <w:t>MDC</w:t>
            </w:r>
            <w:r w:rsidRPr="00345AA4">
              <w:rPr>
                <w:rFonts w:ascii="Arial" w:hAnsi="Arial" w:cs="Arial"/>
                <w:color w:val="000000" w:themeColor="text1"/>
                <w:sz w:val="18"/>
                <w:szCs w:val="18"/>
              </w:rPr>
              <w:t>)</w:t>
            </w:r>
          </w:p>
        </w:tc>
        <w:tc>
          <w:tcPr>
            <w:tcW w:w="1276" w:type="dxa"/>
          </w:tcPr>
          <w:p w14:paraId="24983231" w14:textId="77777777" w:rsidR="00375E56" w:rsidRPr="00345AA4" w:rsidRDefault="00375E56" w:rsidP="00375E56">
            <w:pPr>
              <w:pStyle w:val="ListParagraph"/>
              <w:ind w:left="0"/>
              <w:jc w:val="center"/>
              <w:rPr>
                <w:rFonts w:ascii="Arial" w:hAnsi="Arial" w:cs="Arial"/>
                <w:color w:val="000000" w:themeColor="text1"/>
                <w:sz w:val="18"/>
                <w:szCs w:val="18"/>
              </w:rPr>
            </w:pPr>
            <w:r w:rsidRPr="00345AA4">
              <w:rPr>
                <w:rFonts w:ascii="Arial" w:hAnsi="Arial" w:cs="Arial"/>
                <w:color w:val="000000" w:themeColor="text1"/>
                <w:sz w:val="18"/>
                <w:szCs w:val="18"/>
              </w:rPr>
              <w:t>100.00%</w:t>
            </w:r>
          </w:p>
        </w:tc>
        <w:tc>
          <w:tcPr>
            <w:tcW w:w="1376" w:type="dxa"/>
          </w:tcPr>
          <w:p w14:paraId="7DCA3D71" w14:textId="77777777" w:rsidR="00375E56" w:rsidRPr="00345AA4" w:rsidRDefault="00375E56" w:rsidP="00375E56">
            <w:pPr>
              <w:pStyle w:val="ListParagraph"/>
              <w:ind w:left="0"/>
              <w:jc w:val="center"/>
              <w:rPr>
                <w:rFonts w:ascii="Arial" w:hAnsi="Arial" w:cs="Arial"/>
                <w:color w:val="000000" w:themeColor="text1"/>
                <w:sz w:val="18"/>
                <w:szCs w:val="18"/>
              </w:rPr>
            </w:pPr>
            <w:r w:rsidRPr="00345AA4">
              <w:rPr>
                <w:rFonts w:ascii="Arial" w:hAnsi="Arial" w:cs="Arial"/>
                <w:color w:val="000000" w:themeColor="text1"/>
                <w:sz w:val="18"/>
                <w:szCs w:val="18"/>
              </w:rPr>
              <w:t>Chairman</w:t>
            </w:r>
          </w:p>
        </w:tc>
      </w:tr>
      <w:tr w:rsidR="00345AA4" w:rsidRPr="00345AA4" w14:paraId="4CC2682A" w14:textId="77777777" w:rsidTr="002C39EB">
        <w:trPr>
          <w:trHeight w:val="268"/>
        </w:trPr>
        <w:tc>
          <w:tcPr>
            <w:tcW w:w="450" w:type="dxa"/>
          </w:tcPr>
          <w:p w14:paraId="79E1E2C6" w14:textId="77777777" w:rsidR="00375E56" w:rsidRPr="00345AA4" w:rsidRDefault="00375E56" w:rsidP="00375E56">
            <w:pPr>
              <w:pStyle w:val="ListParagraph"/>
              <w:ind w:left="0"/>
              <w:jc w:val="both"/>
              <w:rPr>
                <w:rFonts w:ascii="Arial" w:hAnsi="Arial" w:cs="Arial"/>
                <w:color w:val="000000" w:themeColor="text1"/>
                <w:sz w:val="18"/>
                <w:szCs w:val="18"/>
              </w:rPr>
            </w:pPr>
            <w:r w:rsidRPr="00345AA4">
              <w:rPr>
                <w:rFonts w:ascii="Arial" w:hAnsi="Arial" w:cs="Arial"/>
                <w:color w:val="000000" w:themeColor="text1"/>
                <w:sz w:val="18"/>
                <w:szCs w:val="18"/>
              </w:rPr>
              <w:t>3.</w:t>
            </w:r>
          </w:p>
        </w:tc>
        <w:tc>
          <w:tcPr>
            <w:tcW w:w="4638" w:type="dxa"/>
          </w:tcPr>
          <w:p w14:paraId="69C5C3F5" w14:textId="77777777" w:rsidR="00375E56" w:rsidRPr="00345AA4" w:rsidRDefault="00082E3A" w:rsidP="00375E56">
            <w:pPr>
              <w:pStyle w:val="ListParagraph"/>
              <w:ind w:left="0"/>
              <w:jc w:val="both"/>
              <w:rPr>
                <w:rFonts w:ascii="Arial" w:hAnsi="Arial" w:cs="Arial"/>
                <w:color w:val="000000" w:themeColor="text1"/>
                <w:sz w:val="18"/>
                <w:szCs w:val="18"/>
              </w:rPr>
            </w:pPr>
            <w:r w:rsidRPr="00345AA4">
              <w:rPr>
                <w:rFonts w:ascii="Arial" w:hAnsi="Arial" w:cs="Arial"/>
                <w:color w:val="000000" w:themeColor="text1"/>
                <w:sz w:val="18"/>
                <w:szCs w:val="18"/>
              </w:rPr>
              <w:t>Bay Resources and Development Corporation (</w:t>
            </w:r>
            <w:r w:rsidR="00375E56" w:rsidRPr="00345AA4">
              <w:rPr>
                <w:rFonts w:ascii="Arial" w:hAnsi="Arial" w:cs="Arial"/>
                <w:color w:val="000000" w:themeColor="text1"/>
                <w:sz w:val="18"/>
                <w:szCs w:val="18"/>
              </w:rPr>
              <w:t>BRADCO</w:t>
            </w:r>
            <w:r w:rsidRPr="00345AA4">
              <w:rPr>
                <w:rFonts w:ascii="Arial" w:hAnsi="Arial" w:cs="Arial"/>
                <w:color w:val="000000" w:themeColor="text1"/>
                <w:sz w:val="18"/>
                <w:szCs w:val="18"/>
              </w:rPr>
              <w:t>)</w:t>
            </w:r>
          </w:p>
        </w:tc>
        <w:tc>
          <w:tcPr>
            <w:tcW w:w="1276" w:type="dxa"/>
          </w:tcPr>
          <w:p w14:paraId="62FB7BEC" w14:textId="77777777" w:rsidR="00375E56" w:rsidRPr="00345AA4" w:rsidRDefault="00375E56" w:rsidP="00375E56">
            <w:pPr>
              <w:pStyle w:val="ListParagraph"/>
              <w:ind w:left="0"/>
              <w:jc w:val="center"/>
              <w:rPr>
                <w:rFonts w:ascii="Arial" w:hAnsi="Arial" w:cs="Arial"/>
                <w:color w:val="000000" w:themeColor="text1"/>
                <w:sz w:val="18"/>
                <w:szCs w:val="18"/>
              </w:rPr>
            </w:pPr>
            <w:r w:rsidRPr="00345AA4">
              <w:rPr>
                <w:rFonts w:ascii="Arial" w:hAnsi="Arial" w:cs="Arial"/>
                <w:color w:val="000000" w:themeColor="text1"/>
                <w:sz w:val="18"/>
                <w:szCs w:val="18"/>
              </w:rPr>
              <w:t>50.00%</w:t>
            </w:r>
          </w:p>
        </w:tc>
        <w:tc>
          <w:tcPr>
            <w:tcW w:w="1376" w:type="dxa"/>
          </w:tcPr>
          <w:p w14:paraId="64CDF87B" w14:textId="77777777" w:rsidR="00375E56" w:rsidRPr="00345AA4" w:rsidRDefault="00375E56" w:rsidP="00375E56">
            <w:pPr>
              <w:pStyle w:val="ListParagraph"/>
              <w:ind w:left="0"/>
              <w:jc w:val="center"/>
              <w:rPr>
                <w:rFonts w:ascii="Arial" w:hAnsi="Arial" w:cs="Arial"/>
                <w:color w:val="000000" w:themeColor="text1"/>
                <w:sz w:val="18"/>
                <w:szCs w:val="18"/>
              </w:rPr>
            </w:pPr>
            <w:r w:rsidRPr="00345AA4">
              <w:rPr>
                <w:rFonts w:ascii="Arial" w:hAnsi="Arial" w:cs="Arial"/>
                <w:color w:val="000000" w:themeColor="text1"/>
                <w:sz w:val="18"/>
                <w:szCs w:val="18"/>
              </w:rPr>
              <w:t>Director</w:t>
            </w:r>
          </w:p>
        </w:tc>
      </w:tr>
      <w:tr w:rsidR="00345AA4" w:rsidRPr="00345AA4" w14:paraId="26046185" w14:textId="77777777" w:rsidTr="002C39EB">
        <w:trPr>
          <w:trHeight w:val="74"/>
        </w:trPr>
        <w:tc>
          <w:tcPr>
            <w:tcW w:w="450" w:type="dxa"/>
          </w:tcPr>
          <w:p w14:paraId="5922F929" w14:textId="77777777" w:rsidR="00375E56" w:rsidRPr="00345AA4" w:rsidRDefault="00375E56" w:rsidP="00375E56">
            <w:pPr>
              <w:pStyle w:val="ListParagraph"/>
              <w:ind w:left="0"/>
              <w:jc w:val="both"/>
              <w:rPr>
                <w:rFonts w:ascii="Arial" w:hAnsi="Arial" w:cs="Arial"/>
                <w:color w:val="000000" w:themeColor="text1"/>
                <w:sz w:val="18"/>
                <w:szCs w:val="18"/>
              </w:rPr>
            </w:pPr>
          </w:p>
        </w:tc>
        <w:tc>
          <w:tcPr>
            <w:tcW w:w="4638" w:type="dxa"/>
            <w:tcBorders>
              <w:bottom w:val="single" w:sz="4" w:space="0" w:color="auto"/>
            </w:tcBorders>
          </w:tcPr>
          <w:p w14:paraId="2DBD74EF" w14:textId="77777777" w:rsidR="00375E56" w:rsidRPr="00345AA4" w:rsidRDefault="00375E56" w:rsidP="00375E56">
            <w:pPr>
              <w:pStyle w:val="ListParagraph"/>
              <w:ind w:left="0"/>
              <w:jc w:val="both"/>
              <w:rPr>
                <w:rFonts w:ascii="Arial" w:hAnsi="Arial" w:cs="Arial"/>
                <w:color w:val="000000" w:themeColor="text1"/>
                <w:sz w:val="18"/>
                <w:szCs w:val="18"/>
              </w:rPr>
            </w:pPr>
          </w:p>
        </w:tc>
        <w:tc>
          <w:tcPr>
            <w:tcW w:w="1276" w:type="dxa"/>
            <w:tcBorders>
              <w:bottom w:val="single" w:sz="4" w:space="0" w:color="auto"/>
            </w:tcBorders>
          </w:tcPr>
          <w:p w14:paraId="583BC2E6" w14:textId="77777777" w:rsidR="00375E56" w:rsidRPr="00345AA4" w:rsidRDefault="00375E56" w:rsidP="00375E56">
            <w:pPr>
              <w:pStyle w:val="ListParagraph"/>
              <w:ind w:left="0"/>
              <w:jc w:val="center"/>
              <w:rPr>
                <w:rFonts w:ascii="Arial" w:hAnsi="Arial" w:cs="Arial"/>
                <w:color w:val="000000" w:themeColor="text1"/>
                <w:sz w:val="18"/>
                <w:szCs w:val="18"/>
              </w:rPr>
            </w:pPr>
          </w:p>
        </w:tc>
        <w:tc>
          <w:tcPr>
            <w:tcW w:w="1376" w:type="dxa"/>
            <w:tcBorders>
              <w:bottom w:val="single" w:sz="4" w:space="0" w:color="auto"/>
            </w:tcBorders>
          </w:tcPr>
          <w:p w14:paraId="07B0D5BD" w14:textId="77777777" w:rsidR="00375E56" w:rsidRPr="00345AA4" w:rsidRDefault="00375E56" w:rsidP="00375E56">
            <w:pPr>
              <w:pStyle w:val="ListParagraph"/>
              <w:ind w:left="0"/>
              <w:jc w:val="center"/>
              <w:rPr>
                <w:rFonts w:ascii="Arial" w:hAnsi="Arial" w:cs="Arial"/>
                <w:color w:val="000000" w:themeColor="text1"/>
                <w:sz w:val="18"/>
                <w:szCs w:val="18"/>
              </w:rPr>
            </w:pPr>
          </w:p>
        </w:tc>
      </w:tr>
      <w:tr w:rsidR="00345AA4" w:rsidRPr="00345AA4" w14:paraId="12018A6D" w14:textId="77777777" w:rsidTr="002C39EB">
        <w:trPr>
          <w:trHeight w:val="268"/>
        </w:trPr>
        <w:tc>
          <w:tcPr>
            <w:tcW w:w="450" w:type="dxa"/>
          </w:tcPr>
          <w:p w14:paraId="111DE517" w14:textId="77777777" w:rsidR="00375E56" w:rsidRPr="00345AA4" w:rsidRDefault="00375E56" w:rsidP="00375E56">
            <w:pPr>
              <w:pStyle w:val="ListParagraph"/>
              <w:ind w:left="0"/>
              <w:jc w:val="both"/>
              <w:rPr>
                <w:rFonts w:ascii="Arial" w:hAnsi="Arial" w:cs="Arial"/>
                <w:b/>
                <w:color w:val="000000" w:themeColor="text1"/>
                <w:sz w:val="18"/>
                <w:szCs w:val="18"/>
              </w:rPr>
            </w:pPr>
          </w:p>
        </w:tc>
        <w:tc>
          <w:tcPr>
            <w:tcW w:w="4638" w:type="dxa"/>
            <w:tcBorders>
              <w:top w:val="single" w:sz="4" w:space="0" w:color="auto"/>
              <w:bottom w:val="single" w:sz="4" w:space="0" w:color="auto"/>
            </w:tcBorders>
          </w:tcPr>
          <w:p w14:paraId="42EA588E" w14:textId="77777777" w:rsidR="00375E56" w:rsidRPr="00345AA4" w:rsidRDefault="00375E56" w:rsidP="00375E56">
            <w:pPr>
              <w:pStyle w:val="ListParagraph"/>
              <w:ind w:left="0"/>
              <w:jc w:val="both"/>
              <w:rPr>
                <w:rFonts w:ascii="Arial" w:hAnsi="Arial" w:cs="Arial"/>
                <w:b/>
                <w:color w:val="000000" w:themeColor="text1"/>
                <w:sz w:val="18"/>
                <w:szCs w:val="18"/>
                <w:lang w:val="en-PH"/>
              </w:rPr>
            </w:pPr>
            <w:r w:rsidRPr="00345AA4">
              <w:rPr>
                <w:rFonts w:ascii="Arial" w:hAnsi="Arial" w:cs="Arial"/>
                <w:b/>
                <w:color w:val="000000" w:themeColor="text1"/>
                <w:sz w:val="18"/>
                <w:szCs w:val="18"/>
              </w:rPr>
              <w:t>Affiliates</w:t>
            </w:r>
          </w:p>
        </w:tc>
        <w:tc>
          <w:tcPr>
            <w:tcW w:w="1276" w:type="dxa"/>
            <w:tcBorders>
              <w:top w:val="single" w:sz="4" w:space="0" w:color="auto"/>
              <w:bottom w:val="single" w:sz="4" w:space="0" w:color="auto"/>
            </w:tcBorders>
          </w:tcPr>
          <w:p w14:paraId="33541814" w14:textId="77777777" w:rsidR="00375E56" w:rsidRPr="00345AA4" w:rsidRDefault="00375E56" w:rsidP="00375E56">
            <w:pPr>
              <w:pStyle w:val="ListParagraph"/>
              <w:ind w:left="0"/>
              <w:jc w:val="center"/>
              <w:rPr>
                <w:rFonts w:ascii="Arial" w:hAnsi="Arial" w:cs="Arial"/>
                <w:b/>
                <w:color w:val="000000" w:themeColor="text1"/>
                <w:sz w:val="18"/>
                <w:szCs w:val="18"/>
              </w:rPr>
            </w:pPr>
            <w:r w:rsidRPr="00345AA4">
              <w:rPr>
                <w:rFonts w:ascii="Arial" w:hAnsi="Arial" w:cs="Arial"/>
                <w:b/>
                <w:color w:val="000000" w:themeColor="text1"/>
                <w:sz w:val="18"/>
                <w:szCs w:val="18"/>
              </w:rPr>
              <w:t>Ownership</w:t>
            </w:r>
          </w:p>
        </w:tc>
        <w:tc>
          <w:tcPr>
            <w:tcW w:w="1376" w:type="dxa"/>
            <w:tcBorders>
              <w:top w:val="single" w:sz="4" w:space="0" w:color="auto"/>
              <w:bottom w:val="single" w:sz="4" w:space="0" w:color="auto"/>
            </w:tcBorders>
          </w:tcPr>
          <w:p w14:paraId="3C2C7E99" w14:textId="77777777" w:rsidR="00375E56" w:rsidRPr="00345AA4" w:rsidRDefault="00375E56" w:rsidP="00375E56">
            <w:pPr>
              <w:pStyle w:val="ListParagraph"/>
              <w:ind w:left="0"/>
              <w:jc w:val="center"/>
              <w:rPr>
                <w:rFonts w:ascii="Arial" w:hAnsi="Arial" w:cs="Arial"/>
                <w:b/>
                <w:color w:val="000000" w:themeColor="text1"/>
                <w:sz w:val="18"/>
                <w:szCs w:val="18"/>
              </w:rPr>
            </w:pPr>
            <w:r w:rsidRPr="00345AA4">
              <w:rPr>
                <w:rFonts w:ascii="Arial" w:hAnsi="Arial" w:cs="Arial"/>
                <w:b/>
                <w:color w:val="000000" w:themeColor="text1"/>
                <w:sz w:val="18"/>
                <w:szCs w:val="18"/>
              </w:rPr>
              <w:t>Position</w:t>
            </w:r>
          </w:p>
        </w:tc>
      </w:tr>
      <w:tr w:rsidR="00345AA4" w:rsidRPr="00345AA4" w14:paraId="6814D4BA" w14:textId="77777777" w:rsidTr="002C39EB">
        <w:trPr>
          <w:trHeight w:val="253"/>
        </w:trPr>
        <w:tc>
          <w:tcPr>
            <w:tcW w:w="450" w:type="dxa"/>
          </w:tcPr>
          <w:p w14:paraId="60283F14" w14:textId="77777777" w:rsidR="00375E56" w:rsidRPr="00345AA4" w:rsidRDefault="00375E56" w:rsidP="00375E56">
            <w:pPr>
              <w:pStyle w:val="ListParagraph"/>
              <w:ind w:left="0"/>
              <w:jc w:val="both"/>
              <w:rPr>
                <w:rFonts w:ascii="Arial" w:hAnsi="Arial" w:cs="Arial"/>
                <w:color w:val="000000" w:themeColor="text1"/>
                <w:sz w:val="18"/>
                <w:szCs w:val="18"/>
              </w:rPr>
            </w:pPr>
            <w:r w:rsidRPr="00345AA4">
              <w:rPr>
                <w:rFonts w:ascii="Arial" w:hAnsi="Arial" w:cs="Arial"/>
                <w:color w:val="000000" w:themeColor="text1"/>
                <w:sz w:val="18"/>
                <w:szCs w:val="18"/>
              </w:rPr>
              <w:t>1.</w:t>
            </w:r>
          </w:p>
        </w:tc>
        <w:tc>
          <w:tcPr>
            <w:tcW w:w="4638" w:type="dxa"/>
            <w:tcBorders>
              <w:top w:val="single" w:sz="4" w:space="0" w:color="auto"/>
            </w:tcBorders>
          </w:tcPr>
          <w:p w14:paraId="0308C70C" w14:textId="77777777" w:rsidR="00375E56" w:rsidRPr="00345AA4" w:rsidRDefault="00082E3A" w:rsidP="00375E56">
            <w:pPr>
              <w:pStyle w:val="ListParagraph"/>
              <w:ind w:left="0"/>
              <w:jc w:val="both"/>
              <w:rPr>
                <w:rFonts w:ascii="Arial" w:hAnsi="Arial" w:cs="Arial"/>
                <w:color w:val="000000" w:themeColor="text1"/>
                <w:sz w:val="18"/>
                <w:szCs w:val="18"/>
              </w:rPr>
            </w:pPr>
            <w:r w:rsidRPr="00345AA4">
              <w:rPr>
                <w:rFonts w:ascii="Arial" w:hAnsi="Arial" w:cs="Arial"/>
                <w:color w:val="000000" w:themeColor="text1"/>
                <w:sz w:val="18"/>
                <w:szCs w:val="18"/>
              </w:rPr>
              <w:t>Riviera Golf Club, Inc (</w:t>
            </w:r>
            <w:r w:rsidR="00375E56" w:rsidRPr="00345AA4">
              <w:rPr>
                <w:rFonts w:ascii="Arial" w:hAnsi="Arial" w:cs="Arial"/>
                <w:color w:val="000000" w:themeColor="text1"/>
                <w:sz w:val="18"/>
                <w:szCs w:val="18"/>
              </w:rPr>
              <w:t>RGCI</w:t>
            </w:r>
            <w:r w:rsidRPr="00345AA4">
              <w:rPr>
                <w:rFonts w:ascii="Arial" w:hAnsi="Arial" w:cs="Arial"/>
                <w:color w:val="000000" w:themeColor="text1"/>
                <w:sz w:val="18"/>
                <w:szCs w:val="18"/>
              </w:rPr>
              <w:t>)</w:t>
            </w:r>
          </w:p>
        </w:tc>
        <w:tc>
          <w:tcPr>
            <w:tcW w:w="1276" w:type="dxa"/>
            <w:tcBorders>
              <w:top w:val="single" w:sz="4" w:space="0" w:color="auto"/>
            </w:tcBorders>
          </w:tcPr>
          <w:p w14:paraId="02C8D69A" w14:textId="77777777" w:rsidR="00375E56" w:rsidRPr="00345AA4" w:rsidRDefault="00375E56" w:rsidP="00375E56">
            <w:pPr>
              <w:pStyle w:val="ListParagraph"/>
              <w:ind w:left="0"/>
              <w:jc w:val="center"/>
              <w:rPr>
                <w:rFonts w:ascii="Arial" w:hAnsi="Arial" w:cs="Arial"/>
                <w:color w:val="000000" w:themeColor="text1"/>
                <w:sz w:val="18"/>
                <w:szCs w:val="18"/>
              </w:rPr>
            </w:pPr>
            <w:r w:rsidRPr="00345AA4">
              <w:rPr>
                <w:rFonts w:ascii="Arial" w:hAnsi="Arial" w:cs="Arial"/>
                <w:color w:val="000000" w:themeColor="text1"/>
                <w:sz w:val="18"/>
                <w:szCs w:val="18"/>
              </w:rPr>
              <w:t>47.80%</w:t>
            </w:r>
          </w:p>
        </w:tc>
        <w:tc>
          <w:tcPr>
            <w:tcW w:w="1376" w:type="dxa"/>
            <w:tcBorders>
              <w:top w:val="single" w:sz="4" w:space="0" w:color="auto"/>
            </w:tcBorders>
          </w:tcPr>
          <w:p w14:paraId="6DDD911C" w14:textId="77777777" w:rsidR="00375E56" w:rsidRPr="00345AA4" w:rsidRDefault="00375E56" w:rsidP="00375E56">
            <w:pPr>
              <w:pStyle w:val="ListParagraph"/>
              <w:ind w:left="0"/>
              <w:jc w:val="center"/>
              <w:rPr>
                <w:rFonts w:ascii="Arial" w:hAnsi="Arial" w:cs="Arial"/>
                <w:color w:val="000000" w:themeColor="text1"/>
                <w:sz w:val="18"/>
                <w:szCs w:val="18"/>
              </w:rPr>
            </w:pPr>
            <w:r w:rsidRPr="00345AA4">
              <w:rPr>
                <w:rFonts w:ascii="Arial" w:hAnsi="Arial" w:cs="Arial"/>
                <w:color w:val="000000" w:themeColor="text1"/>
                <w:sz w:val="18"/>
                <w:szCs w:val="18"/>
              </w:rPr>
              <w:t>Chairman</w:t>
            </w:r>
          </w:p>
        </w:tc>
      </w:tr>
      <w:tr w:rsidR="00345AA4" w:rsidRPr="00345AA4" w14:paraId="3B8EE745" w14:textId="77777777" w:rsidTr="002C39EB">
        <w:trPr>
          <w:trHeight w:val="268"/>
        </w:trPr>
        <w:tc>
          <w:tcPr>
            <w:tcW w:w="450" w:type="dxa"/>
          </w:tcPr>
          <w:p w14:paraId="0231DBFC" w14:textId="77777777" w:rsidR="00375E56" w:rsidRPr="00345AA4" w:rsidRDefault="00375E56" w:rsidP="00375E56">
            <w:pPr>
              <w:pStyle w:val="ListParagraph"/>
              <w:ind w:left="0"/>
              <w:jc w:val="both"/>
              <w:rPr>
                <w:rFonts w:ascii="Arial" w:hAnsi="Arial" w:cs="Arial"/>
                <w:color w:val="000000" w:themeColor="text1"/>
                <w:sz w:val="18"/>
                <w:szCs w:val="18"/>
              </w:rPr>
            </w:pPr>
            <w:r w:rsidRPr="00345AA4">
              <w:rPr>
                <w:rFonts w:ascii="Arial" w:hAnsi="Arial" w:cs="Arial"/>
                <w:color w:val="000000" w:themeColor="text1"/>
                <w:sz w:val="18"/>
                <w:szCs w:val="18"/>
              </w:rPr>
              <w:t>2.</w:t>
            </w:r>
          </w:p>
        </w:tc>
        <w:tc>
          <w:tcPr>
            <w:tcW w:w="4638" w:type="dxa"/>
          </w:tcPr>
          <w:p w14:paraId="4DD1020D" w14:textId="77777777" w:rsidR="00375E56" w:rsidRPr="00345AA4" w:rsidRDefault="00082E3A" w:rsidP="00375E56">
            <w:pPr>
              <w:pStyle w:val="ListParagraph"/>
              <w:ind w:left="0"/>
              <w:jc w:val="both"/>
              <w:rPr>
                <w:rFonts w:ascii="Arial" w:hAnsi="Arial" w:cs="Arial"/>
                <w:color w:val="000000" w:themeColor="text1"/>
                <w:sz w:val="18"/>
                <w:szCs w:val="18"/>
              </w:rPr>
            </w:pPr>
            <w:proofErr w:type="spellStart"/>
            <w:r w:rsidRPr="00345AA4">
              <w:rPr>
                <w:rFonts w:ascii="Arial" w:hAnsi="Arial" w:cs="Arial"/>
                <w:color w:val="000000" w:themeColor="text1"/>
                <w:sz w:val="18"/>
                <w:szCs w:val="18"/>
              </w:rPr>
              <w:t>Marilaque</w:t>
            </w:r>
            <w:proofErr w:type="spellEnd"/>
            <w:r w:rsidRPr="00345AA4">
              <w:rPr>
                <w:rFonts w:ascii="Arial" w:hAnsi="Arial" w:cs="Arial"/>
                <w:color w:val="000000" w:themeColor="text1"/>
                <w:sz w:val="18"/>
                <w:szCs w:val="18"/>
              </w:rPr>
              <w:t xml:space="preserve"> Land, Inc. (</w:t>
            </w:r>
            <w:r w:rsidR="00375E56" w:rsidRPr="00345AA4">
              <w:rPr>
                <w:rFonts w:ascii="Arial" w:hAnsi="Arial" w:cs="Arial"/>
                <w:color w:val="000000" w:themeColor="text1"/>
                <w:sz w:val="18"/>
                <w:szCs w:val="18"/>
              </w:rPr>
              <w:t>MLI</w:t>
            </w:r>
            <w:r w:rsidRPr="00345AA4">
              <w:rPr>
                <w:rFonts w:ascii="Arial" w:hAnsi="Arial" w:cs="Arial"/>
                <w:color w:val="000000" w:themeColor="text1"/>
                <w:sz w:val="18"/>
                <w:szCs w:val="18"/>
              </w:rPr>
              <w:t>)</w:t>
            </w:r>
          </w:p>
        </w:tc>
        <w:tc>
          <w:tcPr>
            <w:tcW w:w="1276" w:type="dxa"/>
          </w:tcPr>
          <w:p w14:paraId="66488CB5" w14:textId="77777777" w:rsidR="00375E56" w:rsidRPr="00345AA4" w:rsidRDefault="00375E56" w:rsidP="00375E56">
            <w:pPr>
              <w:pStyle w:val="ListParagraph"/>
              <w:ind w:left="0"/>
              <w:jc w:val="center"/>
              <w:rPr>
                <w:rFonts w:ascii="Arial" w:hAnsi="Arial" w:cs="Arial"/>
                <w:color w:val="000000" w:themeColor="text1"/>
                <w:sz w:val="18"/>
                <w:szCs w:val="18"/>
              </w:rPr>
            </w:pPr>
            <w:r w:rsidRPr="00345AA4">
              <w:rPr>
                <w:rFonts w:ascii="Arial" w:hAnsi="Arial" w:cs="Arial"/>
                <w:color w:val="000000" w:themeColor="text1"/>
                <w:sz w:val="18"/>
                <w:szCs w:val="18"/>
              </w:rPr>
              <w:t>40.00%</w:t>
            </w:r>
          </w:p>
        </w:tc>
        <w:tc>
          <w:tcPr>
            <w:tcW w:w="1376" w:type="dxa"/>
          </w:tcPr>
          <w:p w14:paraId="084AE063" w14:textId="77777777" w:rsidR="00375E56" w:rsidRPr="00345AA4" w:rsidRDefault="00375E56" w:rsidP="00375E56">
            <w:pPr>
              <w:pStyle w:val="ListParagraph"/>
              <w:ind w:left="0"/>
              <w:jc w:val="center"/>
              <w:rPr>
                <w:rFonts w:ascii="Arial" w:hAnsi="Arial" w:cs="Arial"/>
                <w:color w:val="000000" w:themeColor="text1"/>
                <w:sz w:val="18"/>
                <w:szCs w:val="18"/>
              </w:rPr>
            </w:pPr>
            <w:r w:rsidRPr="00345AA4">
              <w:rPr>
                <w:rFonts w:ascii="Arial" w:hAnsi="Arial" w:cs="Arial"/>
                <w:color w:val="000000" w:themeColor="text1"/>
                <w:sz w:val="18"/>
                <w:szCs w:val="18"/>
              </w:rPr>
              <w:t>Director</w:t>
            </w:r>
          </w:p>
        </w:tc>
      </w:tr>
      <w:tr w:rsidR="00A85B97" w:rsidRPr="00345AA4" w14:paraId="1C545A47" w14:textId="77777777" w:rsidTr="002C39EB">
        <w:trPr>
          <w:trHeight w:val="268"/>
        </w:trPr>
        <w:tc>
          <w:tcPr>
            <w:tcW w:w="450" w:type="dxa"/>
          </w:tcPr>
          <w:p w14:paraId="744B0978" w14:textId="77777777" w:rsidR="00375E56" w:rsidRPr="00345AA4" w:rsidRDefault="00375E56" w:rsidP="00375E56">
            <w:pPr>
              <w:pStyle w:val="ListParagraph"/>
              <w:ind w:left="0"/>
              <w:jc w:val="both"/>
              <w:rPr>
                <w:rFonts w:ascii="Arial" w:hAnsi="Arial" w:cs="Arial"/>
                <w:color w:val="000000" w:themeColor="text1"/>
                <w:sz w:val="18"/>
                <w:szCs w:val="18"/>
              </w:rPr>
            </w:pPr>
            <w:r w:rsidRPr="00345AA4">
              <w:rPr>
                <w:rFonts w:ascii="Arial" w:hAnsi="Arial" w:cs="Arial"/>
                <w:color w:val="000000" w:themeColor="text1"/>
                <w:sz w:val="18"/>
                <w:szCs w:val="18"/>
              </w:rPr>
              <w:t>3.</w:t>
            </w:r>
          </w:p>
        </w:tc>
        <w:tc>
          <w:tcPr>
            <w:tcW w:w="4638" w:type="dxa"/>
          </w:tcPr>
          <w:p w14:paraId="7DB744C4" w14:textId="77777777" w:rsidR="00375E56" w:rsidRPr="00345AA4" w:rsidRDefault="00082E3A" w:rsidP="00375E56">
            <w:pPr>
              <w:pStyle w:val="ListParagraph"/>
              <w:ind w:left="0"/>
              <w:jc w:val="both"/>
              <w:rPr>
                <w:rFonts w:ascii="Arial" w:hAnsi="Arial" w:cs="Arial"/>
                <w:color w:val="000000" w:themeColor="text1"/>
                <w:sz w:val="18"/>
                <w:szCs w:val="18"/>
              </w:rPr>
            </w:pPr>
            <w:r w:rsidRPr="00345AA4">
              <w:rPr>
                <w:rFonts w:ascii="Arial" w:hAnsi="Arial" w:cs="Arial"/>
                <w:color w:val="000000" w:themeColor="text1"/>
                <w:sz w:val="18"/>
                <w:szCs w:val="18"/>
              </w:rPr>
              <w:t>EK Holdings, Inc. (</w:t>
            </w:r>
            <w:r w:rsidR="00375E56" w:rsidRPr="00345AA4">
              <w:rPr>
                <w:rFonts w:ascii="Arial" w:hAnsi="Arial" w:cs="Arial"/>
                <w:color w:val="000000" w:themeColor="text1"/>
                <w:sz w:val="18"/>
                <w:szCs w:val="18"/>
              </w:rPr>
              <w:t>EKHI</w:t>
            </w:r>
            <w:r w:rsidRPr="00345AA4">
              <w:rPr>
                <w:rFonts w:ascii="Arial" w:hAnsi="Arial" w:cs="Arial"/>
                <w:color w:val="000000" w:themeColor="text1"/>
                <w:sz w:val="18"/>
                <w:szCs w:val="18"/>
              </w:rPr>
              <w:t>)</w:t>
            </w:r>
          </w:p>
        </w:tc>
        <w:tc>
          <w:tcPr>
            <w:tcW w:w="1276" w:type="dxa"/>
          </w:tcPr>
          <w:p w14:paraId="7AD5FCEC" w14:textId="77777777" w:rsidR="00375E56" w:rsidRPr="00345AA4" w:rsidRDefault="00375E56" w:rsidP="00375E56">
            <w:pPr>
              <w:pStyle w:val="ListParagraph"/>
              <w:ind w:left="0"/>
              <w:jc w:val="center"/>
              <w:rPr>
                <w:rFonts w:ascii="Arial" w:hAnsi="Arial" w:cs="Arial"/>
                <w:color w:val="000000" w:themeColor="text1"/>
                <w:sz w:val="18"/>
                <w:szCs w:val="18"/>
              </w:rPr>
            </w:pPr>
            <w:r w:rsidRPr="00345AA4">
              <w:rPr>
                <w:rFonts w:ascii="Arial" w:hAnsi="Arial" w:cs="Arial"/>
                <w:color w:val="000000" w:themeColor="text1"/>
                <w:sz w:val="18"/>
                <w:szCs w:val="18"/>
              </w:rPr>
              <w:t>10.92%</w:t>
            </w:r>
          </w:p>
        </w:tc>
        <w:tc>
          <w:tcPr>
            <w:tcW w:w="1376" w:type="dxa"/>
          </w:tcPr>
          <w:p w14:paraId="7E54F553" w14:textId="77777777" w:rsidR="00375E56" w:rsidRPr="00345AA4" w:rsidRDefault="00375E56" w:rsidP="00375E56">
            <w:pPr>
              <w:pStyle w:val="ListParagraph"/>
              <w:ind w:left="0"/>
              <w:jc w:val="center"/>
              <w:rPr>
                <w:rFonts w:ascii="Arial" w:hAnsi="Arial" w:cs="Arial"/>
                <w:color w:val="000000" w:themeColor="text1"/>
                <w:sz w:val="18"/>
                <w:szCs w:val="18"/>
              </w:rPr>
            </w:pPr>
            <w:r w:rsidRPr="00345AA4">
              <w:rPr>
                <w:rFonts w:ascii="Arial" w:hAnsi="Arial" w:cs="Arial"/>
                <w:color w:val="000000" w:themeColor="text1"/>
                <w:sz w:val="18"/>
                <w:szCs w:val="18"/>
              </w:rPr>
              <w:t>Director</w:t>
            </w:r>
          </w:p>
        </w:tc>
      </w:tr>
    </w:tbl>
    <w:p w14:paraId="6B1829A3" w14:textId="77777777" w:rsidR="00375E56" w:rsidRPr="00345AA4" w:rsidRDefault="00375E56" w:rsidP="00375E56">
      <w:pPr>
        <w:pStyle w:val="ListParagraph"/>
        <w:ind w:left="0"/>
        <w:jc w:val="both"/>
        <w:rPr>
          <w:rFonts w:ascii="Arial" w:hAnsi="Arial" w:cs="Arial"/>
          <w:b/>
          <w:color w:val="000000" w:themeColor="text1"/>
          <w:sz w:val="22"/>
          <w:szCs w:val="22"/>
        </w:rPr>
      </w:pPr>
    </w:p>
    <w:p w14:paraId="190235DF" w14:textId="57D2D1AA" w:rsidR="00375E56" w:rsidRPr="00345AA4" w:rsidRDefault="00375E56" w:rsidP="00375E56">
      <w:pPr>
        <w:pStyle w:val="ListParagraph"/>
        <w:numPr>
          <w:ilvl w:val="1"/>
          <w:numId w:val="1"/>
        </w:numPr>
        <w:tabs>
          <w:tab w:val="left" w:pos="990"/>
        </w:tabs>
        <w:ind w:left="900" w:hanging="540"/>
        <w:contextualSpacing/>
        <w:jc w:val="both"/>
        <w:rPr>
          <w:rFonts w:ascii="Arial" w:hAnsi="Arial" w:cs="Arial"/>
          <w:color w:val="000000" w:themeColor="text1"/>
          <w:sz w:val="22"/>
          <w:szCs w:val="22"/>
          <w:lang w:eastAsia="en-PH"/>
        </w:rPr>
      </w:pPr>
      <w:r w:rsidRPr="00345AA4">
        <w:rPr>
          <w:rFonts w:ascii="Arial" w:hAnsi="Arial" w:cs="Arial"/>
          <w:color w:val="000000" w:themeColor="text1"/>
          <w:sz w:val="22"/>
          <w:szCs w:val="22"/>
          <w:lang w:eastAsia="en-PH"/>
        </w:rPr>
        <w:t>The</w:t>
      </w:r>
      <w:r w:rsidRPr="00345AA4">
        <w:rPr>
          <w:rFonts w:ascii="Arial" w:hAnsi="Arial" w:cs="Arial"/>
          <w:bCs/>
          <w:color w:val="000000" w:themeColor="text1"/>
          <w:sz w:val="22"/>
          <w:szCs w:val="22"/>
          <w:lang w:eastAsia="en-PH"/>
        </w:rPr>
        <w:t xml:space="preserve"> Audit Team requested from Management a copy of Manual of Corporate Governance to verify its compliance with the Code of Corporate Governance for GOCCs.  However, as of writing date, Management failed to provide to the Audit Team the requested document.  In the absence thereof, the disclosure and transparency requirements for GOCCs were not complied with.  The said Manual should contain: (a) Detailed responsibilities of members of the Board, which shall be available to all Stakeholders and to the public; (b) Formal Charter of expectations that each Director shall sign and be committed to; (c) List of Disclosures to be made by Directors; (d) Statement by the Directors confirming the truth and fairness of the GOCC’s </w:t>
      </w:r>
      <w:r w:rsidR="00AD45CD" w:rsidRPr="00345AA4">
        <w:rPr>
          <w:rFonts w:ascii="Arial" w:hAnsi="Arial" w:cs="Arial"/>
          <w:bCs/>
          <w:color w:val="000000" w:themeColor="text1"/>
          <w:sz w:val="22"/>
          <w:szCs w:val="22"/>
          <w:lang w:eastAsia="en-PH"/>
        </w:rPr>
        <w:t>FS</w:t>
      </w:r>
      <w:r w:rsidRPr="00345AA4">
        <w:rPr>
          <w:rFonts w:ascii="Arial" w:hAnsi="Arial" w:cs="Arial"/>
          <w:bCs/>
          <w:color w:val="000000" w:themeColor="text1"/>
          <w:sz w:val="22"/>
          <w:szCs w:val="22"/>
          <w:lang w:eastAsia="en-PH"/>
        </w:rPr>
        <w:t xml:space="preserve"> similar to a Statement of Management Responsibility; and (e) List of Fines and other consequences when Directors violate, or omit to carry out their duties, under the applicable law.</w:t>
      </w:r>
    </w:p>
    <w:p w14:paraId="04D975F8" w14:textId="77777777" w:rsidR="00375E56" w:rsidRPr="00345AA4" w:rsidRDefault="00375E56" w:rsidP="00375E56">
      <w:pPr>
        <w:pStyle w:val="ListParagraph"/>
        <w:ind w:left="0"/>
        <w:jc w:val="both"/>
        <w:rPr>
          <w:rFonts w:ascii="Arial" w:hAnsi="Arial" w:cs="Arial"/>
          <w:b/>
          <w:color w:val="000000" w:themeColor="text1"/>
          <w:sz w:val="22"/>
          <w:szCs w:val="22"/>
        </w:rPr>
      </w:pPr>
    </w:p>
    <w:p w14:paraId="258F6949" w14:textId="08265CAC" w:rsidR="00375E56" w:rsidRPr="00345AA4" w:rsidRDefault="00375E56" w:rsidP="00375E56">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lang w:eastAsia="en-PH"/>
        </w:rPr>
        <w:t>Directors</w:t>
      </w:r>
      <w:r w:rsidRPr="00345AA4">
        <w:rPr>
          <w:rFonts w:ascii="Arial" w:hAnsi="Arial" w:cs="Arial"/>
          <w:bCs/>
          <w:color w:val="000000" w:themeColor="text1"/>
          <w:sz w:val="22"/>
          <w:szCs w:val="22"/>
          <w:lang w:eastAsia="en-PH"/>
        </w:rPr>
        <w:t xml:space="preserve"> of the Parent company frequently hold multiple board seats simultaneously exercising control and lending their expertise to the </w:t>
      </w:r>
      <w:r w:rsidR="003B18C8" w:rsidRPr="00345AA4">
        <w:rPr>
          <w:rFonts w:ascii="Arial" w:hAnsi="Arial" w:cs="Arial"/>
          <w:bCs/>
          <w:color w:val="000000" w:themeColor="text1"/>
          <w:sz w:val="22"/>
          <w:szCs w:val="22"/>
          <w:lang w:eastAsia="en-PH"/>
        </w:rPr>
        <w:t>B</w:t>
      </w:r>
      <w:r w:rsidRPr="00345AA4">
        <w:rPr>
          <w:rFonts w:ascii="Arial" w:hAnsi="Arial" w:cs="Arial"/>
          <w:bCs/>
          <w:color w:val="000000" w:themeColor="text1"/>
          <w:sz w:val="22"/>
          <w:szCs w:val="22"/>
          <w:lang w:eastAsia="en-PH"/>
        </w:rPr>
        <w:t>oard over its subsidiaries and associates, respectively.  Relative thereto, intercompany transactions may arise, such as, settlement of obligations, renewal of contracts and other related transactions which may involve approval of the President or authorization of the Board, in a larger scale.  Thus, the necessary due diligence in properly discharging the responsibilities and functions of the Appointive Directors may be compromised by holding multiple board seats.  Further, we understand that the System’s interest in its investment in various subsidiaries and affiliates should always be represented and safe-guarded at all times.  However, such representations in the Board may be achieved without disregarding the rules and policy of the government.</w:t>
      </w:r>
    </w:p>
    <w:p w14:paraId="09C6E639" w14:textId="77777777" w:rsidR="00375E56" w:rsidRPr="00345AA4" w:rsidRDefault="00375E56" w:rsidP="00375E56">
      <w:pPr>
        <w:pStyle w:val="NoSpacing"/>
        <w:ind w:left="426"/>
        <w:jc w:val="both"/>
        <w:rPr>
          <w:rFonts w:ascii="Arial" w:hAnsi="Arial" w:cs="Arial"/>
          <w:b/>
          <w:color w:val="000000" w:themeColor="text1"/>
        </w:rPr>
      </w:pPr>
    </w:p>
    <w:p w14:paraId="2E7ABDDF" w14:textId="30549DD5" w:rsidR="00375E56" w:rsidRPr="00345AA4" w:rsidRDefault="00543E78" w:rsidP="00375E56">
      <w:pPr>
        <w:pStyle w:val="ListParagraph"/>
        <w:numPr>
          <w:ilvl w:val="1"/>
          <w:numId w:val="1"/>
        </w:numPr>
        <w:tabs>
          <w:tab w:val="left" w:pos="990"/>
        </w:tabs>
        <w:ind w:left="900" w:hanging="540"/>
        <w:contextualSpacing/>
        <w:jc w:val="both"/>
        <w:rPr>
          <w:rFonts w:ascii="Arial" w:hAnsi="Arial" w:cs="Arial"/>
          <w:b/>
          <w:color w:val="000000" w:themeColor="text1"/>
          <w:sz w:val="22"/>
          <w:szCs w:val="22"/>
          <w:lang w:eastAsia="en-PH"/>
        </w:rPr>
      </w:pPr>
      <w:r w:rsidRPr="00345AA4">
        <w:rPr>
          <w:rFonts w:ascii="Arial" w:hAnsi="Arial" w:cs="Arial"/>
          <w:b/>
          <w:color w:val="000000" w:themeColor="text1"/>
          <w:sz w:val="22"/>
          <w:szCs w:val="22"/>
          <w:lang w:eastAsia="en-PH"/>
        </w:rPr>
        <w:t>W</w:t>
      </w:r>
      <w:r w:rsidR="00375E56" w:rsidRPr="00345AA4">
        <w:rPr>
          <w:rFonts w:ascii="Arial" w:hAnsi="Arial" w:cs="Arial"/>
          <w:b/>
          <w:color w:val="000000" w:themeColor="text1"/>
          <w:sz w:val="22"/>
          <w:szCs w:val="22"/>
          <w:lang w:eastAsia="en-PH"/>
        </w:rPr>
        <w:t xml:space="preserve">e recommended </w:t>
      </w:r>
      <w:r w:rsidR="00082E3A" w:rsidRPr="00345AA4">
        <w:rPr>
          <w:rFonts w:ascii="Arial" w:hAnsi="Arial" w:cs="Arial"/>
          <w:b/>
          <w:color w:val="000000" w:themeColor="text1"/>
          <w:sz w:val="22"/>
          <w:szCs w:val="22"/>
          <w:lang w:eastAsia="en-PH"/>
        </w:rPr>
        <w:t xml:space="preserve">and </w:t>
      </w:r>
      <w:r w:rsidR="00375E56" w:rsidRPr="00345AA4">
        <w:rPr>
          <w:rFonts w:ascii="Arial" w:hAnsi="Arial" w:cs="Arial"/>
          <w:b/>
          <w:color w:val="000000" w:themeColor="text1"/>
          <w:sz w:val="22"/>
          <w:szCs w:val="22"/>
          <w:lang w:eastAsia="en-PH"/>
        </w:rPr>
        <w:t>Management</w:t>
      </w:r>
      <w:r w:rsidR="00082E3A" w:rsidRPr="00345AA4">
        <w:rPr>
          <w:rFonts w:ascii="Arial" w:hAnsi="Arial" w:cs="Arial"/>
          <w:b/>
          <w:color w:val="000000" w:themeColor="text1"/>
          <w:sz w:val="22"/>
          <w:szCs w:val="22"/>
          <w:lang w:eastAsia="en-PH"/>
        </w:rPr>
        <w:t xml:space="preserve"> agreed to</w:t>
      </w:r>
      <w:r w:rsidR="00375E56" w:rsidRPr="00345AA4">
        <w:rPr>
          <w:rFonts w:ascii="Arial" w:hAnsi="Arial" w:cs="Arial"/>
          <w:b/>
          <w:color w:val="000000" w:themeColor="text1"/>
          <w:sz w:val="22"/>
          <w:szCs w:val="22"/>
          <w:lang w:eastAsia="en-PH"/>
        </w:rPr>
        <w:t>:</w:t>
      </w:r>
    </w:p>
    <w:p w14:paraId="35D2F173" w14:textId="77777777" w:rsidR="00375E56" w:rsidRPr="00345AA4" w:rsidRDefault="00375E56" w:rsidP="00375E56">
      <w:pPr>
        <w:pStyle w:val="ListParagraph"/>
        <w:rPr>
          <w:rFonts w:ascii="Arial" w:hAnsi="Arial" w:cs="Arial"/>
          <w:b/>
          <w:color w:val="000000" w:themeColor="text1"/>
          <w:sz w:val="22"/>
          <w:szCs w:val="22"/>
        </w:rPr>
      </w:pPr>
    </w:p>
    <w:p w14:paraId="78858FA8" w14:textId="77777777" w:rsidR="00375E56" w:rsidRPr="00345AA4" w:rsidRDefault="00375E56" w:rsidP="00375E56">
      <w:pPr>
        <w:pStyle w:val="ListParagraph"/>
        <w:numPr>
          <w:ilvl w:val="1"/>
          <w:numId w:val="18"/>
        </w:numPr>
        <w:ind w:left="1134" w:hanging="283"/>
        <w:jc w:val="both"/>
        <w:rPr>
          <w:rFonts w:ascii="Arial" w:hAnsi="Arial" w:cs="Arial"/>
          <w:b/>
          <w:color w:val="000000" w:themeColor="text1"/>
          <w:sz w:val="22"/>
          <w:szCs w:val="22"/>
        </w:rPr>
      </w:pPr>
      <w:r w:rsidRPr="00345AA4">
        <w:rPr>
          <w:rFonts w:ascii="Arial" w:hAnsi="Arial" w:cs="Arial"/>
          <w:b/>
          <w:color w:val="000000" w:themeColor="text1"/>
          <w:sz w:val="22"/>
          <w:szCs w:val="22"/>
        </w:rPr>
        <w:t>Promulgate and adopt the corporate governance rules and principle in accordance with the Code of Corporate Governance for GOCCs as provided under GCG Circular No. 2012-07; and</w:t>
      </w:r>
    </w:p>
    <w:p w14:paraId="36E519CA" w14:textId="77777777" w:rsidR="00375E56" w:rsidRPr="00345AA4" w:rsidRDefault="00375E56" w:rsidP="00375E56">
      <w:pPr>
        <w:pStyle w:val="ListParagraph"/>
        <w:ind w:left="1134"/>
        <w:jc w:val="both"/>
        <w:rPr>
          <w:rFonts w:ascii="Arial" w:hAnsi="Arial" w:cs="Arial"/>
          <w:b/>
          <w:color w:val="000000" w:themeColor="text1"/>
          <w:sz w:val="22"/>
          <w:szCs w:val="22"/>
        </w:rPr>
      </w:pPr>
    </w:p>
    <w:p w14:paraId="0E1B3AAB" w14:textId="77777777" w:rsidR="00375E56" w:rsidRPr="00345AA4" w:rsidRDefault="00375E56" w:rsidP="00375E56">
      <w:pPr>
        <w:pStyle w:val="ListParagraph"/>
        <w:numPr>
          <w:ilvl w:val="1"/>
          <w:numId w:val="18"/>
        </w:numPr>
        <w:ind w:left="1134" w:hanging="283"/>
        <w:jc w:val="both"/>
        <w:rPr>
          <w:rFonts w:ascii="Arial" w:hAnsi="Arial" w:cs="Arial"/>
          <w:b/>
          <w:color w:val="000000" w:themeColor="text1"/>
          <w:sz w:val="22"/>
          <w:szCs w:val="22"/>
        </w:rPr>
      </w:pPr>
      <w:r w:rsidRPr="00345AA4">
        <w:rPr>
          <w:rFonts w:ascii="Arial" w:hAnsi="Arial" w:cs="Arial"/>
          <w:b/>
          <w:color w:val="000000" w:themeColor="text1"/>
          <w:sz w:val="22"/>
          <w:szCs w:val="22"/>
        </w:rPr>
        <w:t>As to the excess in allowable number of board seats, appoint another officer/s to represent the interest of AFPRSBS in its subsidiaries and affiliates.</w:t>
      </w:r>
    </w:p>
    <w:p w14:paraId="45A67542" w14:textId="77777777" w:rsidR="00375E56" w:rsidRPr="00345AA4" w:rsidRDefault="00375E56" w:rsidP="007F20BC">
      <w:pPr>
        <w:tabs>
          <w:tab w:val="left" w:pos="990"/>
        </w:tabs>
        <w:spacing w:after="0"/>
        <w:contextualSpacing/>
        <w:jc w:val="both"/>
        <w:rPr>
          <w:rFonts w:ascii="Arial" w:eastAsia="Times New Roman" w:hAnsi="Arial" w:cs="Arial"/>
          <w:bCs/>
          <w:color w:val="000000" w:themeColor="text1"/>
        </w:rPr>
      </w:pPr>
    </w:p>
    <w:p w14:paraId="1DED353A" w14:textId="77777777" w:rsidR="007F20BC" w:rsidRPr="00345AA4" w:rsidRDefault="007F20BC" w:rsidP="007F20BC">
      <w:pPr>
        <w:tabs>
          <w:tab w:val="left" w:pos="990"/>
        </w:tabs>
        <w:spacing w:after="0"/>
        <w:contextualSpacing/>
        <w:jc w:val="both"/>
        <w:rPr>
          <w:rFonts w:ascii="Arial" w:eastAsia="Times New Roman" w:hAnsi="Arial" w:cs="Arial"/>
          <w:bCs/>
          <w:color w:val="000000" w:themeColor="text1"/>
        </w:rPr>
      </w:pPr>
    </w:p>
    <w:p w14:paraId="301FBA27" w14:textId="77777777" w:rsidR="00375E56" w:rsidRPr="00345AA4" w:rsidRDefault="00375E56" w:rsidP="00975DCC">
      <w:pPr>
        <w:pStyle w:val="NoSpacing"/>
        <w:numPr>
          <w:ilvl w:val="0"/>
          <w:numId w:val="1"/>
        </w:numPr>
        <w:ind w:left="426"/>
        <w:jc w:val="both"/>
        <w:rPr>
          <w:rFonts w:ascii="Arial" w:hAnsi="Arial" w:cs="Arial"/>
          <w:b/>
          <w:bCs/>
          <w:color w:val="000000" w:themeColor="text1"/>
        </w:rPr>
      </w:pPr>
      <w:r w:rsidRPr="00345AA4">
        <w:rPr>
          <w:rFonts w:ascii="Arial" w:hAnsi="Arial" w:cs="Arial"/>
          <w:b/>
          <w:color w:val="000000" w:themeColor="text1"/>
        </w:rPr>
        <w:t>Status</w:t>
      </w:r>
      <w:r w:rsidRPr="00345AA4">
        <w:rPr>
          <w:rFonts w:ascii="Arial" w:hAnsi="Arial" w:cs="Arial"/>
          <w:b/>
          <w:bCs/>
          <w:color w:val="000000" w:themeColor="text1"/>
        </w:rPr>
        <w:t xml:space="preserve"> of Suspensions, Disallowances and Charges</w:t>
      </w:r>
    </w:p>
    <w:p w14:paraId="4C3539F7" w14:textId="77777777" w:rsidR="00375E56" w:rsidRPr="00345AA4" w:rsidRDefault="00375E56" w:rsidP="00375E56">
      <w:pPr>
        <w:pStyle w:val="ListParagraph"/>
        <w:ind w:left="0"/>
        <w:contextualSpacing/>
        <w:jc w:val="both"/>
        <w:rPr>
          <w:rFonts w:ascii="Arial" w:hAnsi="Arial" w:cs="Arial"/>
          <w:noProof/>
          <w:color w:val="000000" w:themeColor="text1"/>
          <w:sz w:val="22"/>
          <w:szCs w:val="22"/>
        </w:rPr>
      </w:pPr>
    </w:p>
    <w:p w14:paraId="30FDA3BB" w14:textId="77777777" w:rsidR="00375E56" w:rsidRPr="00345AA4" w:rsidRDefault="00375E56" w:rsidP="00375E56">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As at year-end, the status of audit suspension, disallowances and charges issued is as follows: </w:t>
      </w:r>
    </w:p>
    <w:p w14:paraId="0D7EFF19" w14:textId="77777777" w:rsidR="00375E56" w:rsidRPr="00345AA4" w:rsidRDefault="00375E56" w:rsidP="00375E56">
      <w:pPr>
        <w:pStyle w:val="ListParagraph"/>
        <w:tabs>
          <w:tab w:val="left" w:pos="0"/>
          <w:tab w:val="left" w:pos="540"/>
        </w:tabs>
        <w:autoSpaceDE w:val="0"/>
        <w:autoSpaceDN w:val="0"/>
        <w:adjustRightInd w:val="0"/>
        <w:ind w:left="0"/>
        <w:jc w:val="both"/>
        <w:rPr>
          <w:rFonts w:ascii="Arial" w:hAnsi="Arial" w:cs="Arial"/>
          <w:color w:val="000000" w:themeColor="text1"/>
          <w:sz w:val="22"/>
          <w:szCs w:val="22"/>
        </w:rPr>
      </w:pPr>
    </w:p>
    <w:tbl>
      <w:tblPr>
        <w:tblStyle w:val="TableGrid"/>
        <w:tblW w:w="783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0"/>
        <w:gridCol w:w="1610"/>
        <w:gridCol w:w="1230"/>
        <w:gridCol w:w="1710"/>
        <w:gridCol w:w="1620"/>
      </w:tblGrid>
      <w:tr w:rsidR="00345AA4" w:rsidRPr="00345AA4" w14:paraId="6EFDF0C5" w14:textId="77777777" w:rsidTr="002C39EB">
        <w:trPr>
          <w:tblHeader/>
        </w:trPr>
        <w:tc>
          <w:tcPr>
            <w:tcW w:w="1660" w:type="dxa"/>
            <w:tcBorders>
              <w:top w:val="single" w:sz="4" w:space="0" w:color="auto"/>
              <w:bottom w:val="single" w:sz="4" w:space="0" w:color="auto"/>
            </w:tcBorders>
            <w:vAlign w:val="center"/>
          </w:tcPr>
          <w:p w14:paraId="5C0D2478" w14:textId="3004B208" w:rsidR="00375E56" w:rsidRPr="00345AA4" w:rsidRDefault="00ED1E20" w:rsidP="00375E56">
            <w:pPr>
              <w:pStyle w:val="ListParagraph"/>
              <w:tabs>
                <w:tab w:val="left" w:pos="0"/>
                <w:tab w:val="left" w:pos="540"/>
              </w:tabs>
              <w:autoSpaceDE w:val="0"/>
              <w:autoSpaceDN w:val="0"/>
              <w:adjustRightInd w:val="0"/>
              <w:ind w:left="0"/>
              <w:jc w:val="center"/>
              <w:rPr>
                <w:rFonts w:ascii="Arial" w:hAnsi="Arial" w:cs="Arial"/>
                <w:b/>
                <w:color w:val="000000" w:themeColor="text1"/>
                <w:sz w:val="22"/>
                <w:szCs w:val="22"/>
              </w:rPr>
            </w:pPr>
            <w:r>
              <w:rPr>
                <w:rFonts w:ascii="Arial" w:hAnsi="Arial" w:cs="Arial"/>
                <w:b/>
                <w:color w:val="000000" w:themeColor="text1"/>
                <w:sz w:val="22"/>
                <w:szCs w:val="22"/>
              </w:rPr>
              <w:lastRenderedPageBreak/>
              <w:t>Audit a</w:t>
            </w:r>
            <w:bookmarkStart w:id="0" w:name="_GoBack"/>
            <w:bookmarkEnd w:id="0"/>
            <w:r w:rsidR="00375E56" w:rsidRPr="00345AA4">
              <w:rPr>
                <w:rFonts w:ascii="Arial" w:hAnsi="Arial" w:cs="Arial"/>
                <w:b/>
                <w:color w:val="000000" w:themeColor="text1"/>
                <w:sz w:val="22"/>
                <w:szCs w:val="22"/>
              </w:rPr>
              <w:t>ction</w:t>
            </w:r>
          </w:p>
        </w:tc>
        <w:tc>
          <w:tcPr>
            <w:tcW w:w="1610" w:type="dxa"/>
            <w:tcBorders>
              <w:top w:val="single" w:sz="4" w:space="0" w:color="auto"/>
              <w:bottom w:val="single" w:sz="4" w:space="0" w:color="auto"/>
            </w:tcBorders>
            <w:vAlign w:val="center"/>
          </w:tcPr>
          <w:p w14:paraId="7F3CE6E2" w14:textId="77777777" w:rsidR="00375E56" w:rsidRPr="00345AA4" w:rsidRDefault="00375E56" w:rsidP="00375E56">
            <w:pPr>
              <w:pStyle w:val="ListParagraph"/>
              <w:tabs>
                <w:tab w:val="left" w:pos="0"/>
                <w:tab w:val="left" w:pos="540"/>
              </w:tabs>
              <w:autoSpaceDE w:val="0"/>
              <w:autoSpaceDN w:val="0"/>
              <w:adjustRightInd w:val="0"/>
              <w:ind w:left="0"/>
              <w:jc w:val="center"/>
              <w:rPr>
                <w:rFonts w:ascii="Arial" w:hAnsi="Arial" w:cs="Arial"/>
                <w:b/>
                <w:color w:val="000000" w:themeColor="text1"/>
                <w:sz w:val="22"/>
                <w:szCs w:val="22"/>
              </w:rPr>
            </w:pPr>
            <w:r w:rsidRPr="00345AA4">
              <w:rPr>
                <w:rFonts w:ascii="Arial" w:hAnsi="Arial" w:cs="Arial"/>
                <w:b/>
                <w:color w:val="000000" w:themeColor="text1"/>
                <w:sz w:val="22"/>
                <w:szCs w:val="22"/>
              </w:rPr>
              <w:t>Beginning balance 01/01/2019</w:t>
            </w:r>
          </w:p>
        </w:tc>
        <w:tc>
          <w:tcPr>
            <w:tcW w:w="1230" w:type="dxa"/>
            <w:tcBorders>
              <w:top w:val="single" w:sz="4" w:space="0" w:color="auto"/>
              <w:bottom w:val="single" w:sz="4" w:space="0" w:color="auto"/>
            </w:tcBorders>
            <w:vAlign w:val="center"/>
          </w:tcPr>
          <w:p w14:paraId="5E725D64" w14:textId="77777777" w:rsidR="00375E56" w:rsidRPr="00345AA4" w:rsidRDefault="00375E56" w:rsidP="00375E56">
            <w:pPr>
              <w:pStyle w:val="ListParagraph"/>
              <w:tabs>
                <w:tab w:val="left" w:pos="0"/>
                <w:tab w:val="left" w:pos="540"/>
              </w:tabs>
              <w:autoSpaceDE w:val="0"/>
              <w:autoSpaceDN w:val="0"/>
              <w:adjustRightInd w:val="0"/>
              <w:ind w:left="0"/>
              <w:jc w:val="center"/>
              <w:rPr>
                <w:rFonts w:ascii="Arial" w:hAnsi="Arial" w:cs="Arial"/>
                <w:b/>
                <w:color w:val="000000" w:themeColor="text1"/>
                <w:sz w:val="22"/>
                <w:szCs w:val="22"/>
              </w:rPr>
            </w:pPr>
            <w:r w:rsidRPr="00345AA4">
              <w:rPr>
                <w:rFonts w:ascii="Arial" w:hAnsi="Arial" w:cs="Arial"/>
                <w:b/>
                <w:color w:val="000000" w:themeColor="text1"/>
                <w:sz w:val="22"/>
                <w:szCs w:val="22"/>
              </w:rPr>
              <w:t>Issued this period</w:t>
            </w:r>
          </w:p>
        </w:tc>
        <w:tc>
          <w:tcPr>
            <w:tcW w:w="1710" w:type="dxa"/>
            <w:tcBorders>
              <w:top w:val="single" w:sz="4" w:space="0" w:color="auto"/>
              <w:bottom w:val="single" w:sz="4" w:space="0" w:color="auto"/>
            </w:tcBorders>
            <w:vAlign w:val="center"/>
          </w:tcPr>
          <w:p w14:paraId="6475B7BE" w14:textId="77777777" w:rsidR="00375E56" w:rsidRPr="00345AA4" w:rsidRDefault="00375E56" w:rsidP="00375E56">
            <w:pPr>
              <w:pStyle w:val="ListParagraph"/>
              <w:tabs>
                <w:tab w:val="left" w:pos="0"/>
                <w:tab w:val="left" w:pos="540"/>
              </w:tabs>
              <w:autoSpaceDE w:val="0"/>
              <w:autoSpaceDN w:val="0"/>
              <w:adjustRightInd w:val="0"/>
              <w:ind w:left="0"/>
              <w:jc w:val="center"/>
              <w:rPr>
                <w:rFonts w:ascii="Arial" w:hAnsi="Arial" w:cs="Arial"/>
                <w:b/>
                <w:color w:val="000000" w:themeColor="text1"/>
                <w:sz w:val="22"/>
                <w:szCs w:val="22"/>
              </w:rPr>
            </w:pPr>
            <w:r w:rsidRPr="00345AA4">
              <w:rPr>
                <w:rFonts w:ascii="Arial" w:hAnsi="Arial" w:cs="Arial"/>
                <w:b/>
                <w:color w:val="000000" w:themeColor="text1"/>
                <w:sz w:val="22"/>
                <w:szCs w:val="22"/>
              </w:rPr>
              <w:t>Settled this period</w:t>
            </w:r>
          </w:p>
        </w:tc>
        <w:tc>
          <w:tcPr>
            <w:tcW w:w="1620" w:type="dxa"/>
            <w:tcBorders>
              <w:top w:val="single" w:sz="4" w:space="0" w:color="auto"/>
              <w:bottom w:val="single" w:sz="4" w:space="0" w:color="auto"/>
            </w:tcBorders>
            <w:vAlign w:val="center"/>
          </w:tcPr>
          <w:p w14:paraId="1316DBE1" w14:textId="77777777" w:rsidR="00375E56" w:rsidRPr="00345AA4" w:rsidRDefault="00375E56" w:rsidP="00375E56">
            <w:pPr>
              <w:pStyle w:val="ListParagraph"/>
              <w:tabs>
                <w:tab w:val="left" w:pos="0"/>
                <w:tab w:val="left" w:pos="540"/>
              </w:tabs>
              <w:autoSpaceDE w:val="0"/>
              <w:autoSpaceDN w:val="0"/>
              <w:adjustRightInd w:val="0"/>
              <w:ind w:left="0"/>
              <w:jc w:val="center"/>
              <w:rPr>
                <w:rFonts w:ascii="Arial" w:hAnsi="Arial" w:cs="Arial"/>
                <w:b/>
                <w:color w:val="000000" w:themeColor="text1"/>
                <w:sz w:val="22"/>
                <w:szCs w:val="22"/>
              </w:rPr>
            </w:pPr>
            <w:r w:rsidRPr="00345AA4">
              <w:rPr>
                <w:rFonts w:ascii="Arial" w:hAnsi="Arial" w:cs="Arial"/>
                <w:b/>
                <w:color w:val="000000" w:themeColor="text1"/>
                <w:sz w:val="22"/>
                <w:szCs w:val="22"/>
              </w:rPr>
              <w:t>Ending balance 12/31/2019</w:t>
            </w:r>
          </w:p>
        </w:tc>
      </w:tr>
      <w:tr w:rsidR="00345AA4" w:rsidRPr="00345AA4" w14:paraId="78D667EF" w14:textId="77777777" w:rsidTr="002C39EB">
        <w:tc>
          <w:tcPr>
            <w:tcW w:w="1660" w:type="dxa"/>
            <w:tcBorders>
              <w:top w:val="single" w:sz="4" w:space="0" w:color="auto"/>
            </w:tcBorders>
          </w:tcPr>
          <w:p w14:paraId="1F0AB1F3" w14:textId="77777777" w:rsidR="00375E56" w:rsidRPr="00345AA4" w:rsidRDefault="00375E56" w:rsidP="00375E56">
            <w:pPr>
              <w:pStyle w:val="ListParagraph"/>
              <w:tabs>
                <w:tab w:val="left" w:pos="0"/>
                <w:tab w:val="left" w:pos="540"/>
              </w:tabs>
              <w:autoSpaceDE w:val="0"/>
              <w:autoSpaceDN w:val="0"/>
              <w:adjustRightInd w:val="0"/>
              <w:ind w:left="0"/>
              <w:jc w:val="both"/>
              <w:rPr>
                <w:rFonts w:ascii="Arial" w:hAnsi="Arial" w:cs="Arial"/>
                <w:color w:val="000000" w:themeColor="text1"/>
                <w:sz w:val="22"/>
                <w:szCs w:val="22"/>
              </w:rPr>
            </w:pPr>
            <w:r w:rsidRPr="00345AA4">
              <w:rPr>
                <w:rFonts w:ascii="Arial" w:hAnsi="Arial" w:cs="Arial"/>
                <w:color w:val="000000" w:themeColor="text1"/>
                <w:sz w:val="22"/>
                <w:szCs w:val="22"/>
              </w:rPr>
              <w:t>Suspensions</w:t>
            </w:r>
          </w:p>
        </w:tc>
        <w:tc>
          <w:tcPr>
            <w:tcW w:w="1610" w:type="dxa"/>
            <w:tcBorders>
              <w:top w:val="single" w:sz="4" w:space="0" w:color="auto"/>
            </w:tcBorders>
          </w:tcPr>
          <w:p w14:paraId="78597ED5" w14:textId="33E86781" w:rsidR="00375E56" w:rsidRPr="00345AA4" w:rsidRDefault="00375E56" w:rsidP="00045B41">
            <w:pPr>
              <w:pStyle w:val="ListParagraph"/>
              <w:tabs>
                <w:tab w:val="left" w:pos="0"/>
                <w:tab w:val="left" w:pos="540"/>
              </w:tabs>
              <w:autoSpaceDE w:val="0"/>
              <w:autoSpaceDN w:val="0"/>
              <w:adjustRightInd w:val="0"/>
              <w:ind w:left="0" w:right="-83"/>
              <w:rPr>
                <w:rFonts w:ascii="Arial" w:hAnsi="Arial" w:cs="Arial"/>
                <w:color w:val="000000" w:themeColor="text1"/>
                <w:sz w:val="22"/>
                <w:szCs w:val="22"/>
              </w:rPr>
            </w:pPr>
            <w:r w:rsidRPr="00345AA4">
              <w:rPr>
                <w:rFonts w:ascii="Arial" w:hAnsi="Arial" w:cs="Arial"/>
                <w:color w:val="000000" w:themeColor="text1"/>
                <w:sz w:val="22"/>
                <w:szCs w:val="22"/>
              </w:rPr>
              <w:t xml:space="preserve">P                  </w:t>
            </w:r>
            <w:r w:rsidR="00F05760">
              <w:rPr>
                <w:rFonts w:ascii="Arial" w:hAnsi="Arial" w:cs="Arial"/>
                <w:color w:val="000000" w:themeColor="text1"/>
                <w:sz w:val="22"/>
                <w:szCs w:val="22"/>
              </w:rPr>
              <w:t>0</w:t>
            </w:r>
          </w:p>
        </w:tc>
        <w:tc>
          <w:tcPr>
            <w:tcW w:w="1230" w:type="dxa"/>
            <w:tcBorders>
              <w:top w:val="single" w:sz="4" w:space="0" w:color="auto"/>
            </w:tcBorders>
          </w:tcPr>
          <w:p w14:paraId="1C639D21" w14:textId="2514CF31" w:rsidR="00375E56" w:rsidRPr="00345AA4" w:rsidRDefault="00F05760" w:rsidP="00375E56">
            <w:pPr>
              <w:pStyle w:val="ListParagraph"/>
              <w:tabs>
                <w:tab w:val="left" w:pos="0"/>
                <w:tab w:val="left" w:pos="540"/>
              </w:tabs>
              <w:autoSpaceDE w:val="0"/>
              <w:autoSpaceDN w:val="0"/>
              <w:adjustRightInd w:val="0"/>
              <w:ind w:left="0"/>
              <w:jc w:val="right"/>
              <w:rPr>
                <w:rFonts w:ascii="Arial" w:hAnsi="Arial" w:cs="Arial"/>
                <w:color w:val="000000" w:themeColor="text1"/>
                <w:sz w:val="22"/>
                <w:szCs w:val="22"/>
              </w:rPr>
            </w:pPr>
            <w:r>
              <w:rPr>
                <w:rFonts w:ascii="Arial" w:hAnsi="Arial" w:cs="Arial"/>
                <w:color w:val="000000" w:themeColor="text1"/>
                <w:sz w:val="22"/>
                <w:szCs w:val="22"/>
              </w:rPr>
              <w:t>0</w:t>
            </w:r>
          </w:p>
        </w:tc>
        <w:tc>
          <w:tcPr>
            <w:tcW w:w="1710" w:type="dxa"/>
            <w:tcBorders>
              <w:top w:val="single" w:sz="4" w:space="0" w:color="auto"/>
            </w:tcBorders>
          </w:tcPr>
          <w:p w14:paraId="348FB642" w14:textId="2A5D6371" w:rsidR="00375E56" w:rsidRPr="00345AA4" w:rsidRDefault="00375E56" w:rsidP="00375E56">
            <w:pPr>
              <w:pStyle w:val="ListParagraph"/>
              <w:tabs>
                <w:tab w:val="left" w:pos="342"/>
                <w:tab w:val="left" w:pos="540"/>
              </w:tabs>
              <w:autoSpaceDE w:val="0"/>
              <w:autoSpaceDN w:val="0"/>
              <w:adjustRightInd w:val="0"/>
              <w:ind w:left="0"/>
              <w:jc w:val="right"/>
              <w:rPr>
                <w:rFonts w:ascii="Arial" w:hAnsi="Arial" w:cs="Arial"/>
                <w:color w:val="000000" w:themeColor="text1"/>
                <w:sz w:val="22"/>
                <w:szCs w:val="22"/>
              </w:rPr>
            </w:pPr>
            <w:r w:rsidRPr="00345AA4">
              <w:rPr>
                <w:rFonts w:ascii="Arial" w:hAnsi="Arial" w:cs="Arial"/>
                <w:color w:val="000000" w:themeColor="text1"/>
                <w:sz w:val="22"/>
                <w:szCs w:val="22"/>
              </w:rPr>
              <w:t xml:space="preserve">P                  </w:t>
            </w:r>
            <w:r w:rsidR="00F05760">
              <w:rPr>
                <w:rFonts w:ascii="Arial" w:hAnsi="Arial" w:cs="Arial"/>
                <w:color w:val="000000" w:themeColor="text1"/>
                <w:sz w:val="22"/>
                <w:szCs w:val="22"/>
              </w:rPr>
              <w:t>0</w:t>
            </w:r>
          </w:p>
        </w:tc>
        <w:tc>
          <w:tcPr>
            <w:tcW w:w="1620" w:type="dxa"/>
            <w:tcBorders>
              <w:top w:val="single" w:sz="4" w:space="0" w:color="auto"/>
            </w:tcBorders>
          </w:tcPr>
          <w:p w14:paraId="084FCF75" w14:textId="60B78B2A" w:rsidR="00375E56" w:rsidRPr="00345AA4" w:rsidRDefault="00375E56" w:rsidP="00045B41">
            <w:pPr>
              <w:pStyle w:val="ListParagraph"/>
              <w:tabs>
                <w:tab w:val="left" w:pos="0"/>
                <w:tab w:val="left" w:pos="189"/>
              </w:tabs>
              <w:autoSpaceDE w:val="0"/>
              <w:autoSpaceDN w:val="0"/>
              <w:adjustRightInd w:val="0"/>
              <w:ind w:left="0" w:right="-59"/>
              <w:rPr>
                <w:rFonts w:ascii="Arial" w:hAnsi="Arial" w:cs="Arial"/>
                <w:color w:val="000000" w:themeColor="text1"/>
                <w:sz w:val="22"/>
                <w:szCs w:val="22"/>
              </w:rPr>
            </w:pPr>
            <w:r w:rsidRPr="00345AA4">
              <w:rPr>
                <w:rFonts w:ascii="Arial" w:hAnsi="Arial" w:cs="Arial"/>
                <w:color w:val="000000" w:themeColor="text1"/>
                <w:sz w:val="22"/>
                <w:szCs w:val="22"/>
              </w:rPr>
              <w:t xml:space="preserve">P                  </w:t>
            </w:r>
            <w:r w:rsidR="00045B41">
              <w:rPr>
                <w:rFonts w:ascii="Arial" w:hAnsi="Arial" w:cs="Arial"/>
                <w:color w:val="000000" w:themeColor="text1"/>
                <w:sz w:val="22"/>
                <w:szCs w:val="22"/>
              </w:rPr>
              <w:t xml:space="preserve"> </w:t>
            </w:r>
            <w:r w:rsidR="00F05760">
              <w:rPr>
                <w:rFonts w:ascii="Arial" w:hAnsi="Arial" w:cs="Arial"/>
                <w:color w:val="000000" w:themeColor="text1"/>
                <w:sz w:val="22"/>
                <w:szCs w:val="22"/>
              </w:rPr>
              <w:t>0</w:t>
            </w:r>
            <w:r w:rsidR="00045B41">
              <w:rPr>
                <w:rFonts w:ascii="Arial" w:hAnsi="Arial" w:cs="Arial"/>
                <w:color w:val="000000" w:themeColor="text1"/>
                <w:sz w:val="22"/>
                <w:szCs w:val="22"/>
              </w:rPr>
              <w:t xml:space="preserve"> </w:t>
            </w:r>
          </w:p>
        </w:tc>
      </w:tr>
      <w:tr w:rsidR="00345AA4" w:rsidRPr="00345AA4" w14:paraId="2DB8403D" w14:textId="77777777" w:rsidTr="002C39EB">
        <w:tc>
          <w:tcPr>
            <w:tcW w:w="1660" w:type="dxa"/>
          </w:tcPr>
          <w:p w14:paraId="545E3103" w14:textId="77777777" w:rsidR="00375E56" w:rsidRPr="00345AA4" w:rsidRDefault="00375E56" w:rsidP="00375E56">
            <w:pPr>
              <w:pStyle w:val="ListParagraph"/>
              <w:tabs>
                <w:tab w:val="left" w:pos="0"/>
                <w:tab w:val="left" w:pos="540"/>
              </w:tabs>
              <w:autoSpaceDE w:val="0"/>
              <w:autoSpaceDN w:val="0"/>
              <w:adjustRightInd w:val="0"/>
              <w:ind w:left="0"/>
              <w:jc w:val="both"/>
              <w:rPr>
                <w:rFonts w:ascii="Arial" w:hAnsi="Arial" w:cs="Arial"/>
                <w:color w:val="000000" w:themeColor="text1"/>
                <w:sz w:val="22"/>
                <w:szCs w:val="22"/>
              </w:rPr>
            </w:pPr>
            <w:r w:rsidRPr="00345AA4">
              <w:rPr>
                <w:rFonts w:ascii="Arial" w:hAnsi="Arial" w:cs="Arial"/>
                <w:color w:val="000000" w:themeColor="text1"/>
                <w:sz w:val="22"/>
                <w:szCs w:val="22"/>
              </w:rPr>
              <w:t>Disallowances</w:t>
            </w:r>
          </w:p>
        </w:tc>
        <w:tc>
          <w:tcPr>
            <w:tcW w:w="1610" w:type="dxa"/>
          </w:tcPr>
          <w:p w14:paraId="3C8B1D3A" w14:textId="77777777" w:rsidR="00375E56" w:rsidRPr="00345AA4" w:rsidRDefault="00375E56" w:rsidP="00375E56">
            <w:pPr>
              <w:pStyle w:val="ListParagraph"/>
              <w:tabs>
                <w:tab w:val="left" w:pos="0"/>
                <w:tab w:val="left" w:pos="540"/>
              </w:tabs>
              <w:autoSpaceDE w:val="0"/>
              <w:autoSpaceDN w:val="0"/>
              <w:adjustRightInd w:val="0"/>
              <w:ind w:left="0"/>
              <w:jc w:val="right"/>
              <w:rPr>
                <w:rFonts w:ascii="Arial" w:hAnsi="Arial" w:cs="Arial"/>
                <w:color w:val="000000" w:themeColor="text1"/>
                <w:sz w:val="22"/>
                <w:szCs w:val="22"/>
              </w:rPr>
            </w:pPr>
            <w:r w:rsidRPr="00345AA4">
              <w:rPr>
                <w:rFonts w:ascii="Arial" w:hAnsi="Arial" w:cs="Arial"/>
                <w:color w:val="000000" w:themeColor="text1"/>
                <w:sz w:val="22"/>
                <w:szCs w:val="22"/>
              </w:rPr>
              <w:t>250,392,092</w:t>
            </w:r>
          </w:p>
        </w:tc>
        <w:tc>
          <w:tcPr>
            <w:tcW w:w="1230" w:type="dxa"/>
          </w:tcPr>
          <w:p w14:paraId="3FED0B71" w14:textId="726B0763" w:rsidR="00375E56" w:rsidRPr="00345AA4" w:rsidRDefault="00F05760" w:rsidP="00375E56">
            <w:pPr>
              <w:pStyle w:val="ListParagraph"/>
              <w:tabs>
                <w:tab w:val="left" w:pos="0"/>
                <w:tab w:val="left" w:pos="540"/>
              </w:tabs>
              <w:autoSpaceDE w:val="0"/>
              <w:autoSpaceDN w:val="0"/>
              <w:adjustRightInd w:val="0"/>
              <w:ind w:left="0"/>
              <w:jc w:val="right"/>
              <w:rPr>
                <w:rFonts w:ascii="Arial" w:hAnsi="Arial" w:cs="Arial"/>
                <w:color w:val="000000" w:themeColor="text1"/>
                <w:sz w:val="22"/>
                <w:szCs w:val="22"/>
              </w:rPr>
            </w:pPr>
            <w:r>
              <w:rPr>
                <w:rFonts w:ascii="Arial" w:hAnsi="Arial" w:cs="Arial"/>
                <w:color w:val="000000" w:themeColor="text1"/>
                <w:sz w:val="22"/>
                <w:szCs w:val="22"/>
              </w:rPr>
              <w:t>0</w:t>
            </w:r>
          </w:p>
        </w:tc>
        <w:tc>
          <w:tcPr>
            <w:tcW w:w="1710" w:type="dxa"/>
          </w:tcPr>
          <w:p w14:paraId="03DCD1EF" w14:textId="77777777" w:rsidR="00375E56" w:rsidRPr="00345AA4" w:rsidRDefault="00375E56" w:rsidP="00375E56">
            <w:pPr>
              <w:pStyle w:val="ListParagraph"/>
              <w:tabs>
                <w:tab w:val="left" w:pos="0"/>
                <w:tab w:val="left" w:pos="540"/>
              </w:tabs>
              <w:autoSpaceDE w:val="0"/>
              <w:autoSpaceDN w:val="0"/>
              <w:adjustRightInd w:val="0"/>
              <w:ind w:left="0"/>
              <w:jc w:val="right"/>
              <w:rPr>
                <w:rFonts w:ascii="Arial" w:hAnsi="Arial" w:cs="Arial"/>
                <w:color w:val="000000" w:themeColor="text1"/>
                <w:sz w:val="22"/>
                <w:szCs w:val="22"/>
              </w:rPr>
            </w:pPr>
            <w:r w:rsidRPr="00345AA4">
              <w:rPr>
                <w:rFonts w:ascii="Arial" w:hAnsi="Arial" w:cs="Arial"/>
                <w:color w:val="000000" w:themeColor="text1"/>
                <w:sz w:val="22"/>
                <w:szCs w:val="22"/>
              </w:rPr>
              <w:t>1,049,881</w:t>
            </w:r>
          </w:p>
        </w:tc>
        <w:tc>
          <w:tcPr>
            <w:tcW w:w="1620" w:type="dxa"/>
          </w:tcPr>
          <w:p w14:paraId="496E762C" w14:textId="77777777" w:rsidR="00375E56" w:rsidRPr="00345AA4" w:rsidRDefault="00375E56" w:rsidP="00375E56">
            <w:pPr>
              <w:pStyle w:val="ListParagraph"/>
              <w:tabs>
                <w:tab w:val="left" w:pos="0"/>
                <w:tab w:val="left" w:pos="540"/>
              </w:tabs>
              <w:autoSpaceDE w:val="0"/>
              <w:autoSpaceDN w:val="0"/>
              <w:adjustRightInd w:val="0"/>
              <w:ind w:left="0"/>
              <w:jc w:val="right"/>
              <w:rPr>
                <w:rFonts w:ascii="Arial" w:hAnsi="Arial" w:cs="Arial"/>
                <w:color w:val="000000" w:themeColor="text1"/>
                <w:sz w:val="22"/>
                <w:szCs w:val="22"/>
              </w:rPr>
            </w:pPr>
            <w:r w:rsidRPr="00345AA4">
              <w:rPr>
                <w:rFonts w:ascii="Arial" w:hAnsi="Arial" w:cs="Arial"/>
                <w:color w:val="000000" w:themeColor="text1"/>
                <w:sz w:val="22"/>
                <w:szCs w:val="22"/>
              </w:rPr>
              <w:t>249,342,211</w:t>
            </w:r>
          </w:p>
        </w:tc>
      </w:tr>
      <w:tr w:rsidR="00345AA4" w:rsidRPr="00345AA4" w14:paraId="7F7123B8" w14:textId="77777777" w:rsidTr="002C39EB">
        <w:tc>
          <w:tcPr>
            <w:tcW w:w="1660" w:type="dxa"/>
            <w:tcBorders>
              <w:bottom w:val="single" w:sz="4" w:space="0" w:color="auto"/>
            </w:tcBorders>
          </w:tcPr>
          <w:p w14:paraId="10853E3A" w14:textId="77777777" w:rsidR="00375E56" w:rsidRPr="00345AA4" w:rsidRDefault="00375E56" w:rsidP="00375E56">
            <w:pPr>
              <w:pStyle w:val="ListParagraph"/>
              <w:tabs>
                <w:tab w:val="left" w:pos="0"/>
                <w:tab w:val="left" w:pos="540"/>
              </w:tabs>
              <w:autoSpaceDE w:val="0"/>
              <w:autoSpaceDN w:val="0"/>
              <w:adjustRightInd w:val="0"/>
              <w:ind w:left="0"/>
              <w:jc w:val="both"/>
              <w:rPr>
                <w:rFonts w:ascii="Arial" w:hAnsi="Arial" w:cs="Arial"/>
                <w:color w:val="000000" w:themeColor="text1"/>
                <w:sz w:val="22"/>
                <w:szCs w:val="22"/>
              </w:rPr>
            </w:pPr>
            <w:r w:rsidRPr="00345AA4">
              <w:rPr>
                <w:rFonts w:ascii="Arial" w:hAnsi="Arial" w:cs="Arial"/>
                <w:color w:val="000000" w:themeColor="text1"/>
                <w:sz w:val="22"/>
                <w:szCs w:val="22"/>
              </w:rPr>
              <w:t>Charges</w:t>
            </w:r>
          </w:p>
        </w:tc>
        <w:tc>
          <w:tcPr>
            <w:tcW w:w="1610" w:type="dxa"/>
            <w:tcBorders>
              <w:bottom w:val="single" w:sz="4" w:space="0" w:color="auto"/>
            </w:tcBorders>
          </w:tcPr>
          <w:p w14:paraId="62B0F748" w14:textId="0F074F90" w:rsidR="00375E56" w:rsidRPr="00345AA4" w:rsidRDefault="00F05760" w:rsidP="00375E56">
            <w:pPr>
              <w:pStyle w:val="ListParagraph"/>
              <w:tabs>
                <w:tab w:val="left" w:pos="0"/>
                <w:tab w:val="left" w:pos="540"/>
              </w:tabs>
              <w:autoSpaceDE w:val="0"/>
              <w:autoSpaceDN w:val="0"/>
              <w:adjustRightInd w:val="0"/>
              <w:ind w:left="0"/>
              <w:jc w:val="right"/>
              <w:rPr>
                <w:rFonts w:ascii="Arial" w:hAnsi="Arial" w:cs="Arial"/>
                <w:color w:val="000000" w:themeColor="text1"/>
                <w:sz w:val="22"/>
                <w:szCs w:val="22"/>
              </w:rPr>
            </w:pPr>
            <w:r>
              <w:rPr>
                <w:rFonts w:ascii="Arial" w:hAnsi="Arial" w:cs="Arial"/>
                <w:color w:val="000000" w:themeColor="text1"/>
                <w:sz w:val="22"/>
                <w:szCs w:val="22"/>
              </w:rPr>
              <w:t>0</w:t>
            </w:r>
          </w:p>
        </w:tc>
        <w:tc>
          <w:tcPr>
            <w:tcW w:w="1230" w:type="dxa"/>
            <w:tcBorders>
              <w:bottom w:val="single" w:sz="4" w:space="0" w:color="auto"/>
            </w:tcBorders>
          </w:tcPr>
          <w:p w14:paraId="3A0B788C" w14:textId="2683FEB0" w:rsidR="00375E56" w:rsidRPr="00345AA4" w:rsidRDefault="00F05760" w:rsidP="00375E56">
            <w:pPr>
              <w:pStyle w:val="ListParagraph"/>
              <w:tabs>
                <w:tab w:val="left" w:pos="0"/>
                <w:tab w:val="left" w:pos="540"/>
              </w:tabs>
              <w:autoSpaceDE w:val="0"/>
              <w:autoSpaceDN w:val="0"/>
              <w:adjustRightInd w:val="0"/>
              <w:ind w:left="0"/>
              <w:jc w:val="right"/>
              <w:rPr>
                <w:rFonts w:ascii="Arial" w:hAnsi="Arial" w:cs="Arial"/>
                <w:color w:val="000000" w:themeColor="text1"/>
                <w:sz w:val="22"/>
                <w:szCs w:val="22"/>
              </w:rPr>
            </w:pPr>
            <w:r>
              <w:rPr>
                <w:rFonts w:ascii="Arial" w:hAnsi="Arial" w:cs="Arial"/>
                <w:color w:val="000000" w:themeColor="text1"/>
                <w:sz w:val="22"/>
                <w:szCs w:val="22"/>
              </w:rPr>
              <w:t>0</w:t>
            </w:r>
          </w:p>
        </w:tc>
        <w:tc>
          <w:tcPr>
            <w:tcW w:w="1710" w:type="dxa"/>
            <w:tcBorders>
              <w:bottom w:val="single" w:sz="4" w:space="0" w:color="auto"/>
            </w:tcBorders>
          </w:tcPr>
          <w:p w14:paraId="651C6235" w14:textId="30CE6255" w:rsidR="00375E56" w:rsidRPr="00345AA4" w:rsidRDefault="00F05760" w:rsidP="00375E56">
            <w:pPr>
              <w:pStyle w:val="ListParagraph"/>
              <w:tabs>
                <w:tab w:val="left" w:pos="0"/>
                <w:tab w:val="left" w:pos="540"/>
              </w:tabs>
              <w:autoSpaceDE w:val="0"/>
              <w:autoSpaceDN w:val="0"/>
              <w:adjustRightInd w:val="0"/>
              <w:ind w:left="0"/>
              <w:jc w:val="right"/>
              <w:rPr>
                <w:rFonts w:ascii="Arial" w:hAnsi="Arial" w:cs="Arial"/>
                <w:color w:val="000000" w:themeColor="text1"/>
                <w:sz w:val="22"/>
                <w:szCs w:val="22"/>
              </w:rPr>
            </w:pPr>
            <w:r>
              <w:rPr>
                <w:rFonts w:ascii="Arial" w:hAnsi="Arial" w:cs="Arial"/>
                <w:color w:val="000000" w:themeColor="text1"/>
                <w:sz w:val="22"/>
                <w:szCs w:val="22"/>
              </w:rPr>
              <w:t>0</w:t>
            </w:r>
          </w:p>
        </w:tc>
        <w:tc>
          <w:tcPr>
            <w:tcW w:w="1620" w:type="dxa"/>
            <w:tcBorders>
              <w:bottom w:val="single" w:sz="4" w:space="0" w:color="auto"/>
            </w:tcBorders>
          </w:tcPr>
          <w:p w14:paraId="0CF072CF" w14:textId="789F19C9" w:rsidR="00375E56" w:rsidRPr="00345AA4" w:rsidRDefault="00F05760" w:rsidP="00375E56">
            <w:pPr>
              <w:pStyle w:val="ListParagraph"/>
              <w:tabs>
                <w:tab w:val="left" w:pos="0"/>
                <w:tab w:val="left" w:pos="540"/>
              </w:tabs>
              <w:autoSpaceDE w:val="0"/>
              <w:autoSpaceDN w:val="0"/>
              <w:adjustRightInd w:val="0"/>
              <w:ind w:left="0"/>
              <w:jc w:val="right"/>
              <w:rPr>
                <w:rFonts w:ascii="Arial" w:hAnsi="Arial" w:cs="Arial"/>
                <w:color w:val="000000" w:themeColor="text1"/>
                <w:sz w:val="22"/>
                <w:szCs w:val="22"/>
              </w:rPr>
            </w:pPr>
            <w:r>
              <w:rPr>
                <w:rFonts w:ascii="Arial" w:hAnsi="Arial" w:cs="Arial"/>
                <w:color w:val="000000" w:themeColor="text1"/>
                <w:sz w:val="22"/>
                <w:szCs w:val="22"/>
              </w:rPr>
              <w:t>0</w:t>
            </w:r>
          </w:p>
        </w:tc>
      </w:tr>
      <w:tr w:rsidR="00A85B97" w:rsidRPr="00345AA4" w14:paraId="250F7D4E" w14:textId="77777777" w:rsidTr="002C39EB">
        <w:tc>
          <w:tcPr>
            <w:tcW w:w="1660" w:type="dxa"/>
            <w:tcBorders>
              <w:top w:val="single" w:sz="4" w:space="0" w:color="auto"/>
              <w:bottom w:val="single" w:sz="4" w:space="0" w:color="auto"/>
            </w:tcBorders>
          </w:tcPr>
          <w:p w14:paraId="327456B6" w14:textId="77777777" w:rsidR="00375E56" w:rsidRPr="00345AA4" w:rsidRDefault="00375E56" w:rsidP="00375E56">
            <w:pPr>
              <w:pStyle w:val="ListParagraph"/>
              <w:tabs>
                <w:tab w:val="left" w:pos="0"/>
                <w:tab w:val="left" w:pos="540"/>
              </w:tabs>
              <w:autoSpaceDE w:val="0"/>
              <w:autoSpaceDN w:val="0"/>
              <w:adjustRightInd w:val="0"/>
              <w:ind w:left="0"/>
              <w:jc w:val="both"/>
              <w:rPr>
                <w:rFonts w:ascii="Arial" w:hAnsi="Arial" w:cs="Arial"/>
                <w:b/>
                <w:color w:val="000000" w:themeColor="text1"/>
                <w:sz w:val="22"/>
                <w:szCs w:val="22"/>
              </w:rPr>
            </w:pPr>
          </w:p>
        </w:tc>
        <w:tc>
          <w:tcPr>
            <w:tcW w:w="1610" w:type="dxa"/>
            <w:tcBorders>
              <w:top w:val="single" w:sz="4" w:space="0" w:color="auto"/>
              <w:bottom w:val="single" w:sz="4" w:space="0" w:color="auto"/>
            </w:tcBorders>
          </w:tcPr>
          <w:p w14:paraId="342F4A2D" w14:textId="77777777" w:rsidR="00375E56" w:rsidRPr="00345AA4" w:rsidRDefault="00B136A6" w:rsidP="00B136A6">
            <w:pPr>
              <w:pStyle w:val="ListParagraph"/>
              <w:tabs>
                <w:tab w:val="left" w:pos="0"/>
                <w:tab w:val="left" w:pos="540"/>
              </w:tabs>
              <w:autoSpaceDE w:val="0"/>
              <w:autoSpaceDN w:val="0"/>
              <w:adjustRightInd w:val="0"/>
              <w:ind w:left="0"/>
              <w:jc w:val="right"/>
              <w:rPr>
                <w:rFonts w:ascii="Arial" w:hAnsi="Arial" w:cs="Arial"/>
                <w:b/>
                <w:color w:val="000000" w:themeColor="text1"/>
                <w:sz w:val="22"/>
                <w:szCs w:val="22"/>
              </w:rPr>
            </w:pPr>
            <w:r w:rsidRPr="00345AA4">
              <w:rPr>
                <w:rFonts w:ascii="Arial" w:hAnsi="Arial" w:cs="Arial"/>
                <w:b/>
                <w:color w:val="000000" w:themeColor="text1"/>
                <w:sz w:val="22"/>
                <w:szCs w:val="22"/>
              </w:rPr>
              <w:t>P</w:t>
            </w:r>
            <w:r w:rsidR="00375E56" w:rsidRPr="00345AA4">
              <w:rPr>
                <w:rFonts w:ascii="Arial" w:hAnsi="Arial" w:cs="Arial"/>
                <w:b/>
                <w:color w:val="000000" w:themeColor="text1"/>
                <w:sz w:val="22"/>
                <w:szCs w:val="22"/>
              </w:rPr>
              <w:fldChar w:fldCharType="begin"/>
            </w:r>
            <w:r w:rsidR="00375E56" w:rsidRPr="00345AA4">
              <w:rPr>
                <w:rFonts w:ascii="Arial" w:hAnsi="Arial" w:cs="Arial"/>
                <w:b/>
                <w:color w:val="000000" w:themeColor="text1"/>
                <w:sz w:val="22"/>
                <w:szCs w:val="22"/>
              </w:rPr>
              <w:instrText xml:space="preserve"> =SUM(b2:b4) </w:instrText>
            </w:r>
            <w:r w:rsidR="00375E56" w:rsidRPr="00345AA4">
              <w:rPr>
                <w:rFonts w:ascii="Arial" w:hAnsi="Arial" w:cs="Arial"/>
                <w:b/>
                <w:color w:val="000000" w:themeColor="text1"/>
                <w:sz w:val="22"/>
                <w:szCs w:val="22"/>
              </w:rPr>
              <w:fldChar w:fldCharType="separate"/>
            </w:r>
            <w:r w:rsidR="00375E56" w:rsidRPr="00345AA4">
              <w:rPr>
                <w:rFonts w:ascii="Arial" w:hAnsi="Arial" w:cs="Arial"/>
                <w:b/>
                <w:noProof/>
                <w:color w:val="000000" w:themeColor="text1"/>
                <w:sz w:val="22"/>
                <w:szCs w:val="22"/>
              </w:rPr>
              <w:t>250,392,092</w:t>
            </w:r>
            <w:r w:rsidR="00375E56" w:rsidRPr="00345AA4">
              <w:rPr>
                <w:rFonts w:ascii="Arial" w:hAnsi="Arial" w:cs="Arial"/>
                <w:b/>
                <w:color w:val="000000" w:themeColor="text1"/>
                <w:sz w:val="22"/>
                <w:szCs w:val="22"/>
              </w:rPr>
              <w:fldChar w:fldCharType="end"/>
            </w:r>
          </w:p>
        </w:tc>
        <w:tc>
          <w:tcPr>
            <w:tcW w:w="1230" w:type="dxa"/>
            <w:tcBorders>
              <w:top w:val="single" w:sz="4" w:space="0" w:color="auto"/>
              <w:bottom w:val="single" w:sz="4" w:space="0" w:color="auto"/>
            </w:tcBorders>
          </w:tcPr>
          <w:p w14:paraId="153D73D2" w14:textId="0AAD3C18" w:rsidR="00375E56" w:rsidRPr="00345AA4" w:rsidRDefault="00F05760" w:rsidP="00375E56">
            <w:pPr>
              <w:pStyle w:val="ListParagraph"/>
              <w:tabs>
                <w:tab w:val="left" w:pos="0"/>
                <w:tab w:val="left" w:pos="540"/>
              </w:tabs>
              <w:autoSpaceDE w:val="0"/>
              <w:autoSpaceDN w:val="0"/>
              <w:adjustRightInd w:val="0"/>
              <w:ind w:left="0"/>
              <w:jc w:val="right"/>
              <w:rPr>
                <w:rFonts w:ascii="Arial" w:hAnsi="Arial" w:cs="Arial"/>
                <w:b/>
                <w:color w:val="000000" w:themeColor="text1"/>
                <w:sz w:val="22"/>
                <w:szCs w:val="22"/>
              </w:rPr>
            </w:pPr>
            <w:r>
              <w:rPr>
                <w:rFonts w:ascii="Arial" w:hAnsi="Arial" w:cs="Arial"/>
                <w:b/>
                <w:color w:val="000000" w:themeColor="text1"/>
                <w:sz w:val="22"/>
                <w:szCs w:val="22"/>
              </w:rPr>
              <w:t>0</w:t>
            </w:r>
          </w:p>
        </w:tc>
        <w:tc>
          <w:tcPr>
            <w:tcW w:w="1710" w:type="dxa"/>
            <w:tcBorders>
              <w:top w:val="single" w:sz="4" w:space="0" w:color="auto"/>
              <w:bottom w:val="single" w:sz="4" w:space="0" w:color="auto"/>
            </w:tcBorders>
          </w:tcPr>
          <w:p w14:paraId="71910019" w14:textId="77777777" w:rsidR="00375E56" w:rsidRPr="00345AA4" w:rsidRDefault="00375E56" w:rsidP="00375E56">
            <w:pPr>
              <w:pStyle w:val="ListParagraph"/>
              <w:tabs>
                <w:tab w:val="left" w:pos="0"/>
                <w:tab w:val="left" w:pos="540"/>
              </w:tabs>
              <w:autoSpaceDE w:val="0"/>
              <w:autoSpaceDN w:val="0"/>
              <w:adjustRightInd w:val="0"/>
              <w:ind w:left="0"/>
              <w:jc w:val="right"/>
              <w:rPr>
                <w:rFonts w:ascii="Arial" w:hAnsi="Arial" w:cs="Arial"/>
                <w:b/>
                <w:color w:val="000000" w:themeColor="text1"/>
                <w:sz w:val="22"/>
                <w:szCs w:val="22"/>
              </w:rPr>
            </w:pPr>
            <w:r w:rsidRPr="00345AA4">
              <w:rPr>
                <w:rFonts w:ascii="Arial" w:hAnsi="Arial" w:cs="Arial"/>
                <w:b/>
                <w:color w:val="000000" w:themeColor="text1"/>
                <w:sz w:val="22"/>
                <w:szCs w:val="22"/>
              </w:rPr>
              <w:t xml:space="preserve">P </w:t>
            </w:r>
            <w:r w:rsidRPr="00345AA4">
              <w:rPr>
                <w:rFonts w:ascii="Arial" w:hAnsi="Arial" w:cs="Arial"/>
                <w:b/>
                <w:color w:val="000000" w:themeColor="text1"/>
                <w:sz w:val="22"/>
                <w:szCs w:val="22"/>
              </w:rPr>
              <w:fldChar w:fldCharType="begin"/>
            </w:r>
            <w:r w:rsidRPr="00345AA4">
              <w:rPr>
                <w:rFonts w:ascii="Arial" w:hAnsi="Arial" w:cs="Arial"/>
                <w:b/>
                <w:color w:val="000000" w:themeColor="text1"/>
                <w:sz w:val="22"/>
                <w:szCs w:val="22"/>
              </w:rPr>
              <w:instrText xml:space="preserve"> =SUM(d2:d4) </w:instrText>
            </w:r>
            <w:r w:rsidRPr="00345AA4">
              <w:rPr>
                <w:rFonts w:ascii="Arial" w:hAnsi="Arial" w:cs="Arial"/>
                <w:b/>
                <w:color w:val="000000" w:themeColor="text1"/>
                <w:sz w:val="22"/>
                <w:szCs w:val="22"/>
              </w:rPr>
              <w:fldChar w:fldCharType="separate"/>
            </w:r>
            <w:r w:rsidRPr="00345AA4">
              <w:rPr>
                <w:rFonts w:ascii="Arial" w:hAnsi="Arial" w:cs="Arial"/>
                <w:b/>
                <w:noProof/>
                <w:color w:val="000000" w:themeColor="text1"/>
                <w:sz w:val="22"/>
                <w:szCs w:val="22"/>
              </w:rPr>
              <w:t>1,049,881</w:t>
            </w:r>
            <w:r w:rsidRPr="00345AA4">
              <w:rPr>
                <w:rFonts w:ascii="Arial" w:hAnsi="Arial" w:cs="Arial"/>
                <w:b/>
                <w:color w:val="000000" w:themeColor="text1"/>
                <w:sz w:val="22"/>
                <w:szCs w:val="22"/>
              </w:rPr>
              <w:fldChar w:fldCharType="end"/>
            </w:r>
          </w:p>
        </w:tc>
        <w:tc>
          <w:tcPr>
            <w:tcW w:w="1620" w:type="dxa"/>
            <w:tcBorders>
              <w:top w:val="single" w:sz="4" w:space="0" w:color="auto"/>
              <w:bottom w:val="single" w:sz="4" w:space="0" w:color="auto"/>
            </w:tcBorders>
          </w:tcPr>
          <w:p w14:paraId="62BDC3DA" w14:textId="77777777" w:rsidR="00375E56" w:rsidRPr="00345AA4" w:rsidRDefault="00B136A6" w:rsidP="00B136A6">
            <w:pPr>
              <w:pStyle w:val="ListParagraph"/>
              <w:tabs>
                <w:tab w:val="left" w:pos="0"/>
                <w:tab w:val="left" w:pos="540"/>
              </w:tabs>
              <w:autoSpaceDE w:val="0"/>
              <w:autoSpaceDN w:val="0"/>
              <w:adjustRightInd w:val="0"/>
              <w:ind w:left="0"/>
              <w:jc w:val="right"/>
              <w:rPr>
                <w:rFonts w:ascii="Arial" w:hAnsi="Arial" w:cs="Arial"/>
                <w:b/>
                <w:color w:val="000000" w:themeColor="text1"/>
                <w:sz w:val="22"/>
                <w:szCs w:val="22"/>
              </w:rPr>
            </w:pPr>
            <w:r w:rsidRPr="00345AA4">
              <w:rPr>
                <w:rFonts w:ascii="Arial" w:hAnsi="Arial" w:cs="Arial"/>
                <w:b/>
                <w:color w:val="000000" w:themeColor="text1"/>
                <w:sz w:val="22"/>
                <w:szCs w:val="22"/>
              </w:rPr>
              <w:t>P</w:t>
            </w:r>
            <w:r w:rsidR="00375E56" w:rsidRPr="00345AA4">
              <w:rPr>
                <w:rFonts w:ascii="Arial" w:hAnsi="Arial" w:cs="Arial"/>
                <w:b/>
                <w:color w:val="000000" w:themeColor="text1"/>
                <w:sz w:val="22"/>
                <w:szCs w:val="22"/>
              </w:rPr>
              <w:fldChar w:fldCharType="begin"/>
            </w:r>
            <w:r w:rsidR="00375E56" w:rsidRPr="00345AA4">
              <w:rPr>
                <w:rFonts w:ascii="Arial" w:hAnsi="Arial" w:cs="Arial"/>
                <w:b/>
                <w:color w:val="000000" w:themeColor="text1"/>
                <w:sz w:val="22"/>
                <w:szCs w:val="22"/>
              </w:rPr>
              <w:instrText xml:space="preserve"> =SUM(e2:e4) </w:instrText>
            </w:r>
            <w:r w:rsidR="00375E56" w:rsidRPr="00345AA4">
              <w:rPr>
                <w:rFonts w:ascii="Arial" w:hAnsi="Arial" w:cs="Arial"/>
                <w:b/>
                <w:color w:val="000000" w:themeColor="text1"/>
                <w:sz w:val="22"/>
                <w:szCs w:val="22"/>
              </w:rPr>
              <w:fldChar w:fldCharType="separate"/>
            </w:r>
            <w:r w:rsidR="00375E56" w:rsidRPr="00345AA4">
              <w:rPr>
                <w:rFonts w:ascii="Arial" w:hAnsi="Arial" w:cs="Arial"/>
                <w:b/>
                <w:noProof/>
                <w:color w:val="000000" w:themeColor="text1"/>
                <w:sz w:val="22"/>
                <w:szCs w:val="22"/>
              </w:rPr>
              <w:t>249,342,211</w:t>
            </w:r>
            <w:r w:rsidR="00375E56" w:rsidRPr="00345AA4">
              <w:rPr>
                <w:rFonts w:ascii="Arial" w:hAnsi="Arial" w:cs="Arial"/>
                <w:b/>
                <w:color w:val="000000" w:themeColor="text1"/>
                <w:sz w:val="22"/>
                <w:szCs w:val="22"/>
              </w:rPr>
              <w:fldChar w:fldCharType="end"/>
            </w:r>
          </w:p>
        </w:tc>
      </w:tr>
    </w:tbl>
    <w:p w14:paraId="5E46DD85" w14:textId="77777777" w:rsidR="00375E56" w:rsidRPr="00345AA4" w:rsidRDefault="00375E56" w:rsidP="00375E56">
      <w:pPr>
        <w:pStyle w:val="ListParagraph"/>
        <w:tabs>
          <w:tab w:val="left" w:pos="0"/>
          <w:tab w:val="left" w:pos="540"/>
        </w:tabs>
        <w:autoSpaceDE w:val="0"/>
        <w:autoSpaceDN w:val="0"/>
        <w:adjustRightInd w:val="0"/>
        <w:ind w:left="0"/>
        <w:jc w:val="both"/>
        <w:rPr>
          <w:rFonts w:ascii="Arial" w:hAnsi="Arial" w:cs="Arial"/>
          <w:color w:val="000000" w:themeColor="text1"/>
          <w:sz w:val="22"/>
          <w:szCs w:val="22"/>
        </w:rPr>
      </w:pPr>
    </w:p>
    <w:p w14:paraId="5FAD1C65" w14:textId="77777777" w:rsidR="00375E56" w:rsidRPr="00345AA4" w:rsidRDefault="00375E56" w:rsidP="00375E56">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In 2019, the settled accounts are as follows: ND No. 16-004-AFPRSBS (13); ND No. 16-005-AFPRSBS (13); and ND No. 16-007-AFPRSBS (13) for the amount of P20,000; P15,000</w:t>
      </w:r>
      <w:r w:rsidR="00903A5E" w:rsidRPr="00345AA4">
        <w:rPr>
          <w:rFonts w:ascii="Arial" w:hAnsi="Arial" w:cs="Arial"/>
          <w:color w:val="000000" w:themeColor="text1"/>
          <w:sz w:val="22"/>
          <w:szCs w:val="22"/>
        </w:rPr>
        <w:t>; and P25,000</w:t>
      </w:r>
      <w:r w:rsidRPr="00345AA4">
        <w:rPr>
          <w:rFonts w:ascii="Arial" w:hAnsi="Arial" w:cs="Arial"/>
          <w:color w:val="000000" w:themeColor="text1"/>
          <w:sz w:val="22"/>
          <w:szCs w:val="22"/>
        </w:rPr>
        <w:t>, respectively.  These settlements pertain to the disallowance of granting of loyalty award to three AFPRSBS employees.</w:t>
      </w:r>
    </w:p>
    <w:p w14:paraId="0F2729CF" w14:textId="77777777" w:rsidR="00375E56" w:rsidRPr="00345AA4" w:rsidRDefault="00375E56" w:rsidP="00375E56">
      <w:pPr>
        <w:pStyle w:val="ListParagraph"/>
        <w:tabs>
          <w:tab w:val="left" w:pos="990"/>
        </w:tabs>
        <w:ind w:left="900"/>
        <w:contextualSpacing/>
        <w:jc w:val="both"/>
        <w:rPr>
          <w:rFonts w:ascii="Arial" w:hAnsi="Arial" w:cs="Arial"/>
          <w:color w:val="000000" w:themeColor="text1"/>
          <w:sz w:val="22"/>
          <w:szCs w:val="22"/>
        </w:rPr>
      </w:pPr>
    </w:p>
    <w:p w14:paraId="6C7B98E1" w14:textId="0FB9B3C7" w:rsidR="00375E56" w:rsidRPr="00345AA4" w:rsidRDefault="00375E56" w:rsidP="00375E56">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The </w:t>
      </w:r>
      <w:r w:rsidR="001B5809" w:rsidRPr="00345AA4">
        <w:rPr>
          <w:rFonts w:ascii="Arial" w:hAnsi="Arial" w:cs="Arial"/>
          <w:color w:val="000000" w:themeColor="text1"/>
          <w:sz w:val="22"/>
          <w:szCs w:val="22"/>
        </w:rPr>
        <w:t>Notice of Disallowance (</w:t>
      </w:r>
      <w:r w:rsidRPr="00345AA4">
        <w:rPr>
          <w:rFonts w:ascii="Arial" w:hAnsi="Arial" w:cs="Arial"/>
          <w:color w:val="000000" w:themeColor="text1"/>
          <w:sz w:val="22"/>
          <w:szCs w:val="22"/>
        </w:rPr>
        <w:t>ND</w:t>
      </w:r>
      <w:r w:rsidR="001B5809" w:rsidRPr="00345AA4">
        <w:rPr>
          <w:rFonts w:ascii="Arial" w:hAnsi="Arial" w:cs="Arial"/>
          <w:color w:val="000000" w:themeColor="text1"/>
          <w:sz w:val="22"/>
          <w:szCs w:val="22"/>
        </w:rPr>
        <w:t>)</w:t>
      </w:r>
      <w:r w:rsidRPr="00345AA4">
        <w:rPr>
          <w:rFonts w:ascii="Arial" w:hAnsi="Arial" w:cs="Arial"/>
          <w:color w:val="000000" w:themeColor="text1"/>
          <w:sz w:val="22"/>
          <w:szCs w:val="22"/>
        </w:rPr>
        <w:t xml:space="preserve"> on the overpriced land acquisition by the System in the amount of P250.318 million and the corresponding </w:t>
      </w:r>
      <w:r w:rsidR="001B5809" w:rsidRPr="00345AA4">
        <w:rPr>
          <w:rFonts w:ascii="Arial" w:hAnsi="Arial" w:cs="Arial"/>
          <w:color w:val="000000" w:themeColor="text1"/>
          <w:sz w:val="22"/>
          <w:szCs w:val="22"/>
        </w:rPr>
        <w:t>Notice of Charge (</w:t>
      </w:r>
      <w:r w:rsidRPr="00345AA4">
        <w:rPr>
          <w:rFonts w:ascii="Arial" w:hAnsi="Arial" w:cs="Arial"/>
          <w:color w:val="000000" w:themeColor="text1"/>
          <w:sz w:val="22"/>
          <w:szCs w:val="22"/>
        </w:rPr>
        <w:t>NC</w:t>
      </w:r>
      <w:r w:rsidR="001B5809" w:rsidRPr="00345AA4">
        <w:rPr>
          <w:rFonts w:ascii="Arial" w:hAnsi="Arial" w:cs="Arial"/>
          <w:color w:val="000000" w:themeColor="text1"/>
          <w:sz w:val="22"/>
          <w:szCs w:val="22"/>
        </w:rPr>
        <w:t>)</w:t>
      </w:r>
      <w:r w:rsidRPr="00345AA4">
        <w:rPr>
          <w:rFonts w:ascii="Arial" w:hAnsi="Arial" w:cs="Arial"/>
          <w:color w:val="000000" w:themeColor="text1"/>
          <w:sz w:val="22"/>
          <w:szCs w:val="22"/>
        </w:rPr>
        <w:t xml:space="preserve"> on the deficiency taxes on the overpriced land amounting to P16.271 million were affirmed by the </w:t>
      </w:r>
      <w:r w:rsidR="003636D7" w:rsidRPr="00345AA4">
        <w:rPr>
          <w:rFonts w:ascii="Arial" w:hAnsi="Arial" w:cs="Arial"/>
          <w:color w:val="000000" w:themeColor="text1"/>
          <w:sz w:val="22"/>
          <w:szCs w:val="22"/>
        </w:rPr>
        <w:t>Commission Proper (</w:t>
      </w:r>
      <w:r w:rsidRPr="00345AA4">
        <w:rPr>
          <w:rFonts w:ascii="Arial" w:hAnsi="Arial" w:cs="Arial"/>
          <w:color w:val="000000" w:themeColor="text1"/>
          <w:sz w:val="22"/>
          <w:szCs w:val="22"/>
        </w:rPr>
        <w:t>CP</w:t>
      </w:r>
      <w:r w:rsidR="003636D7" w:rsidRPr="00345AA4">
        <w:rPr>
          <w:rFonts w:ascii="Arial" w:hAnsi="Arial" w:cs="Arial"/>
          <w:color w:val="000000" w:themeColor="text1"/>
          <w:sz w:val="22"/>
          <w:szCs w:val="22"/>
        </w:rPr>
        <w:t>)</w:t>
      </w:r>
      <w:r w:rsidRPr="00345AA4">
        <w:rPr>
          <w:rFonts w:ascii="Arial" w:hAnsi="Arial" w:cs="Arial"/>
          <w:color w:val="000000" w:themeColor="text1"/>
          <w:sz w:val="22"/>
          <w:szCs w:val="22"/>
        </w:rPr>
        <w:t xml:space="preserve"> under COA Decision Nos. 2012-188 and 2012-139 dated November 5, 2012 and September 13, 2012, respectively.  Moreover, the </w:t>
      </w:r>
      <w:r w:rsidR="00775DEC">
        <w:rPr>
          <w:rFonts w:ascii="Arial" w:hAnsi="Arial" w:cs="Arial"/>
          <w:color w:val="000000" w:themeColor="text1"/>
          <w:sz w:val="22"/>
          <w:szCs w:val="22"/>
        </w:rPr>
        <w:t>motion for reconsideration (</w:t>
      </w:r>
      <w:r w:rsidRPr="00345AA4">
        <w:rPr>
          <w:rFonts w:ascii="Arial" w:hAnsi="Arial" w:cs="Arial"/>
          <w:color w:val="000000" w:themeColor="text1"/>
          <w:sz w:val="22"/>
          <w:szCs w:val="22"/>
        </w:rPr>
        <w:t>MR</w:t>
      </w:r>
      <w:r w:rsidR="00775DEC">
        <w:rPr>
          <w:rFonts w:ascii="Arial" w:hAnsi="Arial" w:cs="Arial"/>
          <w:color w:val="000000" w:themeColor="text1"/>
          <w:sz w:val="22"/>
          <w:szCs w:val="22"/>
        </w:rPr>
        <w:t>)</w:t>
      </w:r>
      <w:r w:rsidRPr="00345AA4">
        <w:rPr>
          <w:rFonts w:ascii="Arial" w:hAnsi="Arial" w:cs="Arial"/>
          <w:color w:val="000000" w:themeColor="text1"/>
          <w:sz w:val="22"/>
          <w:szCs w:val="22"/>
        </w:rPr>
        <w:t xml:space="preserve"> filed by the System on the COA Decisions was denied under CP En Banc Resolution dated February 27, 2015.  Accordingly, </w:t>
      </w:r>
      <w:r w:rsidR="003636D7" w:rsidRPr="00345AA4">
        <w:rPr>
          <w:rFonts w:ascii="Arial" w:hAnsi="Arial" w:cs="Arial"/>
          <w:color w:val="000000" w:themeColor="text1"/>
          <w:sz w:val="22"/>
          <w:szCs w:val="22"/>
        </w:rPr>
        <w:t>Notice of Finality of Decision (</w:t>
      </w:r>
      <w:r w:rsidRPr="00345AA4">
        <w:rPr>
          <w:rFonts w:ascii="Arial" w:hAnsi="Arial" w:cs="Arial"/>
          <w:color w:val="000000" w:themeColor="text1"/>
          <w:sz w:val="22"/>
          <w:szCs w:val="22"/>
        </w:rPr>
        <w:t>NFD</w:t>
      </w:r>
      <w:r w:rsidR="003636D7" w:rsidRPr="00345AA4">
        <w:rPr>
          <w:rFonts w:ascii="Arial" w:hAnsi="Arial" w:cs="Arial"/>
          <w:color w:val="000000" w:themeColor="text1"/>
          <w:sz w:val="22"/>
          <w:szCs w:val="22"/>
        </w:rPr>
        <w:t>)</w:t>
      </w:r>
      <w:r w:rsidRPr="00345AA4">
        <w:rPr>
          <w:rFonts w:ascii="Arial" w:hAnsi="Arial" w:cs="Arial"/>
          <w:color w:val="000000" w:themeColor="text1"/>
          <w:sz w:val="22"/>
          <w:szCs w:val="22"/>
        </w:rPr>
        <w:t xml:space="preserve"> and </w:t>
      </w:r>
      <w:r w:rsidR="00A6407E" w:rsidRPr="00345AA4">
        <w:rPr>
          <w:rFonts w:ascii="Arial" w:hAnsi="Arial" w:cs="Arial"/>
          <w:color w:val="000000" w:themeColor="text1"/>
          <w:sz w:val="22"/>
          <w:szCs w:val="22"/>
        </w:rPr>
        <w:t>COA Order of Execution (</w:t>
      </w:r>
      <w:r w:rsidRPr="00345AA4">
        <w:rPr>
          <w:rFonts w:ascii="Arial" w:hAnsi="Arial" w:cs="Arial"/>
          <w:color w:val="000000" w:themeColor="text1"/>
          <w:sz w:val="22"/>
          <w:szCs w:val="22"/>
        </w:rPr>
        <w:t>COE</w:t>
      </w:r>
      <w:r w:rsidR="00A6407E" w:rsidRPr="00345AA4">
        <w:rPr>
          <w:rFonts w:ascii="Arial" w:hAnsi="Arial" w:cs="Arial"/>
          <w:color w:val="000000" w:themeColor="text1"/>
          <w:sz w:val="22"/>
          <w:szCs w:val="22"/>
        </w:rPr>
        <w:t>)</w:t>
      </w:r>
      <w:r w:rsidRPr="00345AA4">
        <w:rPr>
          <w:rFonts w:ascii="Arial" w:hAnsi="Arial" w:cs="Arial"/>
          <w:color w:val="000000" w:themeColor="text1"/>
          <w:sz w:val="22"/>
          <w:szCs w:val="22"/>
        </w:rPr>
        <w:t xml:space="preserve"> were issued.</w:t>
      </w:r>
    </w:p>
    <w:p w14:paraId="5CA4CFCC" w14:textId="77777777" w:rsidR="00375E56" w:rsidRPr="00345AA4" w:rsidRDefault="00375E56" w:rsidP="00375E56">
      <w:pPr>
        <w:pStyle w:val="ListParagraph"/>
        <w:ind w:left="0"/>
        <w:contextualSpacing/>
        <w:jc w:val="both"/>
        <w:rPr>
          <w:rFonts w:ascii="Arial" w:hAnsi="Arial" w:cs="Arial"/>
          <w:color w:val="000000" w:themeColor="text1"/>
          <w:sz w:val="22"/>
          <w:szCs w:val="22"/>
        </w:rPr>
      </w:pPr>
    </w:p>
    <w:p w14:paraId="39C499DB" w14:textId="77777777" w:rsidR="00375E56" w:rsidRPr="00345AA4" w:rsidRDefault="00375E56" w:rsidP="00903A5E">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Furthermore, the </w:t>
      </w:r>
      <w:r w:rsidR="00A6407E" w:rsidRPr="00345AA4">
        <w:rPr>
          <w:rFonts w:ascii="Arial" w:hAnsi="Arial" w:cs="Arial"/>
          <w:color w:val="000000" w:themeColor="text1"/>
          <w:sz w:val="22"/>
          <w:szCs w:val="22"/>
        </w:rPr>
        <w:t>Supreme Court (</w:t>
      </w:r>
      <w:r w:rsidRPr="00345AA4">
        <w:rPr>
          <w:rFonts w:ascii="Arial" w:hAnsi="Arial" w:cs="Arial"/>
          <w:color w:val="000000" w:themeColor="text1"/>
          <w:sz w:val="22"/>
          <w:szCs w:val="22"/>
        </w:rPr>
        <w:t>SC</w:t>
      </w:r>
      <w:r w:rsidR="00A6407E" w:rsidRPr="00345AA4">
        <w:rPr>
          <w:rFonts w:ascii="Arial" w:hAnsi="Arial" w:cs="Arial"/>
          <w:color w:val="000000" w:themeColor="text1"/>
          <w:sz w:val="22"/>
          <w:szCs w:val="22"/>
        </w:rPr>
        <w:t>)</w:t>
      </w:r>
      <w:r w:rsidRPr="00345AA4">
        <w:rPr>
          <w:rFonts w:ascii="Arial" w:hAnsi="Arial" w:cs="Arial"/>
          <w:color w:val="000000" w:themeColor="text1"/>
          <w:sz w:val="22"/>
          <w:szCs w:val="22"/>
        </w:rPr>
        <w:t xml:space="preserve"> promulgated its Decision under G.R. No. 217948 dated January 12, 2016 on the Petition for Certiorari for the ND on the overpriced land acquisition affirming COA Decision No. 2012-188 dated November 5, 2012.</w:t>
      </w:r>
      <w:r w:rsidR="00903A5E" w:rsidRPr="00345AA4">
        <w:rPr>
          <w:rFonts w:ascii="Arial" w:hAnsi="Arial" w:cs="Arial"/>
          <w:color w:val="000000" w:themeColor="text1"/>
          <w:sz w:val="22"/>
          <w:szCs w:val="22"/>
        </w:rPr>
        <w:t xml:space="preserve">  </w:t>
      </w:r>
      <w:r w:rsidRPr="00345AA4">
        <w:rPr>
          <w:rFonts w:ascii="Arial" w:hAnsi="Arial" w:cs="Arial"/>
          <w:color w:val="000000" w:themeColor="text1"/>
          <w:sz w:val="22"/>
          <w:szCs w:val="22"/>
        </w:rPr>
        <w:t>The System has partially collected</w:t>
      </w:r>
      <w:r w:rsidR="00A769D9" w:rsidRPr="00345AA4">
        <w:rPr>
          <w:rFonts w:ascii="Arial" w:hAnsi="Arial" w:cs="Arial"/>
          <w:color w:val="000000" w:themeColor="text1"/>
          <w:sz w:val="22"/>
          <w:szCs w:val="22"/>
        </w:rPr>
        <w:t xml:space="preserve"> a total of P2,165,496</w:t>
      </w:r>
      <w:r w:rsidRPr="00345AA4">
        <w:rPr>
          <w:rFonts w:ascii="Arial" w:hAnsi="Arial" w:cs="Arial"/>
          <w:color w:val="000000" w:themeColor="text1"/>
          <w:sz w:val="22"/>
          <w:szCs w:val="22"/>
        </w:rPr>
        <w:t xml:space="preserve"> from the person liable as at December 31, 2019.</w:t>
      </w:r>
    </w:p>
    <w:p w14:paraId="464F2ABE" w14:textId="77777777" w:rsidR="00375E56" w:rsidRPr="00345AA4" w:rsidRDefault="00375E56" w:rsidP="00375E56">
      <w:pPr>
        <w:pStyle w:val="ListParagraph"/>
        <w:rPr>
          <w:rFonts w:ascii="Arial" w:hAnsi="Arial" w:cs="Arial"/>
          <w:color w:val="000000" w:themeColor="text1"/>
          <w:sz w:val="22"/>
          <w:szCs w:val="22"/>
        </w:rPr>
      </w:pPr>
    </w:p>
    <w:p w14:paraId="6627A01A" w14:textId="30F10148" w:rsidR="00375E56" w:rsidRPr="00345AA4" w:rsidRDefault="00375E56" w:rsidP="00375E56">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The NC numbered N.C. No. 2010-07-001 in CY 1996 is considered as settled under </w:t>
      </w:r>
      <w:r w:rsidR="003B18C8" w:rsidRPr="00345AA4">
        <w:rPr>
          <w:rFonts w:ascii="Arial" w:hAnsi="Arial" w:cs="Arial"/>
          <w:color w:val="000000" w:themeColor="text1"/>
          <w:sz w:val="22"/>
          <w:szCs w:val="22"/>
        </w:rPr>
        <w:t>Notice of Settlement of Suspension/Disallowance/Charge (</w:t>
      </w:r>
      <w:r w:rsidRPr="00345AA4">
        <w:rPr>
          <w:rFonts w:ascii="Arial" w:hAnsi="Arial" w:cs="Arial"/>
          <w:color w:val="000000" w:themeColor="text1"/>
          <w:sz w:val="22"/>
          <w:szCs w:val="22"/>
        </w:rPr>
        <w:t>NSSDC</w:t>
      </w:r>
      <w:r w:rsidR="003B18C8" w:rsidRPr="00345AA4">
        <w:rPr>
          <w:rFonts w:ascii="Arial" w:hAnsi="Arial" w:cs="Arial"/>
          <w:color w:val="000000" w:themeColor="text1"/>
          <w:sz w:val="22"/>
          <w:szCs w:val="22"/>
        </w:rPr>
        <w:t>)</w:t>
      </w:r>
      <w:r w:rsidRPr="00345AA4">
        <w:rPr>
          <w:rFonts w:ascii="Arial" w:hAnsi="Arial" w:cs="Arial"/>
          <w:color w:val="000000" w:themeColor="text1"/>
          <w:sz w:val="22"/>
          <w:szCs w:val="22"/>
        </w:rPr>
        <w:t xml:space="preserve"> No. 18-001 dated June 27, 2018 due to the SC decision under G.R. No. 213716.  The Court found that it was incongruent to disallow the difference of P250.318 million but, at the same time, charge P16.271 million against the petitioner for the alleged underpaid taxes.  Considering that the amount is being held as the correct purchase price of the sale, the correct taxes in the amount of P5.917 million have already been settled.  To demand more on the ground that all income from whatever sources is taxable would unjustly enrich the government.</w:t>
      </w:r>
    </w:p>
    <w:p w14:paraId="1935E090" w14:textId="77777777" w:rsidR="00375E56" w:rsidRPr="00345AA4" w:rsidRDefault="00375E56" w:rsidP="00375E56">
      <w:pPr>
        <w:pStyle w:val="ListParagraph"/>
        <w:ind w:left="0"/>
        <w:contextualSpacing/>
        <w:jc w:val="both"/>
        <w:rPr>
          <w:rFonts w:ascii="Arial" w:hAnsi="Arial" w:cs="Arial"/>
          <w:color w:val="000000" w:themeColor="text1"/>
          <w:sz w:val="22"/>
          <w:szCs w:val="22"/>
        </w:rPr>
      </w:pPr>
    </w:p>
    <w:p w14:paraId="42F4A2FE" w14:textId="77777777" w:rsidR="00375E56" w:rsidRPr="00345AA4" w:rsidRDefault="00375E56" w:rsidP="00375E56">
      <w:pPr>
        <w:pStyle w:val="ListParagraph"/>
        <w:numPr>
          <w:ilvl w:val="1"/>
          <w:numId w:val="1"/>
        </w:numPr>
        <w:tabs>
          <w:tab w:val="left" w:pos="990"/>
        </w:tabs>
        <w:ind w:left="900" w:hanging="540"/>
        <w:contextualSpacing/>
        <w:jc w:val="both"/>
        <w:rPr>
          <w:rFonts w:ascii="Arial" w:hAnsi="Arial" w:cs="Arial"/>
          <w:color w:val="000000" w:themeColor="text1"/>
          <w:sz w:val="22"/>
          <w:szCs w:val="22"/>
        </w:rPr>
      </w:pPr>
      <w:r w:rsidRPr="00345AA4">
        <w:rPr>
          <w:rFonts w:ascii="Arial" w:hAnsi="Arial" w:cs="Arial"/>
          <w:color w:val="000000" w:themeColor="text1"/>
          <w:sz w:val="22"/>
          <w:szCs w:val="22"/>
        </w:rPr>
        <w:t xml:space="preserve">The details of the other disallowances that were issued in CY 2016 in the total amount of P1.180 million includes: (a) disallowances awaiting decision of the CP on gasoline withdrawn from </w:t>
      </w:r>
      <w:r w:rsidR="00A6407E" w:rsidRPr="00345AA4">
        <w:rPr>
          <w:rFonts w:ascii="Arial" w:hAnsi="Arial" w:cs="Arial"/>
          <w:color w:val="000000" w:themeColor="text1"/>
          <w:sz w:val="22"/>
          <w:szCs w:val="22"/>
        </w:rPr>
        <w:t>AFP Commissary and Exchange Services (</w:t>
      </w:r>
      <w:r w:rsidRPr="00345AA4">
        <w:rPr>
          <w:rFonts w:ascii="Arial" w:hAnsi="Arial" w:cs="Arial"/>
          <w:color w:val="000000" w:themeColor="text1"/>
          <w:sz w:val="22"/>
          <w:szCs w:val="22"/>
        </w:rPr>
        <w:t>AFPCES</w:t>
      </w:r>
      <w:r w:rsidR="00A6407E" w:rsidRPr="00345AA4">
        <w:rPr>
          <w:rFonts w:ascii="Arial" w:hAnsi="Arial" w:cs="Arial"/>
          <w:color w:val="000000" w:themeColor="text1"/>
          <w:sz w:val="22"/>
          <w:szCs w:val="22"/>
        </w:rPr>
        <w:t>)</w:t>
      </w:r>
      <w:r w:rsidRPr="00345AA4">
        <w:rPr>
          <w:rFonts w:ascii="Arial" w:hAnsi="Arial" w:cs="Arial"/>
          <w:color w:val="000000" w:themeColor="text1"/>
          <w:sz w:val="22"/>
          <w:szCs w:val="22"/>
        </w:rPr>
        <w:t xml:space="preserve"> using private vehicles, granting of rice subsidy in excess of the allowable P1,500 per sack and granting of monthly cell card subsidy to a postpaid plan holder and claims for communication allowance while on official travel amounting to P534,132, P236,656 and P27,720, respectively; (b) granting of cash gift amounting to P325,999; and (c) granting of loyalty award to three AFPRSBS employees amounting to P65,000.</w:t>
      </w:r>
    </w:p>
    <w:p w14:paraId="3E1DCA55" w14:textId="77777777" w:rsidR="00375E56" w:rsidRPr="00345AA4" w:rsidRDefault="00375E56">
      <w:pPr>
        <w:rPr>
          <w:rFonts w:ascii="Arial" w:hAnsi="Arial" w:cs="Arial"/>
          <w:color w:val="000000" w:themeColor="text1"/>
        </w:rPr>
      </w:pPr>
    </w:p>
    <w:sectPr w:rsidR="00375E56" w:rsidRPr="00345AA4" w:rsidSect="00424394">
      <w:footerReference w:type="default" r:id="rId8"/>
      <w:pgSz w:w="12240" w:h="15840"/>
      <w:pgMar w:top="1440" w:right="1440" w:bottom="1440" w:left="1440" w:header="720" w:footer="720" w:gutter="720"/>
      <w:pgNumType w:start="4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0B1BF" w14:textId="77777777" w:rsidR="0028242E" w:rsidRDefault="0028242E" w:rsidP="00F43F1B">
      <w:pPr>
        <w:spacing w:after="0" w:line="240" w:lineRule="auto"/>
      </w:pPr>
      <w:r>
        <w:separator/>
      </w:r>
    </w:p>
  </w:endnote>
  <w:endnote w:type="continuationSeparator" w:id="0">
    <w:p w14:paraId="165F8ECE" w14:textId="77777777" w:rsidR="0028242E" w:rsidRDefault="0028242E" w:rsidP="00F4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523609"/>
      <w:docPartObj>
        <w:docPartGallery w:val="Page Numbers (Bottom of Page)"/>
        <w:docPartUnique/>
      </w:docPartObj>
    </w:sdtPr>
    <w:sdtEndPr>
      <w:rPr>
        <w:rFonts w:ascii="Arial" w:hAnsi="Arial" w:cs="Arial"/>
        <w:noProof/>
        <w:sz w:val="20"/>
        <w:szCs w:val="20"/>
      </w:rPr>
    </w:sdtEndPr>
    <w:sdtContent>
      <w:p w14:paraId="18655D3B" w14:textId="5D72BF27" w:rsidR="009B5E7B" w:rsidRPr="00062861" w:rsidRDefault="009B5E7B">
        <w:pPr>
          <w:pStyle w:val="Footer"/>
          <w:jc w:val="right"/>
          <w:rPr>
            <w:rFonts w:ascii="Arial" w:hAnsi="Arial" w:cs="Arial"/>
            <w:sz w:val="20"/>
            <w:szCs w:val="20"/>
          </w:rPr>
        </w:pPr>
        <w:r w:rsidRPr="00062861">
          <w:rPr>
            <w:rFonts w:ascii="Arial" w:hAnsi="Arial" w:cs="Arial"/>
            <w:sz w:val="20"/>
            <w:szCs w:val="20"/>
          </w:rPr>
          <w:fldChar w:fldCharType="begin"/>
        </w:r>
        <w:r w:rsidRPr="00062861">
          <w:rPr>
            <w:rFonts w:ascii="Arial" w:hAnsi="Arial" w:cs="Arial"/>
            <w:sz w:val="20"/>
            <w:szCs w:val="20"/>
          </w:rPr>
          <w:instrText xml:space="preserve"> PAGE   \* MERGEFORMAT </w:instrText>
        </w:r>
        <w:r w:rsidRPr="00062861">
          <w:rPr>
            <w:rFonts w:ascii="Arial" w:hAnsi="Arial" w:cs="Arial"/>
            <w:sz w:val="20"/>
            <w:szCs w:val="20"/>
          </w:rPr>
          <w:fldChar w:fldCharType="separate"/>
        </w:r>
        <w:r w:rsidR="00ED1E20">
          <w:rPr>
            <w:rFonts w:ascii="Arial" w:hAnsi="Arial" w:cs="Arial"/>
            <w:noProof/>
            <w:sz w:val="20"/>
            <w:szCs w:val="20"/>
          </w:rPr>
          <w:t>80</w:t>
        </w:r>
        <w:r w:rsidRPr="00062861">
          <w:rPr>
            <w:rFonts w:ascii="Arial" w:hAnsi="Arial" w:cs="Arial"/>
            <w:noProof/>
            <w:sz w:val="20"/>
            <w:szCs w:val="20"/>
          </w:rPr>
          <w:fldChar w:fldCharType="end"/>
        </w:r>
      </w:p>
    </w:sdtContent>
  </w:sdt>
  <w:p w14:paraId="03B65350" w14:textId="77777777" w:rsidR="009B5E7B" w:rsidRDefault="009B5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2CB3E" w14:textId="77777777" w:rsidR="0028242E" w:rsidRDefault="0028242E" w:rsidP="00F43F1B">
      <w:pPr>
        <w:spacing w:after="0" w:line="240" w:lineRule="auto"/>
      </w:pPr>
      <w:r>
        <w:separator/>
      </w:r>
    </w:p>
  </w:footnote>
  <w:footnote w:type="continuationSeparator" w:id="0">
    <w:p w14:paraId="7129100C" w14:textId="77777777" w:rsidR="0028242E" w:rsidRDefault="0028242E" w:rsidP="00F43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1128"/>
    <w:multiLevelType w:val="multilevel"/>
    <w:tmpl w:val="B81226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A75796"/>
    <w:multiLevelType w:val="multilevel"/>
    <w:tmpl w:val="ACA27764"/>
    <w:lvl w:ilvl="0">
      <w:start w:val="1"/>
      <w:numFmt w:val="lowerLetter"/>
      <w:lvlText w:val="%1."/>
      <w:lvlJc w:val="left"/>
      <w:pPr>
        <w:ind w:left="1260" w:hanging="360"/>
      </w:pPr>
      <w:rPr>
        <w:rFonts w:hint="default"/>
        <w:b/>
        <w:i w:val="0"/>
        <w:color w:val="auto"/>
        <w:sz w:val="22"/>
        <w:szCs w:val="22"/>
      </w:rPr>
    </w:lvl>
    <w:lvl w:ilvl="1">
      <w:start w:val="1"/>
      <w:numFmt w:val="decimal"/>
      <w:isLgl/>
      <w:lvlText w:val="%1.%2"/>
      <w:lvlJc w:val="left"/>
      <w:pPr>
        <w:ind w:left="900" w:hanging="360"/>
      </w:pPr>
      <w:rPr>
        <w:rFonts w:ascii="Arial" w:hAnsi="Arial" w:cs="Arial" w:hint="default"/>
        <w:b w:val="0"/>
        <w:i w:val="0"/>
        <w:color w:val="auto"/>
        <w:sz w:val="22"/>
        <w:szCs w:val="22"/>
      </w:rPr>
    </w:lvl>
    <w:lvl w:ilvl="2">
      <w:start w:val="1"/>
      <w:numFmt w:val="lowerLetter"/>
      <w:lvlText w:val="%3."/>
      <w:lvlJc w:val="left"/>
      <w:pPr>
        <w:ind w:left="207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nsid w:val="15BA2C0D"/>
    <w:multiLevelType w:val="hybridMultilevel"/>
    <w:tmpl w:val="5F20A198"/>
    <w:lvl w:ilvl="0" w:tplc="3409000B">
      <w:start w:val="1"/>
      <w:numFmt w:val="bullet"/>
      <w:lvlText w:val=""/>
      <w:lvlJc w:val="left"/>
      <w:pPr>
        <w:ind w:left="2880" w:hanging="360"/>
      </w:pPr>
      <w:rPr>
        <w:rFonts w:ascii="Wingdings" w:hAnsi="Wingdings" w:hint="default"/>
      </w:rPr>
    </w:lvl>
    <w:lvl w:ilvl="1" w:tplc="34090003" w:tentative="1">
      <w:start w:val="1"/>
      <w:numFmt w:val="bullet"/>
      <w:lvlText w:val="o"/>
      <w:lvlJc w:val="left"/>
      <w:pPr>
        <w:ind w:left="3600" w:hanging="360"/>
      </w:pPr>
      <w:rPr>
        <w:rFonts w:ascii="Courier New" w:hAnsi="Courier New" w:cs="Courier New" w:hint="default"/>
      </w:rPr>
    </w:lvl>
    <w:lvl w:ilvl="2" w:tplc="34090005" w:tentative="1">
      <w:start w:val="1"/>
      <w:numFmt w:val="bullet"/>
      <w:lvlText w:val=""/>
      <w:lvlJc w:val="left"/>
      <w:pPr>
        <w:ind w:left="4320" w:hanging="360"/>
      </w:pPr>
      <w:rPr>
        <w:rFonts w:ascii="Wingdings" w:hAnsi="Wingdings" w:hint="default"/>
      </w:rPr>
    </w:lvl>
    <w:lvl w:ilvl="3" w:tplc="34090001" w:tentative="1">
      <w:start w:val="1"/>
      <w:numFmt w:val="bullet"/>
      <w:lvlText w:val=""/>
      <w:lvlJc w:val="left"/>
      <w:pPr>
        <w:ind w:left="5040" w:hanging="360"/>
      </w:pPr>
      <w:rPr>
        <w:rFonts w:ascii="Symbol" w:hAnsi="Symbol" w:hint="default"/>
      </w:rPr>
    </w:lvl>
    <w:lvl w:ilvl="4" w:tplc="34090003" w:tentative="1">
      <w:start w:val="1"/>
      <w:numFmt w:val="bullet"/>
      <w:lvlText w:val="o"/>
      <w:lvlJc w:val="left"/>
      <w:pPr>
        <w:ind w:left="5760" w:hanging="360"/>
      </w:pPr>
      <w:rPr>
        <w:rFonts w:ascii="Courier New" w:hAnsi="Courier New" w:cs="Courier New" w:hint="default"/>
      </w:rPr>
    </w:lvl>
    <w:lvl w:ilvl="5" w:tplc="34090005" w:tentative="1">
      <w:start w:val="1"/>
      <w:numFmt w:val="bullet"/>
      <w:lvlText w:val=""/>
      <w:lvlJc w:val="left"/>
      <w:pPr>
        <w:ind w:left="6480" w:hanging="360"/>
      </w:pPr>
      <w:rPr>
        <w:rFonts w:ascii="Wingdings" w:hAnsi="Wingdings" w:hint="default"/>
      </w:rPr>
    </w:lvl>
    <w:lvl w:ilvl="6" w:tplc="34090001" w:tentative="1">
      <w:start w:val="1"/>
      <w:numFmt w:val="bullet"/>
      <w:lvlText w:val=""/>
      <w:lvlJc w:val="left"/>
      <w:pPr>
        <w:ind w:left="7200" w:hanging="360"/>
      </w:pPr>
      <w:rPr>
        <w:rFonts w:ascii="Symbol" w:hAnsi="Symbol" w:hint="default"/>
      </w:rPr>
    </w:lvl>
    <w:lvl w:ilvl="7" w:tplc="34090003" w:tentative="1">
      <w:start w:val="1"/>
      <w:numFmt w:val="bullet"/>
      <w:lvlText w:val="o"/>
      <w:lvlJc w:val="left"/>
      <w:pPr>
        <w:ind w:left="7920" w:hanging="360"/>
      </w:pPr>
      <w:rPr>
        <w:rFonts w:ascii="Courier New" w:hAnsi="Courier New" w:cs="Courier New" w:hint="default"/>
      </w:rPr>
    </w:lvl>
    <w:lvl w:ilvl="8" w:tplc="34090005" w:tentative="1">
      <w:start w:val="1"/>
      <w:numFmt w:val="bullet"/>
      <w:lvlText w:val=""/>
      <w:lvlJc w:val="left"/>
      <w:pPr>
        <w:ind w:left="8640" w:hanging="360"/>
      </w:pPr>
      <w:rPr>
        <w:rFonts w:ascii="Wingdings" w:hAnsi="Wingdings" w:hint="default"/>
      </w:rPr>
    </w:lvl>
  </w:abstractNum>
  <w:abstractNum w:abstractNumId="3">
    <w:nsid w:val="26A70587"/>
    <w:multiLevelType w:val="hybridMultilevel"/>
    <w:tmpl w:val="B6685A10"/>
    <w:lvl w:ilvl="0" w:tplc="8CC6F17C">
      <w:start w:val="1"/>
      <w:numFmt w:val="upperLetter"/>
      <w:lvlText w:val="%1."/>
      <w:lvlJc w:val="left"/>
      <w:pPr>
        <w:ind w:left="720" w:hanging="360"/>
      </w:pPr>
      <w:rPr>
        <w:rFonts w:hint="default"/>
        <w: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2F992D19"/>
    <w:multiLevelType w:val="hybridMultilevel"/>
    <w:tmpl w:val="FB909154"/>
    <w:lvl w:ilvl="0" w:tplc="D7E2735A">
      <w:start w:val="1"/>
      <w:numFmt w:val="upperLetter"/>
      <w:lvlText w:val="%1."/>
      <w:lvlJc w:val="left"/>
      <w:pPr>
        <w:ind w:left="720" w:hanging="360"/>
      </w:pPr>
      <w:rPr>
        <w:rFonts w:hint="default"/>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395F38E1"/>
    <w:multiLevelType w:val="hybridMultilevel"/>
    <w:tmpl w:val="084A7FE2"/>
    <w:lvl w:ilvl="0" w:tplc="E43EA86E">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6">
    <w:nsid w:val="3FD87636"/>
    <w:multiLevelType w:val="hybridMultilevel"/>
    <w:tmpl w:val="8ED40662"/>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7">
    <w:nsid w:val="4066386C"/>
    <w:multiLevelType w:val="hybridMultilevel"/>
    <w:tmpl w:val="D4E28B90"/>
    <w:lvl w:ilvl="0" w:tplc="75A0E6A6">
      <w:start w:val="1"/>
      <w:numFmt w:val="low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41757389"/>
    <w:multiLevelType w:val="multilevel"/>
    <w:tmpl w:val="27C4FC9C"/>
    <w:lvl w:ilvl="0">
      <w:start w:val="1"/>
      <w:numFmt w:val="decimal"/>
      <w:lvlText w:val="%1."/>
      <w:lvlJc w:val="left"/>
      <w:pPr>
        <w:ind w:left="720" w:hanging="360"/>
      </w:pPr>
      <w:rPr>
        <w:rFonts w:hint="default"/>
        <w:b/>
        <w:i w:val="0"/>
        <w:color w:val="auto"/>
        <w:sz w:val="22"/>
        <w:szCs w:val="22"/>
      </w:rPr>
    </w:lvl>
    <w:lvl w:ilvl="1">
      <w:start w:val="1"/>
      <w:numFmt w:val="decimal"/>
      <w:isLgl/>
      <w:lvlText w:val="%1.%2"/>
      <w:lvlJc w:val="left"/>
      <w:pPr>
        <w:ind w:left="1495" w:hanging="360"/>
      </w:pPr>
      <w:rPr>
        <w:rFonts w:ascii="Arial" w:hAnsi="Arial" w:cs="Arial" w:hint="default"/>
        <w:b w:val="0"/>
        <w:i w:val="0"/>
        <w:color w:val="auto"/>
        <w:sz w:val="22"/>
        <w:szCs w:val="22"/>
      </w:rPr>
    </w:lvl>
    <w:lvl w:ilvl="2">
      <w:start w:val="1"/>
      <w:numFmt w:val="lowerLetter"/>
      <w:lvlText w:val="%3."/>
      <w:lvlJc w:val="left"/>
      <w:pPr>
        <w:ind w:left="153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281171D"/>
    <w:multiLevelType w:val="multilevel"/>
    <w:tmpl w:val="ACA27764"/>
    <w:lvl w:ilvl="0">
      <w:start w:val="1"/>
      <w:numFmt w:val="lowerLetter"/>
      <w:lvlText w:val="%1."/>
      <w:lvlJc w:val="left"/>
      <w:pPr>
        <w:ind w:left="720" w:hanging="360"/>
      </w:pPr>
      <w:rPr>
        <w:rFonts w:hint="default"/>
        <w:b/>
        <w:i w:val="0"/>
        <w:color w:val="auto"/>
        <w:sz w:val="22"/>
        <w:szCs w:val="22"/>
      </w:rPr>
    </w:lvl>
    <w:lvl w:ilvl="1">
      <w:start w:val="1"/>
      <w:numFmt w:val="decimal"/>
      <w:isLgl/>
      <w:lvlText w:val="%1.%2"/>
      <w:lvlJc w:val="left"/>
      <w:pPr>
        <w:ind w:left="360" w:hanging="360"/>
      </w:pPr>
      <w:rPr>
        <w:rFonts w:ascii="Arial" w:hAnsi="Arial" w:cs="Arial" w:hint="default"/>
        <w:b w:val="0"/>
        <w:i w:val="0"/>
        <w:color w:val="auto"/>
        <w:sz w:val="22"/>
        <w:szCs w:val="22"/>
      </w:rPr>
    </w:lvl>
    <w:lvl w:ilvl="2">
      <w:start w:val="1"/>
      <w:numFmt w:val="lowerLetter"/>
      <w:lvlText w:val="%3."/>
      <w:lvlJc w:val="left"/>
      <w:pPr>
        <w:ind w:left="153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2FF66AE"/>
    <w:multiLevelType w:val="multilevel"/>
    <w:tmpl w:val="ACA27764"/>
    <w:lvl w:ilvl="0">
      <w:start w:val="1"/>
      <w:numFmt w:val="lowerLetter"/>
      <w:lvlText w:val="%1."/>
      <w:lvlJc w:val="left"/>
      <w:pPr>
        <w:ind w:left="1260" w:hanging="360"/>
      </w:pPr>
      <w:rPr>
        <w:rFonts w:hint="default"/>
        <w:b/>
        <w:i w:val="0"/>
        <w:color w:val="auto"/>
        <w:sz w:val="22"/>
        <w:szCs w:val="22"/>
      </w:rPr>
    </w:lvl>
    <w:lvl w:ilvl="1">
      <w:start w:val="1"/>
      <w:numFmt w:val="decimal"/>
      <w:isLgl/>
      <w:lvlText w:val="%1.%2"/>
      <w:lvlJc w:val="left"/>
      <w:pPr>
        <w:ind w:left="900" w:hanging="360"/>
      </w:pPr>
      <w:rPr>
        <w:rFonts w:ascii="Arial" w:hAnsi="Arial" w:cs="Arial" w:hint="default"/>
        <w:b w:val="0"/>
        <w:i w:val="0"/>
        <w:color w:val="auto"/>
        <w:sz w:val="22"/>
        <w:szCs w:val="22"/>
      </w:rPr>
    </w:lvl>
    <w:lvl w:ilvl="2">
      <w:start w:val="1"/>
      <w:numFmt w:val="lowerLetter"/>
      <w:lvlText w:val="%3."/>
      <w:lvlJc w:val="left"/>
      <w:pPr>
        <w:ind w:left="207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1">
    <w:nsid w:val="46A209CC"/>
    <w:multiLevelType w:val="hybridMultilevel"/>
    <w:tmpl w:val="7EBE9EDE"/>
    <w:lvl w:ilvl="0" w:tplc="AD9849DA">
      <w:start w:val="1"/>
      <w:numFmt w:val="lowerLetter"/>
      <w:lvlText w:val="%1."/>
      <w:lvlJc w:val="left"/>
      <w:pPr>
        <w:ind w:left="1530" w:hanging="360"/>
      </w:pPr>
      <w:rPr>
        <w:rFonts w:hint="default"/>
      </w:rPr>
    </w:lvl>
    <w:lvl w:ilvl="1" w:tplc="34090019" w:tentative="1">
      <w:start w:val="1"/>
      <w:numFmt w:val="lowerLetter"/>
      <w:lvlText w:val="%2."/>
      <w:lvlJc w:val="left"/>
      <w:pPr>
        <w:ind w:left="2250" w:hanging="360"/>
      </w:pPr>
    </w:lvl>
    <w:lvl w:ilvl="2" w:tplc="3409001B" w:tentative="1">
      <w:start w:val="1"/>
      <w:numFmt w:val="lowerRoman"/>
      <w:lvlText w:val="%3."/>
      <w:lvlJc w:val="right"/>
      <w:pPr>
        <w:ind w:left="2970" w:hanging="180"/>
      </w:pPr>
    </w:lvl>
    <w:lvl w:ilvl="3" w:tplc="3409000F" w:tentative="1">
      <w:start w:val="1"/>
      <w:numFmt w:val="decimal"/>
      <w:lvlText w:val="%4."/>
      <w:lvlJc w:val="left"/>
      <w:pPr>
        <w:ind w:left="3690" w:hanging="360"/>
      </w:pPr>
    </w:lvl>
    <w:lvl w:ilvl="4" w:tplc="34090019" w:tentative="1">
      <w:start w:val="1"/>
      <w:numFmt w:val="lowerLetter"/>
      <w:lvlText w:val="%5."/>
      <w:lvlJc w:val="left"/>
      <w:pPr>
        <w:ind w:left="4410" w:hanging="360"/>
      </w:pPr>
    </w:lvl>
    <w:lvl w:ilvl="5" w:tplc="3409001B" w:tentative="1">
      <w:start w:val="1"/>
      <w:numFmt w:val="lowerRoman"/>
      <w:lvlText w:val="%6."/>
      <w:lvlJc w:val="right"/>
      <w:pPr>
        <w:ind w:left="5130" w:hanging="180"/>
      </w:pPr>
    </w:lvl>
    <w:lvl w:ilvl="6" w:tplc="3409000F" w:tentative="1">
      <w:start w:val="1"/>
      <w:numFmt w:val="decimal"/>
      <w:lvlText w:val="%7."/>
      <w:lvlJc w:val="left"/>
      <w:pPr>
        <w:ind w:left="5850" w:hanging="360"/>
      </w:pPr>
    </w:lvl>
    <w:lvl w:ilvl="7" w:tplc="34090019" w:tentative="1">
      <w:start w:val="1"/>
      <w:numFmt w:val="lowerLetter"/>
      <w:lvlText w:val="%8."/>
      <w:lvlJc w:val="left"/>
      <w:pPr>
        <w:ind w:left="6570" w:hanging="360"/>
      </w:pPr>
    </w:lvl>
    <w:lvl w:ilvl="8" w:tplc="3409001B" w:tentative="1">
      <w:start w:val="1"/>
      <w:numFmt w:val="lowerRoman"/>
      <w:lvlText w:val="%9."/>
      <w:lvlJc w:val="right"/>
      <w:pPr>
        <w:ind w:left="7290" w:hanging="180"/>
      </w:pPr>
    </w:lvl>
  </w:abstractNum>
  <w:abstractNum w:abstractNumId="12">
    <w:nsid w:val="497833BD"/>
    <w:multiLevelType w:val="hybridMultilevel"/>
    <w:tmpl w:val="5DF03BA8"/>
    <w:lvl w:ilvl="0" w:tplc="1EF29A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3F07582"/>
    <w:multiLevelType w:val="hybridMultilevel"/>
    <w:tmpl w:val="950A1DBE"/>
    <w:lvl w:ilvl="0" w:tplc="36D04AA2">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63B739B7"/>
    <w:multiLevelType w:val="hybridMultilevel"/>
    <w:tmpl w:val="9E1AE912"/>
    <w:lvl w:ilvl="0" w:tplc="04090019">
      <w:start w:val="1"/>
      <w:numFmt w:val="lowerLetter"/>
      <w:lvlText w:val="%1."/>
      <w:lvlJc w:val="left"/>
      <w:pPr>
        <w:ind w:left="4188"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6F105BE"/>
    <w:multiLevelType w:val="hybridMultilevel"/>
    <w:tmpl w:val="F3CA1D9C"/>
    <w:lvl w:ilvl="0" w:tplc="3409000B">
      <w:start w:val="1"/>
      <w:numFmt w:val="bullet"/>
      <w:lvlText w:val=""/>
      <w:lvlJc w:val="left"/>
      <w:pPr>
        <w:ind w:left="5760" w:hanging="360"/>
      </w:pPr>
      <w:rPr>
        <w:rFonts w:ascii="Wingdings" w:hAnsi="Wingdings" w:hint="default"/>
      </w:rPr>
    </w:lvl>
    <w:lvl w:ilvl="1" w:tplc="34090003">
      <w:start w:val="1"/>
      <w:numFmt w:val="bullet"/>
      <w:lvlText w:val="o"/>
      <w:lvlJc w:val="left"/>
      <w:pPr>
        <w:ind w:left="6480" w:hanging="360"/>
      </w:pPr>
      <w:rPr>
        <w:rFonts w:ascii="Courier New" w:hAnsi="Courier New" w:cs="Courier New" w:hint="default"/>
      </w:rPr>
    </w:lvl>
    <w:lvl w:ilvl="2" w:tplc="34090005" w:tentative="1">
      <w:start w:val="1"/>
      <w:numFmt w:val="bullet"/>
      <w:lvlText w:val=""/>
      <w:lvlJc w:val="left"/>
      <w:pPr>
        <w:ind w:left="7200" w:hanging="360"/>
      </w:pPr>
      <w:rPr>
        <w:rFonts w:ascii="Wingdings" w:hAnsi="Wingdings" w:hint="default"/>
      </w:rPr>
    </w:lvl>
    <w:lvl w:ilvl="3" w:tplc="34090001" w:tentative="1">
      <w:start w:val="1"/>
      <w:numFmt w:val="bullet"/>
      <w:lvlText w:val=""/>
      <w:lvlJc w:val="left"/>
      <w:pPr>
        <w:ind w:left="7920" w:hanging="360"/>
      </w:pPr>
      <w:rPr>
        <w:rFonts w:ascii="Symbol" w:hAnsi="Symbol" w:hint="default"/>
      </w:rPr>
    </w:lvl>
    <w:lvl w:ilvl="4" w:tplc="34090003" w:tentative="1">
      <w:start w:val="1"/>
      <w:numFmt w:val="bullet"/>
      <w:lvlText w:val="o"/>
      <w:lvlJc w:val="left"/>
      <w:pPr>
        <w:ind w:left="8640" w:hanging="360"/>
      </w:pPr>
      <w:rPr>
        <w:rFonts w:ascii="Courier New" w:hAnsi="Courier New" w:cs="Courier New" w:hint="default"/>
      </w:rPr>
    </w:lvl>
    <w:lvl w:ilvl="5" w:tplc="34090005" w:tentative="1">
      <w:start w:val="1"/>
      <w:numFmt w:val="bullet"/>
      <w:lvlText w:val=""/>
      <w:lvlJc w:val="left"/>
      <w:pPr>
        <w:ind w:left="9360" w:hanging="360"/>
      </w:pPr>
      <w:rPr>
        <w:rFonts w:ascii="Wingdings" w:hAnsi="Wingdings" w:hint="default"/>
      </w:rPr>
    </w:lvl>
    <w:lvl w:ilvl="6" w:tplc="34090001" w:tentative="1">
      <w:start w:val="1"/>
      <w:numFmt w:val="bullet"/>
      <w:lvlText w:val=""/>
      <w:lvlJc w:val="left"/>
      <w:pPr>
        <w:ind w:left="10080" w:hanging="360"/>
      </w:pPr>
      <w:rPr>
        <w:rFonts w:ascii="Symbol" w:hAnsi="Symbol" w:hint="default"/>
      </w:rPr>
    </w:lvl>
    <w:lvl w:ilvl="7" w:tplc="34090003" w:tentative="1">
      <w:start w:val="1"/>
      <w:numFmt w:val="bullet"/>
      <w:lvlText w:val="o"/>
      <w:lvlJc w:val="left"/>
      <w:pPr>
        <w:ind w:left="10800" w:hanging="360"/>
      </w:pPr>
      <w:rPr>
        <w:rFonts w:ascii="Courier New" w:hAnsi="Courier New" w:cs="Courier New" w:hint="default"/>
      </w:rPr>
    </w:lvl>
    <w:lvl w:ilvl="8" w:tplc="34090005" w:tentative="1">
      <w:start w:val="1"/>
      <w:numFmt w:val="bullet"/>
      <w:lvlText w:val=""/>
      <w:lvlJc w:val="left"/>
      <w:pPr>
        <w:ind w:left="11520" w:hanging="360"/>
      </w:pPr>
      <w:rPr>
        <w:rFonts w:ascii="Wingdings" w:hAnsi="Wingdings" w:hint="default"/>
      </w:rPr>
    </w:lvl>
  </w:abstractNum>
  <w:abstractNum w:abstractNumId="16">
    <w:nsid w:val="69286CE8"/>
    <w:multiLevelType w:val="multilevel"/>
    <w:tmpl w:val="E014DC6E"/>
    <w:lvl w:ilvl="0">
      <w:start w:val="1"/>
      <w:numFmt w:val="lowerLetter"/>
      <w:lvlText w:val="%1."/>
      <w:lvlJc w:val="left"/>
      <w:pPr>
        <w:ind w:left="0" w:firstLine="0"/>
      </w:pPr>
      <w:rPr>
        <w:rFonts w:hint="default"/>
        <w:b/>
        <w:i w:val="0"/>
        <w:color w:val="000000"/>
      </w:rPr>
    </w:lvl>
    <w:lvl w:ilvl="1">
      <w:start w:val="1"/>
      <w:numFmt w:val="decimal"/>
      <w:lvlText w:val="%1.%2."/>
      <w:lvlJc w:val="left"/>
      <w:pPr>
        <w:ind w:left="0" w:firstLine="0"/>
      </w:pPr>
      <w:rPr>
        <w:rFonts w:ascii="Arial" w:hAnsi="Arial" w:cs="Arial" w:hint="default"/>
        <w:b w:val="0"/>
        <w:i w:val="0"/>
        <w:color w:val="000000"/>
        <w:sz w:val="22"/>
        <w:szCs w:val="22"/>
      </w:rPr>
    </w:lvl>
    <w:lvl w:ilvl="2">
      <w:start w:val="1"/>
      <w:numFmt w:val="lowerLetter"/>
      <w:lvlText w:val="%3."/>
      <w:lvlJc w:val="left"/>
      <w:pPr>
        <w:ind w:left="720" w:firstLine="0"/>
      </w:pPr>
      <w:rPr>
        <w:rFonts w:hint="default"/>
        <w:b w:val="0"/>
        <w:sz w:val="22"/>
        <w:szCs w:val="22"/>
      </w:rPr>
    </w:lvl>
    <w:lvl w:ilvl="3">
      <w:start w:val="1"/>
      <w:numFmt w:val="decimal"/>
      <w:lvlText w:val="%3.%4."/>
      <w:lvlJc w:val="left"/>
      <w:pPr>
        <w:ind w:left="1440" w:firstLine="0"/>
      </w:pPr>
      <w:rPr>
        <w:rFonts w:hint="default"/>
        <w:b w:val="0"/>
        <w:i w:val="0"/>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9662A25"/>
    <w:multiLevelType w:val="multilevel"/>
    <w:tmpl w:val="E014DC6E"/>
    <w:lvl w:ilvl="0">
      <w:start w:val="1"/>
      <w:numFmt w:val="lowerLetter"/>
      <w:lvlText w:val="%1."/>
      <w:lvlJc w:val="left"/>
      <w:pPr>
        <w:ind w:left="0" w:firstLine="0"/>
      </w:pPr>
      <w:rPr>
        <w:rFonts w:hint="default"/>
        <w:b/>
        <w:i w:val="0"/>
        <w:color w:val="000000"/>
      </w:rPr>
    </w:lvl>
    <w:lvl w:ilvl="1">
      <w:start w:val="1"/>
      <w:numFmt w:val="decimal"/>
      <w:lvlText w:val="%1.%2."/>
      <w:lvlJc w:val="left"/>
      <w:pPr>
        <w:ind w:left="0" w:firstLine="0"/>
      </w:pPr>
      <w:rPr>
        <w:rFonts w:ascii="Arial" w:hAnsi="Arial" w:cs="Arial" w:hint="default"/>
        <w:b w:val="0"/>
        <w:i w:val="0"/>
        <w:color w:val="000000"/>
        <w:sz w:val="22"/>
        <w:szCs w:val="22"/>
      </w:rPr>
    </w:lvl>
    <w:lvl w:ilvl="2">
      <w:start w:val="1"/>
      <w:numFmt w:val="lowerLetter"/>
      <w:lvlText w:val="%3."/>
      <w:lvlJc w:val="left"/>
      <w:pPr>
        <w:ind w:left="720" w:firstLine="0"/>
      </w:pPr>
      <w:rPr>
        <w:rFonts w:hint="default"/>
        <w:b w:val="0"/>
        <w:sz w:val="22"/>
        <w:szCs w:val="22"/>
      </w:rPr>
    </w:lvl>
    <w:lvl w:ilvl="3">
      <w:start w:val="1"/>
      <w:numFmt w:val="decimal"/>
      <w:lvlText w:val="%3.%4."/>
      <w:lvlJc w:val="left"/>
      <w:pPr>
        <w:ind w:left="1440" w:firstLine="0"/>
      </w:pPr>
      <w:rPr>
        <w:rFonts w:hint="default"/>
        <w:b w:val="0"/>
        <w:i w:val="0"/>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B7C3F9A"/>
    <w:multiLevelType w:val="hybridMultilevel"/>
    <w:tmpl w:val="73F2A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E97EB7"/>
    <w:multiLevelType w:val="multilevel"/>
    <w:tmpl w:val="E014DC6E"/>
    <w:lvl w:ilvl="0">
      <w:start w:val="1"/>
      <w:numFmt w:val="lowerLetter"/>
      <w:lvlText w:val="%1."/>
      <w:lvlJc w:val="left"/>
      <w:pPr>
        <w:ind w:left="0" w:firstLine="0"/>
      </w:pPr>
      <w:rPr>
        <w:rFonts w:hint="default"/>
        <w:b/>
        <w:i w:val="0"/>
        <w:color w:val="000000"/>
      </w:rPr>
    </w:lvl>
    <w:lvl w:ilvl="1">
      <w:start w:val="1"/>
      <w:numFmt w:val="decimal"/>
      <w:lvlText w:val="%1.%2."/>
      <w:lvlJc w:val="left"/>
      <w:pPr>
        <w:ind w:left="0" w:firstLine="0"/>
      </w:pPr>
      <w:rPr>
        <w:rFonts w:ascii="Arial" w:hAnsi="Arial" w:cs="Arial" w:hint="default"/>
        <w:b w:val="0"/>
        <w:i w:val="0"/>
        <w:color w:val="000000"/>
        <w:sz w:val="22"/>
        <w:szCs w:val="22"/>
      </w:rPr>
    </w:lvl>
    <w:lvl w:ilvl="2">
      <w:start w:val="1"/>
      <w:numFmt w:val="lowerLetter"/>
      <w:lvlText w:val="%3."/>
      <w:lvlJc w:val="left"/>
      <w:pPr>
        <w:ind w:left="720" w:firstLine="0"/>
      </w:pPr>
      <w:rPr>
        <w:rFonts w:hint="default"/>
        <w:b w:val="0"/>
        <w:sz w:val="22"/>
        <w:szCs w:val="22"/>
      </w:rPr>
    </w:lvl>
    <w:lvl w:ilvl="3">
      <w:start w:val="1"/>
      <w:numFmt w:val="decimal"/>
      <w:lvlText w:val="%3.%4."/>
      <w:lvlJc w:val="left"/>
      <w:pPr>
        <w:ind w:left="1440" w:firstLine="0"/>
      </w:pPr>
      <w:rPr>
        <w:rFonts w:hint="default"/>
        <w:b w:val="0"/>
        <w:i w:val="0"/>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2A57D1C"/>
    <w:multiLevelType w:val="hybridMultilevel"/>
    <w:tmpl w:val="BADE69F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num>
  <w:num w:numId="2">
    <w:abstractNumId w:val="4"/>
  </w:num>
  <w:num w:numId="3">
    <w:abstractNumId w:val="12"/>
  </w:num>
  <w:num w:numId="4">
    <w:abstractNumId w:val="9"/>
  </w:num>
  <w:num w:numId="5">
    <w:abstractNumId w:val="6"/>
  </w:num>
  <w:num w:numId="6">
    <w:abstractNumId w:val="14"/>
  </w:num>
  <w:num w:numId="7">
    <w:abstractNumId w:val="16"/>
  </w:num>
  <w:num w:numId="8">
    <w:abstractNumId w:val="17"/>
  </w:num>
  <w:num w:numId="9">
    <w:abstractNumId w:val="11"/>
  </w:num>
  <w:num w:numId="10">
    <w:abstractNumId w:val="5"/>
  </w:num>
  <w:num w:numId="11">
    <w:abstractNumId w:val="7"/>
  </w:num>
  <w:num w:numId="12">
    <w:abstractNumId w:val="3"/>
  </w:num>
  <w:num w:numId="13">
    <w:abstractNumId w:val="0"/>
  </w:num>
  <w:num w:numId="14">
    <w:abstractNumId w:val="18"/>
  </w:num>
  <w:num w:numId="15">
    <w:abstractNumId w:val="15"/>
  </w:num>
  <w:num w:numId="16">
    <w:abstractNumId w:val="2"/>
  </w:num>
  <w:num w:numId="17">
    <w:abstractNumId w:val="20"/>
  </w:num>
  <w:num w:numId="18">
    <w:abstractNumId w:val="13"/>
  </w:num>
  <w:num w:numId="19">
    <w:abstractNumId w:val="19"/>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C8"/>
    <w:rsid w:val="0000776F"/>
    <w:rsid w:val="00010DB6"/>
    <w:rsid w:val="0001162A"/>
    <w:rsid w:val="000127A0"/>
    <w:rsid w:val="00012F95"/>
    <w:rsid w:val="000141DC"/>
    <w:rsid w:val="00025FEC"/>
    <w:rsid w:val="00027A1A"/>
    <w:rsid w:val="000376B2"/>
    <w:rsid w:val="00045B41"/>
    <w:rsid w:val="00062861"/>
    <w:rsid w:val="00063790"/>
    <w:rsid w:val="000642F4"/>
    <w:rsid w:val="00073D66"/>
    <w:rsid w:val="00076643"/>
    <w:rsid w:val="00076E79"/>
    <w:rsid w:val="00082E3A"/>
    <w:rsid w:val="00084A71"/>
    <w:rsid w:val="000933BC"/>
    <w:rsid w:val="000937A5"/>
    <w:rsid w:val="00097468"/>
    <w:rsid w:val="000A0DAA"/>
    <w:rsid w:val="000A2731"/>
    <w:rsid w:val="000A38E7"/>
    <w:rsid w:val="000B1AB2"/>
    <w:rsid w:val="000B2FDA"/>
    <w:rsid w:val="000C3538"/>
    <w:rsid w:val="000C40F0"/>
    <w:rsid w:val="000D5B06"/>
    <w:rsid w:val="000E2152"/>
    <w:rsid w:val="000F1256"/>
    <w:rsid w:val="000F733C"/>
    <w:rsid w:val="00100368"/>
    <w:rsid w:val="001041A6"/>
    <w:rsid w:val="0011776E"/>
    <w:rsid w:val="00122F7C"/>
    <w:rsid w:val="0012359E"/>
    <w:rsid w:val="00137D7C"/>
    <w:rsid w:val="0014694B"/>
    <w:rsid w:val="00151676"/>
    <w:rsid w:val="00152FC0"/>
    <w:rsid w:val="00155D8D"/>
    <w:rsid w:val="00164E8C"/>
    <w:rsid w:val="00171EC3"/>
    <w:rsid w:val="001728EA"/>
    <w:rsid w:val="001820A9"/>
    <w:rsid w:val="001B03AB"/>
    <w:rsid w:val="001B09F8"/>
    <w:rsid w:val="001B5809"/>
    <w:rsid w:val="001C4C9A"/>
    <w:rsid w:val="001D5B0F"/>
    <w:rsid w:val="001D6E8E"/>
    <w:rsid w:val="001E38EC"/>
    <w:rsid w:val="001E393D"/>
    <w:rsid w:val="001F0410"/>
    <w:rsid w:val="001F0EA3"/>
    <w:rsid w:val="00244119"/>
    <w:rsid w:val="00252D88"/>
    <w:rsid w:val="0028242E"/>
    <w:rsid w:val="002824C5"/>
    <w:rsid w:val="00283324"/>
    <w:rsid w:val="00284DA7"/>
    <w:rsid w:val="002B1B01"/>
    <w:rsid w:val="002C131E"/>
    <w:rsid w:val="002C39EB"/>
    <w:rsid w:val="002C4E7B"/>
    <w:rsid w:val="002C5A50"/>
    <w:rsid w:val="002E2003"/>
    <w:rsid w:val="002E5718"/>
    <w:rsid w:val="002E6D48"/>
    <w:rsid w:val="002F3F20"/>
    <w:rsid w:val="00300CFB"/>
    <w:rsid w:val="00305C2A"/>
    <w:rsid w:val="00345AA4"/>
    <w:rsid w:val="00352E95"/>
    <w:rsid w:val="00353082"/>
    <w:rsid w:val="00355655"/>
    <w:rsid w:val="00360374"/>
    <w:rsid w:val="003636D7"/>
    <w:rsid w:val="003759A0"/>
    <w:rsid w:val="00375E56"/>
    <w:rsid w:val="0037645A"/>
    <w:rsid w:val="003917AC"/>
    <w:rsid w:val="003930A0"/>
    <w:rsid w:val="003A3E4C"/>
    <w:rsid w:val="003A5021"/>
    <w:rsid w:val="003A5DFC"/>
    <w:rsid w:val="003B18C8"/>
    <w:rsid w:val="003B2D58"/>
    <w:rsid w:val="003B5B2D"/>
    <w:rsid w:val="003E56E5"/>
    <w:rsid w:val="003E6616"/>
    <w:rsid w:val="003F42B4"/>
    <w:rsid w:val="003F61A2"/>
    <w:rsid w:val="004177EE"/>
    <w:rsid w:val="00424394"/>
    <w:rsid w:val="004245A7"/>
    <w:rsid w:val="00435E6A"/>
    <w:rsid w:val="00441D7F"/>
    <w:rsid w:val="00447B23"/>
    <w:rsid w:val="0045363D"/>
    <w:rsid w:val="00474AC8"/>
    <w:rsid w:val="00483000"/>
    <w:rsid w:val="00490FAB"/>
    <w:rsid w:val="004911F2"/>
    <w:rsid w:val="004A19AE"/>
    <w:rsid w:val="004A51FB"/>
    <w:rsid w:val="004B4FEC"/>
    <w:rsid w:val="004B50A9"/>
    <w:rsid w:val="004C11AE"/>
    <w:rsid w:val="004C1225"/>
    <w:rsid w:val="004C18C7"/>
    <w:rsid w:val="004C1C0C"/>
    <w:rsid w:val="004C2282"/>
    <w:rsid w:val="004C2F17"/>
    <w:rsid w:val="004C68B4"/>
    <w:rsid w:val="004C7A75"/>
    <w:rsid w:val="004D57B3"/>
    <w:rsid w:val="004E7BA8"/>
    <w:rsid w:val="004F0ED6"/>
    <w:rsid w:val="00510123"/>
    <w:rsid w:val="00521F6E"/>
    <w:rsid w:val="0052288C"/>
    <w:rsid w:val="00525F19"/>
    <w:rsid w:val="00543E78"/>
    <w:rsid w:val="00544070"/>
    <w:rsid w:val="005478BD"/>
    <w:rsid w:val="005505C0"/>
    <w:rsid w:val="00555874"/>
    <w:rsid w:val="0057486A"/>
    <w:rsid w:val="0059138C"/>
    <w:rsid w:val="00592291"/>
    <w:rsid w:val="005953A2"/>
    <w:rsid w:val="005A1794"/>
    <w:rsid w:val="005B543A"/>
    <w:rsid w:val="005C44B1"/>
    <w:rsid w:val="005F1901"/>
    <w:rsid w:val="005F2A8A"/>
    <w:rsid w:val="005F2E62"/>
    <w:rsid w:val="00602235"/>
    <w:rsid w:val="00617CE2"/>
    <w:rsid w:val="00617F3D"/>
    <w:rsid w:val="00642676"/>
    <w:rsid w:val="0064314D"/>
    <w:rsid w:val="006434A1"/>
    <w:rsid w:val="00647095"/>
    <w:rsid w:val="00667216"/>
    <w:rsid w:val="00674160"/>
    <w:rsid w:val="00674370"/>
    <w:rsid w:val="006A4EA5"/>
    <w:rsid w:val="006B52EE"/>
    <w:rsid w:val="006B5D04"/>
    <w:rsid w:val="006C38E8"/>
    <w:rsid w:val="006D5758"/>
    <w:rsid w:val="006E4BD4"/>
    <w:rsid w:val="006E5BB2"/>
    <w:rsid w:val="006F51A1"/>
    <w:rsid w:val="0070610D"/>
    <w:rsid w:val="00715910"/>
    <w:rsid w:val="00720ECE"/>
    <w:rsid w:val="00721159"/>
    <w:rsid w:val="00722D48"/>
    <w:rsid w:val="007301F9"/>
    <w:rsid w:val="007308AA"/>
    <w:rsid w:val="00730D0C"/>
    <w:rsid w:val="007318E4"/>
    <w:rsid w:val="007409BE"/>
    <w:rsid w:val="007434A5"/>
    <w:rsid w:val="00745D01"/>
    <w:rsid w:val="0075361C"/>
    <w:rsid w:val="00770325"/>
    <w:rsid w:val="00772817"/>
    <w:rsid w:val="00773AFE"/>
    <w:rsid w:val="00775DEC"/>
    <w:rsid w:val="007768D6"/>
    <w:rsid w:val="00781EB6"/>
    <w:rsid w:val="00784ECC"/>
    <w:rsid w:val="007901A2"/>
    <w:rsid w:val="0079319A"/>
    <w:rsid w:val="00794A8E"/>
    <w:rsid w:val="00794FA1"/>
    <w:rsid w:val="007975B3"/>
    <w:rsid w:val="007A548F"/>
    <w:rsid w:val="007B025A"/>
    <w:rsid w:val="007C4EA6"/>
    <w:rsid w:val="007D620F"/>
    <w:rsid w:val="007E18D0"/>
    <w:rsid w:val="007E5CED"/>
    <w:rsid w:val="007F20BC"/>
    <w:rsid w:val="00801762"/>
    <w:rsid w:val="00802CB8"/>
    <w:rsid w:val="00802E85"/>
    <w:rsid w:val="00804CF6"/>
    <w:rsid w:val="00815C82"/>
    <w:rsid w:val="0084467B"/>
    <w:rsid w:val="00854390"/>
    <w:rsid w:val="00860220"/>
    <w:rsid w:val="00862EBE"/>
    <w:rsid w:val="00866FCD"/>
    <w:rsid w:val="008A7B98"/>
    <w:rsid w:val="008B11F5"/>
    <w:rsid w:val="008C7A71"/>
    <w:rsid w:val="008D4B69"/>
    <w:rsid w:val="008F5CBA"/>
    <w:rsid w:val="00901A76"/>
    <w:rsid w:val="00902BD6"/>
    <w:rsid w:val="00903A5E"/>
    <w:rsid w:val="00917A4A"/>
    <w:rsid w:val="0093575A"/>
    <w:rsid w:val="00935CEE"/>
    <w:rsid w:val="009372F6"/>
    <w:rsid w:val="009378FA"/>
    <w:rsid w:val="00955BAB"/>
    <w:rsid w:val="00963DBD"/>
    <w:rsid w:val="00964281"/>
    <w:rsid w:val="00975DCC"/>
    <w:rsid w:val="00995736"/>
    <w:rsid w:val="009A3867"/>
    <w:rsid w:val="009A4F8B"/>
    <w:rsid w:val="009B5E7B"/>
    <w:rsid w:val="009B6923"/>
    <w:rsid w:val="009D13A8"/>
    <w:rsid w:val="009E00FD"/>
    <w:rsid w:val="009E70FA"/>
    <w:rsid w:val="009E715D"/>
    <w:rsid w:val="009F46CB"/>
    <w:rsid w:val="009F56BF"/>
    <w:rsid w:val="00A024F7"/>
    <w:rsid w:val="00A11D29"/>
    <w:rsid w:val="00A14D59"/>
    <w:rsid w:val="00A35E5F"/>
    <w:rsid w:val="00A42CC1"/>
    <w:rsid w:val="00A46080"/>
    <w:rsid w:val="00A51DDB"/>
    <w:rsid w:val="00A55FB9"/>
    <w:rsid w:val="00A62278"/>
    <w:rsid w:val="00A6310E"/>
    <w:rsid w:val="00A6407E"/>
    <w:rsid w:val="00A72CC8"/>
    <w:rsid w:val="00A73000"/>
    <w:rsid w:val="00A769D9"/>
    <w:rsid w:val="00A85B97"/>
    <w:rsid w:val="00A9239B"/>
    <w:rsid w:val="00A942D3"/>
    <w:rsid w:val="00A94897"/>
    <w:rsid w:val="00A94DD6"/>
    <w:rsid w:val="00AA3BB5"/>
    <w:rsid w:val="00AC4708"/>
    <w:rsid w:val="00AD2A23"/>
    <w:rsid w:val="00AD32B9"/>
    <w:rsid w:val="00AD45CD"/>
    <w:rsid w:val="00AE3546"/>
    <w:rsid w:val="00AE6CBD"/>
    <w:rsid w:val="00AF2B0B"/>
    <w:rsid w:val="00B136A6"/>
    <w:rsid w:val="00B24832"/>
    <w:rsid w:val="00B27D20"/>
    <w:rsid w:val="00B306C7"/>
    <w:rsid w:val="00B30AB1"/>
    <w:rsid w:val="00B33041"/>
    <w:rsid w:val="00B53FCD"/>
    <w:rsid w:val="00B53FD9"/>
    <w:rsid w:val="00B573BA"/>
    <w:rsid w:val="00B6232B"/>
    <w:rsid w:val="00B63ED3"/>
    <w:rsid w:val="00B80F08"/>
    <w:rsid w:val="00B836C9"/>
    <w:rsid w:val="00B8436C"/>
    <w:rsid w:val="00BA0F80"/>
    <w:rsid w:val="00BA5B37"/>
    <w:rsid w:val="00BA6DEA"/>
    <w:rsid w:val="00BA7A47"/>
    <w:rsid w:val="00BA7CEB"/>
    <w:rsid w:val="00BB6351"/>
    <w:rsid w:val="00BC3A6C"/>
    <w:rsid w:val="00BD582B"/>
    <w:rsid w:val="00BE1920"/>
    <w:rsid w:val="00BF28A0"/>
    <w:rsid w:val="00C00478"/>
    <w:rsid w:val="00C239B6"/>
    <w:rsid w:val="00C3065B"/>
    <w:rsid w:val="00C430E6"/>
    <w:rsid w:val="00C47B53"/>
    <w:rsid w:val="00C5791B"/>
    <w:rsid w:val="00C67295"/>
    <w:rsid w:val="00C702BF"/>
    <w:rsid w:val="00C7315A"/>
    <w:rsid w:val="00C92847"/>
    <w:rsid w:val="00C97DF3"/>
    <w:rsid w:val="00CA0DCF"/>
    <w:rsid w:val="00CA7638"/>
    <w:rsid w:val="00CB00A3"/>
    <w:rsid w:val="00CB0529"/>
    <w:rsid w:val="00CB6D07"/>
    <w:rsid w:val="00CC57C7"/>
    <w:rsid w:val="00CE0C33"/>
    <w:rsid w:val="00CE6A35"/>
    <w:rsid w:val="00CF147A"/>
    <w:rsid w:val="00D05C53"/>
    <w:rsid w:val="00D21456"/>
    <w:rsid w:val="00D329EB"/>
    <w:rsid w:val="00D35F82"/>
    <w:rsid w:val="00D54F12"/>
    <w:rsid w:val="00D63B74"/>
    <w:rsid w:val="00D814BE"/>
    <w:rsid w:val="00D8393B"/>
    <w:rsid w:val="00D87C79"/>
    <w:rsid w:val="00D91773"/>
    <w:rsid w:val="00D975F7"/>
    <w:rsid w:val="00DA6BC7"/>
    <w:rsid w:val="00DA7766"/>
    <w:rsid w:val="00DB009B"/>
    <w:rsid w:val="00DB1FE6"/>
    <w:rsid w:val="00DC1305"/>
    <w:rsid w:val="00DC39B8"/>
    <w:rsid w:val="00DC4B32"/>
    <w:rsid w:val="00DE1E24"/>
    <w:rsid w:val="00DE33FD"/>
    <w:rsid w:val="00E0410B"/>
    <w:rsid w:val="00E1224A"/>
    <w:rsid w:val="00E138A7"/>
    <w:rsid w:val="00E2021D"/>
    <w:rsid w:val="00E30116"/>
    <w:rsid w:val="00E33D66"/>
    <w:rsid w:val="00E359F9"/>
    <w:rsid w:val="00E41173"/>
    <w:rsid w:val="00E51DFD"/>
    <w:rsid w:val="00E55BDE"/>
    <w:rsid w:val="00E55EC9"/>
    <w:rsid w:val="00E64C19"/>
    <w:rsid w:val="00E672B4"/>
    <w:rsid w:val="00E777D8"/>
    <w:rsid w:val="00E815CD"/>
    <w:rsid w:val="00E8361D"/>
    <w:rsid w:val="00E91A80"/>
    <w:rsid w:val="00E93158"/>
    <w:rsid w:val="00E94A8C"/>
    <w:rsid w:val="00EA186C"/>
    <w:rsid w:val="00EA3E2C"/>
    <w:rsid w:val="00EA7B4A"/>
    <w:rsid w:val="00EB18EF"/>
    <w:rsid w:val="00EC71FF"/>
    <w:rsid w:val="00ED1E20"/>
    <w:rsid w:val="00ED6196"/>
    <w:rsid w:val="00ED7D0B"/>
    <w:rsid w:val="00F043CF"/>
    <w:rsid w:val="00F05760"/>
    <w:rsid w:val="00F05AB7"/>
    <w:rsid w:val="00F34A6A"/>
    <w:rsid w:val="00F36C93"/>
    <w:rsid w:val="00F43F1B"/>
    <w:rsid w:val="00F45F8D"/>
    <w:rsid w:val="00F50607"/>
    <w:rsid w:val="00F50B87"/>
    <w:rsid w:val="00F5514F"/>
    <w:rsid w:val="00F6602C"/>
    <w:rsid w:val="00F8148E"/>
    <w:rsid w:val="00F82815"/>
    <w:rsid w:val="00F82C4E"/>
    <w:rsid w:val="00F92579"/>
    <w:rsid w:val="00F9397F"/>
    <w:rsid w:val="00F96B75"/>
    <w:rsid w:val="00FC0CFB"/>
    <w:rsid w:val="00FD2BCD"/>
    <w:rsid w:val="00FD4026"/>
    <w:rsid w:val="00FD5382"/>
    <w:rsid w:val="00FE0018"/>
    <w:rsid w:val="00FE471E"/>
    <w:rsid w:val="00FE630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AD3F9"/>
  <w15:docId w15:val="{F6FEAD7C-5A3F-4791-9261-1AAA2427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C8"/>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A72CC8"/>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A72CC8"/>
    <w:pPr>
      <w:spacing w:after="0" w:line="240" w:lineRule="auto"/>
    </w:pPr>
    <w:rPr>
      <w:rFonts w:ascii="Calibri" w:eastAsia="Calibri" w:hAnsi="Calibri" w:cs="Calibri"/>
      <w:sz w:val="20"/>
      <w:szCs w:val="20"/>
      <w:lang w:eastAsia="en-P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A72CC8"/>
    <w:pPr>
      <w:spacing w:after="0" w:line="240" w:lineRule="auto"/>
    </w:pPr>
    <w:rPr>
      <w:rFonts w:ascii="Calibri" w:eastAsia="Calibri" w:hAnsi="Calibri" w:cs="Times New Roman"/>
      <w:lang w:eastAsia="en-PH"/>
    </w:rPr>
  </w:style>
  <w:style w:type="character" w:styleId="Strong">
    <w:name w:val="Strong"/>
    <w:uiPriority w:val="22"/>
    <w:qFormat/>
    <w:rsid w:val="00A72CC8"/>
    <w:rPr>
      <w:b/>
      <w:bCs/>
    </w:rPr>
  </w:style>
  <w:style w:type="character" w:customStyle="1" w:styleId="NoSpacingChar">
    <w:name w:val="No Spacing Char"/>
    <w:link w:val="NoSpacing"/>
    <w:rsid w:val="00A72CC8"/>
    <w:rPr>
      <w:rFonts w:ascii="Calibri" w:eastAsia="Calibri" w:hAnsi="Calibri" w:cs="Times New Roman"/>
      <w:lang w:eastAsia="en-PH"/>
    </w:rPr>
  </w:style>
  <w:style w:type="character" w:customStyle="1" w:styleId="ListParagraphChar">
    <w:name w:val="List Paragraph Char"/>
    <w:aliases w:val="Resume Title Char"/>
    <w:link w:val="ListParagraph"/>
    <w:uiPriority w:val="34"/>
    <w:rsid w:val="00A72CC8"/>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A72CC8"/>
    <w:pPr>
      <w:spacing w:after="0" w:line="24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A72CC8"/>
    <w:rPr>
      <w:rFonts w:ascii="Times New Roman" w:eastAsia="Calibri" w:hAnsi="Times New Roman" w:cs="Times New Roman"/>
      <w:sz w:val="24"/>
      <w:szCs w:val="24"/>
      <w:lang w:val="en-US"/>
    </w:rPr>
  </w:style>
  <w:style w:type="character" w:styleId="CommentReference">
    <w:name w:val="annotation reference"/>
    <w:rsid w:val="00A72CC8"/>
    <w:rPr>
      <w:sz w:val="16"/>
      <w:szCs w:val="16"/>
    </w:rPr>
  </w:style>
  <w:style w:type="paragraph" w:styleId="CommentText">
    <w:name w:val="annotation text"/>
    <w:basedOn w:val="Normal"/>
    <w:link w:val="CommentTextChar"/>
    <w:rsid w:val="00A72CC8"/>
    <w:rPr>
      <w:rFonts w:cs="Times New Roman"/>
      <w:sz w:val="20"/>
      <w:szCs w:val="20"/>
    </w:rPr>
  </w:style>
  <w:style w:type="character" w:customStyle="1" w:styleId="CommentTextChar">
    <w:name w:val="Comment Text Char"/>
    <w:basedOn w:val="DefaultParagraphFont"/>
    <w:link w:val="CommentText"/>
    <w:rsid w:val="00A72CC8"/>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A72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CC8"/>
    <w:rPr>
      <w:rFonts w:ascii="Tahoma" w:eastAsia="Calibri" w:hAnsi="Tahoma" w:cs="Tahoma"/>
      <w:sz w:val="16"/>
      <w:szCs w:val="16"/>
      <w:lang w:val="en-US"/>
    </w:rPr>
  </w:style>
  <w:style w:type="paragraph" w:styleId="Header">
    <w:name w:val="header"/>
    <w:basedOn w:val="Normal"/>
    <w:link w:val="HeaderChar"/>
    <w:uiPriority w:val="99"/>
    <w:unhideWhenUsed/>
    <w:rsid w:val="00F43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F1B"/>
    <w:rPr>
      <w:rFonts w:ascii="Calibri" w:eastAsia="Calibri" w:hAnsi="Calibri" w:cs="Calibri"/>
      <w:lang w:val="en-US"/>
    </w:rPr>
  </w:style>
  <w:style w:type="paragraph" w:styleId="Footer">
    <w:name w:val="footer"/>
    <w:basedOn w:val="Normal"/>
    <w:link w:val="FooterChar"/>
    <w:uiPriority w:val="99"/>
    <w:unhideWhenUsed/>
    <w:rsid w:val="00F43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F1B"/>
    <w:rPr>
      <w:rFonts w:ascii="Calibri" w:eastAsia="Calibri" w:hAnsi="Calibri" w:cs="Calibri"/>
      <w:lang w:val="en-US"/>
    </w:rPr>
  </w:style>
  <w:style w:type="paragraph" w:styleId="CommentSubject">
    <w:name w:val="annotation subject"/>
    <w:basedOn w:val="CommentText"/>
    <w:next w:val="CommentText"/>
    <w:link w:val="CommentSubjectChar"/>
    <w:uiPriority w:val="99"/>
    <w:semiHidden/>
    <w:unhideWhenUsed/>
    <w:rsid w:val="00CF147A"/>
    <w:pPr>
      <w:spacing w:line="240" w:lineRule="auto"/>
    </w:pPr>
    <w:rPr>
      <w:rFonts w:cs="Calibri"/>
      <w:b/>
      <w:bCs/>
    </w:rPr>
  </w:style>
  <w:style w:type="character" w:customStyle="1" w:styleId="CommentSubjectChar">
    <w:name w:val="Comment Subject Char"/>
    <w:basedOn w:val="CommentTextChar"/>
    <w:link w:val="CommentSubject"/>
    <w:uiPriority w:val="99"/>
    <w:semiHidden/>
    <w:rsid w:val="00CF147A"/>
    <w:rPr>
      <w:rFonts w:ascii="Calibri" w:eastAsia="Calibri" w:hAnsi="Calibri" w:cs="Calibri"/>
      <w:b/>
      <w:bCs/>
      <w:sz w:val="20"/>
      <w:szCs w:val="20"/>
      <w:lang w:val="en-US"/>
    </w:rPr>
  </w:style>
  <w:style w:type="paragraph" w:styleId="Revision">
    <w:name w:val="Revision"/>
    <w:hidden/>
    <w:uiPriority w:val="99"/>
    <w:semiHidden/>
    <w:rsid w:val="00FC0CFB"/>
    <w:pPr>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983521">
      <w:bodyDiv w:val="1"/>
      <w:marLeft w:val="0"/>
      <w:marRight w:val="0"/>
      <w:marTop w:val="0"/>
      <w:marBottom w:val="0"/>
      <w:divBdr>
        <w:top w:val="none" w:sz="0" w:space="0" w:color="auto"/>
        <w:left w:val="none" w:sz="0" w:space="0" w:color="auto"/>
        <w:bottom w:val="none" w:sz="0" w:space="0" w:color="auto"/>
        <w:right w:val="none" w:sz="0" w:space="0" w:color="auto"/>
      </w:divBdr>
    </w:div>
    <w:div w:id="828981767">
      <w:bodyDiv w:val="1"/>
      <w:marLeft w:val="0"/>
      <w:marRight w:val="0"/>
      <w:marTop w:val="0"/>
      <w:marBottom w:val="0"/>
      <w:divBdr>
        <w:top w:val="none" w:sz="0" w:space="0" w:color="auto"/>
        <w:left w:val="none" w:sz="0" w:space="0" w:color="auto"/>
        <w:bottom w:val="none" w:sz="0" w:space="0" w:color="auto"/>
        <w:right w:val="none" w:sz="0" w:space="0" w:color="auto"/>
      </w:divBdr>
    </w:div>
    <w:div w:id="904026633">
      <w:bodyDiv w:val="1"/>
      <w:marLeft w:val="0"/>
      <w:marRight w:val="0"/>
      <w:marTop w:val="0"/>
      <w:marBottom w:val="0"/>
      <w:divBdr>
        <w:top w:val="none" w:sz="0" w:space="0" w:color="auto"/>
        <w:left w:val="none" w:sz="0" w:space="0" w:color="auto"/>
        <w:bottom w:val="none" w:sz="0" w:space="0" w:color="auto"/>
        <w:right w:val="none" w:sz="0" w:space="0" w:color="auto"/>
      </w:divBdr>
    </w:div>
    <w:div w:id="1070688899">
      <w:bodyDiv w:val="1"/>
      <w:marLeft w:val="0"/>
      <w:marRight w:val="0"/>
      <w:marTop w:val="0"/>
      <w:marBottom w:val="0"/>
      <w:divBdr>
        <w:top w:val="none" w:sz="0" w:space="0" w:color="auto"/>
        <w:left w:val="none" w:sz="0" w:space="0" w:color="auto"/>
        <w:bottom w:val="none" w:sz="0" w:space="0" w:color="auto"/>
        <w:right w:val="none" w:sz="0" w:space="0" w:color="auto"/>
      </w:divBdr>
    </w:div>
    <w:div w:id="210255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DF97D-E1BB-4E4A-BEB1-EB7C188C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40</Pages>
  <Words>15759</Words>
  <Characters>89827</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Maula, Kent Lloyd E.</dc:creator>
  <cp:lastModifiedBy>GSIS</cp:lastModifiedBy>
  <cp:revision>52</cp:revision>
  <cp:lastPrinted>2020-08-19T02:19:00Z</cp:lastPrinted>
  <dcterms:created xsi:type="dcterms:W3CDTF">2020-07-23T16:53:00Z</dcterms:created>
  <dcterms:modified xsi:type="dcterms:W3CDTF">2020-08-20T03:11:00Z</dcterms:modified>
</cp:coreProperties>
</file>