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ind w:left="0" w:firstLine="0"/>
        <w:jc w:val="center"/>
        <w:rPr>
          <w:rFonts w:ascii="Arial" w:hAnsi="Arial" w:cs="Arial"/>
          <w:b/>
          <w:sz w:val="22"/>
          <w:szCs w:val="22"/>
        </w:rPr>
      </w:pPr>
      <w:bookmarkStart w:id="0" w:name="_GoBack"/>
      <w:bookmarkEnd w:id="0"/>
      <w:r>
        <w:rPr>
          <w:rFonts w:ascii="Arial" w:hAnsi="Arial" w:cs="Arial"/>
          <w:b/>
          <w:sz w:val="22"/>
          <w:szCs w:val="22"/>
        </w:rPr>
        <w:t>AFP RETIREMENT AND SEPARATION BENEFITS SYSTEM</w:t>
      </w:r>
    </w:p>
    <w:p>
      <w:pPr>
        <w:widowControl w:val="0"/>
        <w:ind w:left="0" w:firstLine="0"/>
        <w:jc w:val="center"/>
        <w:rPr>
          <w:rFonts w:ascii="Arial" w:hAnsi="Arial" w:cs="Arial"/>
          <w:b/>
          <w:sz w:val="22"/>
          <w:szCs w:val="22"/>
        </w:rPr>
      </w:pPr>
      <w:r>
        <w:rPr>
          <w:rFonts w:ascii="Arial" w:hAnsi="Arial" w:cs="Arial"/>
          <w:b/>
          <w:sz w:val="22"/>
          <w:szCs w:val="22"/>
        </w:rPr>
        <w:t>NOTES TO FINANCIAL STATEMENTS</w:t>
      </w:r>
    </w:p>
    <w:p>
      <w:pPr>
        <w:widowControl w:val="0"/>
        <w:ind w:left="0" w:firstLine="0"/>
        <w:jc w:val="center"/>
        <w:rPr>
          <w:rFonts w:ascii="Arial" w:hAnsi="Arial" w:cs="Arial"/>
          <w:sz w:val="22"/>
          <w:szCs w:val="22"/>
        </w:rPr>
      </w:pPr>
      <w:r>
        <w:rPr>
          <w:rFonts w:ascii="Arial" w:hAnsi="Arial" w:cs="Arial"/>
          <w:sz w:val="22"/>
          <w:szCs w:val="22"/>
        </w:rPr>
        <w:t xml:space="preserve"> (All amounts in Philippine Peso unless otherwise stated)</w:t>
      </w:r>
    </w:p>
    <w:p>
      <w:pPr>
        <w:widowControl w:val="0"/>
        <w:ind w:left="0" w:firstLine="0"/>
        <w:rPr>
          <w:rFonts w:ascii="Arial" w:hAnsi="Arial" w:cs="Arial"/>
          <w:sz w:val="22"/>
          <w:szCs w:val="22"/>
        </w:rPr>
      </w:pPr>
    </w:p>
    <w:p>
      <w:pPr>
        <w:widowControl w:val="0"/>
        <w:ind w:left="0" w:firstLine="0"/>
        <w:rPr>
          <w:rFonts w:ascii="Arial" w:hAnsi="Arial" w:cs="Arial"/>
          <w:sz w:val="22"/>
          <w:szCs w:val="22"/>
        </w:rPr>
      </w:pPr>
    </w:p>
    <w:p>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Pr>
          <w:rFonts w:ascii="Arial" w:hAnsi="Arial" w:cs="Arial"/>
          <w:szCs w:val="22"/>
        </w:rPr>
        <w:t>GENERAL INFORMATION</w:t>
      </w:r>
    </w:p>
    <w:p>
      <w:pPr>
        <w:widowControl w:val="0"/>
        <w:ind w:left="0" w:firstLine="0"/>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Armed Forces of the Philippines Retirement and Separation Benefits System (AFPRSBS or the “System” for brevity) was created and duly organized under and by virtue of Presidential Decree (PD) No. 361 which was promulgated on December 30, 1973.  It was established as a funding mechanism to ensure the continuous payment of retirement and separation benefits due to the members of the AFP. The System formally started its operations in 1976. To further strengthen the viability of its operations, certain provisions of PD No. 361 pertaining to membership and rate of contributions were amended by PD No. 1656 dated December 21, 1979 and PD No. 1909 dated March 22, 1984.</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Board of Liquidators (BOL), consisting of 11 members with the AFP Chief of Staff as Chairman, is the policy making body of the System. The President/Chief Executive Officer, as well as the Executive Vice President/Chief Operating Officer, takes charge of the day to day affairs of the organization.  As at December 31, 2017, the System has 73 regular employees, 24 casual employees, 19 contractual personnel and 6 Project-hired or a total workforce of 122 personnel.</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financial statements of the System as of and for the year ended December 31, 2017 (including the comparative financial statements as of and for the year ended December 31, 2016) were authorized and approved for issue on March 22, 2018.</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registered business and office address of the System is at No. 424 Capinpin Avenue, Camp General Emilio Aguinaldo, Quezon City. It has no other offices within and outside the Philippines, except for a Satellite Office located at No. 70, Commission Civil Street corner Lincoln Street, Jaro, Iloilo City.</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p>
    <w:p>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Pr>
          <w:rFonts w:ascii="Arial" w:hAnsi="Arial" w:cs="Arial"/>
          <w:szCs w:val="22"/>
        </w:rPr>
        <w:t>STATUS OF OPERATIONS</w:t>
      </w:r>
    </w:p>
    <w:p>
      <w:pPr>
        <w:widowControl w:val="0"/>
        <w:ind w:left="0" w:firstLine="0"/>
        <w:jc w:val="both"/>
        <w:rPr>
          <w:rFonts w:ascii="Arial" w:hAnsi="Arial" w:cs="Arial"/>
          <w:b/>
          <w:sz w:val="22"/>
          <w:szCs w:val="22"/>
        </w:rPr>
      </w:pPr>
    </w:p>
    <w:p>
      <w:pPr>
        <w:widowControl w:val="0"/>
        <w:ind w:left="0" w:firstLine="0"/>
        <w:jc w:val="both"/>
        <w:rPr>
          <w:rFonts w:ascii="Arial" w:hAnsi="Arial" w:cs="Arial"/>
          <w:sz w:val="22"/>
          <w:szCs w:val="22"/>
        </w:rPr>
      </w:pPr>
      <w:r>
        <w:rPr>
          <w:rFonts w:ascii="Arial" w:hAnsi="Arial" w:cs="Arial"/>
          <w:sz w:val="22"/>
          <w:szCs w:val="22"/>
        </w:rPr>
        <w:t xml:space="preserve">The System is engaged in various business operations to include the management of funds invested in the stock market, money market, treasury bills, government and corporate bonds, corporate loans, consumer/member loans, real estate properties, and equity holdings in subsidiaries and affiliates.  It also has interests and participation in real estate projects involving the development and construction of commercial and subdivision projects, memorial parks, golf courses, and, for some, in partnership with reputable real estate developers. In the course of its lending operations, the System also acquires through foreclosure proceedings and </w:t>
      </w:r>
      <w:r>
        <w:rPr>
          <w:rFonts w:ascii="Arial" w:hAnsi="Arial" w:cs="Arial"/>
          <w:i/>
          <w:sz w:val="22"/>
          <w:szCs w:val="22"/>
        </w:rPr>
        <w:t>dacion en pago</w:t>
      </w:r>
      <w:r>
        <w:rPr>
          <w:rFonts w:ascii="Arial" w:hAnsi="Arial" w:cs="Arial"/>
          <w:sz w:val="22"/>
          <w:szCs w:val="22"/>
        </w:rPr>
        <w:t xml:space="preserve"> arrangements mortgaged real estate properties as payment for the full or partial settlement of the loan obligations of the borrowers. The inventory of developed lots, condominium units, and acquired assets are being offered for sale to the military personnel and to the public as well.</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lastRenderedPageBreak/>
        <w:t>The operations of the System have been affected, and may continue to be affected, for the foreseeable future by the adverse conditions in the local and global economy characterized by the behavior of the stock market and low yield on financial instruments.  For the year 2017, sales of real estate properties declined from the previous years.  The disposal of some of the assets is still hindered by the unavailability of the titles in the name of the System, some legal cases, and presence of illegal tenants on some of the raw lands that were acquired. As a result, the projected profits and returns from these ventures may not be fully realized. Related effects of adverse conditions, if any, will be reported in the financial statements, as they become known and measurable.</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Management is implementing measures which are geared towards reducing operational costs, generating profits, and ensuring liquidity to meet the System’s commitments to its customers, suppliers and stakeholders, and at the same time strengthen the overall financial position of the System.</w:t>
      </w:r>
    </w:p>
    <w:p>
      <w:pPr>
        <w:widowControl w:val="0"/>
        <w:ind w:left="0" w:firstLine="0"/>
        <w:jc w:val="both"/>
        <w:rPr>
          <w:rFonts w:ascii="Arial" w:hAnsi="Arial" w:cs="Arial"/>
          <w:sz w:val="22"/>
          <w:szCs w:val="22"/>
        </w:rPr>
      </w:pPr>
    </w:p>
    <w:p>
      <w:pPr>
        <w:pStyle w:val="ListParagraph"/>
        <w:widowControl w:val="0"/>
        <w:tabs>
          <w:tab w:val="left" w:pos="720"/>
        </w:tabs>
        <w:ind w:left="0" w:firstLine="0"/>
        <w:jc w:val="both"/>
        <w:rPr>
          <w:rFonts w:ascii="Arial" w:hAnsi="Arial" w:cs="Arial"/>
          <w:sz w:val="22"/>
          <w:szCs w:val="22"/>
        </w:rPr>
      </w:pPr>
      <w:r>
        <w:rPr>
          <w:rFonts w:ascii="Arial" w:hAnsi="Arial" w:cs="Arial"/>
          <w:sz w:val="22"/>
          <w:szCs w:val="22"/>
        </w:rPr>
        <w:t xml:space="preserve">On April 8, 2016, Memorandum Order (MO) No. 90, s. 2016 was issued by the Office of the President of the Philippines directing the abolition of the System, privatization of its subsidiaries, and for other purposes. The System was directed under Section 3 of the said MO to: (a) cease collecting members’ contributions and accrual of interest thereon upon effectivity of the Order; (b) maintain such number of personnel necessary to wind-down its corporate affairs and cease the hiring of new personnel unless approved by the Governance Commission for Government Owned and Controlled Corporations (GCG); (c) collect all indebtedness due to the System; (d) continue a Corporate Operating Budget; (e) for its Board of Trustees (BOT) to act as BOL; (f) enter into contracts for the purpose of selling all its real estate assets, golf and country club shares; manage, preserve and maintain its buildings, facilities and equipment in line with the winding down activities; complete deliverables to subdivisions, and turn over completed subdivisions, and maintenance and preservation of existing projects and properties; (g) pursue activities necessary to perfect ownership of its real estate assets; (h) continue, abrogate, and/or re-negotiate existing Joint Venture (JV) Agreements/Contracts, subject to the revised National Economic and Development Authority JV Guidelines; and (i) maintain full power to sue and file complaints for the protection of the rights and interests of the corporation. </w:t>
      </w:r>
    </w:p>
    <w:p>
      <w:pPr>
        <w:widowControl w:val="0"/>
        <w:tabs>
          <w:tab w:val="left" w:pos="5145"/>
        </w:tabs>
        <w:ind w:left="0" w:firstLine="0"/>
        <w:jc w:val="both"/>
        <w:rPr>
          <w:rFonts w:ascii="Arial" w:hAnsi="Arial" w:cs="Arial"/>
          <w:sz w:val="22"/>
          <w:szCs w:val="22"/>
        </w:rPr>
      </w:pPr>
      <w:r>
        <w:rPr>
          <w:rFonts w:ascii="Arial" w:hAnsi="Arial" w:cs="Arial"/>
          <w:sz w:val="22"/>
          <w:szCs w:val="22"/>
        </w:rPr>
        <w:tab/>
      </w:r>
    </w:p>
    <w:p>
      <w:pPr>
        <w:pStyle w:val="ListParagraph"/>
        <w:widowControl w:val="0"/>
        <w:tabs>
          <w:tab w:val="left" w:pos="720"/>
        </w:tabs>
        <w:ind w:left="0" w:firstLine="0"/>
        <w:jc w:val="both"/>
        <w:rPr>
          <w:rFonts w:ascii="Arial" w:hAnsi="Arial" w:cs="Arial"/>
          <w:sz w:val="22"/>
          <w:szCs w:val="22"/>
        </w:rPr>
      </w:pPr>
      <w:r>
        <w:rPr>
          <w:rFonts w:ascii="Arial" w:hAnsi="Arial" w:cs="Arial"/>
          <w:sz w:val="22"/>
          <w:szCs w:val="22"/>
        </w:rPr>
        <w:t>To implement the provisions of MO No. 90, the GCG shall be assisted by a Technical Working Group composed of representatives from the Department of National Defense, Department of Finance (DOF), Department of Budget and Management, Privatization Management Office, the System, and the AFP.</w:t>
      </w:r>
    </w:p>
    <w:p>
      <w:pPr>
        <w:pStyle w:val="ListParagraph"/>
        <w:widowControl w:val="0"/>
        <w:tabs>
          <w:tab w:val="left" w:pos="720"/>
        </w:tabs>
        <w:ind w:left="0" w:firstLine="0"/>
        <w:jc w:val="both"/>
        <w:rPr>
          <w:rFonts w:ascii="Arial" w:hAnsi="Arial" w:cs="Arial"/>
          <w:sz w:val="22"/>
          <w:szCs w:val="22"/>
        </w:rPr>
      </w:pPr>
    </w:p>
    <w:p>
      <w:pPr>
        <w:pStyle w:val="ListParagraph"/>
        <w:widowControl w:val="0"/>
        <w:tabs>
          <w:tab w:val="left" w:pos="720"/>
        </w:tabs>
        <w:ind w:left="0" w:firstLine="0"/>
        <w:jc w:val="both"/>
        <w:rPr>
          <w:rFonts w:ascii="Arial" w:hAnsi="Arial" w:cs="Arial"/>
          <w:sz w:val="22"/>
          <w:szCs w:val="22"/>
        </w:rPr>
      </w:pPr>
      <w:r>
        <w:rPr>
          <w:rFonts w:ascii="Arial" w:hAnsi="Arial" w:cs="Arial"/>
          <w:sz w:val="22"/>
          <w:szCs w:val="22"/>
        </w:rPr>
        <w:t xml:space="preserve">On April 19, 2016, pursuant to the above MO, the System’s BOT already convened as BOL. The BOL approved in that meeting the stoppage of the collection of five per cent members’ contributions and the accrual of interest on members’ contributions effective March 31, 2016 as per Board Resolution No. SPL-01-2016. In the same meeting, the BOL also approved the continuance of the implementation of discounting of refund of Advance Refund Program to retiring military personnel with approved Order of Retirement from the AFP until the final closure of the System.  </w:t>
      </w:r>
    </w:p>
    <w:p>
      <w:pPr>
        <w:pStyle w:val="ListParagraph"/>
        <w:widowControl w:val="0"/>
        <w:tabs>
          <w:tab w:val="left" w:pos="720"/>
        </w:tabs>
        <w:ind w:left="0" w:firstLine="0"/>
        <w:jc w:val="both"/>
        <w:rPr>
          <w:rFonts w:ascii="Arial" w:hAnsi="Arial" w:cs="Arial"/>
          <w:sz w:val="22"/>
          <w:szCs w:val="22"/>
        </w:rPr>
      </w:pPr>
    </w:p>
    <w:p>
      <w:pPr>
        <w:pStyle w:val="ListParagraph"/>
        <w:widowControl w:val="0"/>
        <w:tabs>
          <w:tab w:val="left" w:pos="720"/>
        </w:tabs>
        <w:ind w:left="0" w:firstLine="0"/>
        <w:jc w:val="both"/>
        <w:rPr>
          <w:rFonts w:ascii="Arial" w:hAnsi="Arial" w:cs="Arial"/>
          <w:sz w:val="22"/>
          <w:szCs w:val="22"/>
        </w:rPr>
      </w:pPr>
      <w:r>
        <w:rPr>
          <w:rFonts w:ascii="Arial" w:hAnsi="Arial" w:cs="Arial"/>
          <w:sz w:val="22"/>
          <w:szCs w:val="22"/>
        </w:rPr>
        <w:t xml:space="preserve">On November 06, 2017, the GCG approved the divestment of the following equity shares and real estate properties of the System as an interim measure in order to </w:t>
      </w:r>
      <w:r>
        <w:rPr>
          <w:rFonts w:ascii="Arial" w:hAnsi="Arial" w:cs="Arial"/>
          <w:sz w:val="22"/>
          <w:szCs w:val="22"/>
        </w:rPr>
        <w:lastRenderedPageBreak/>
        <w:t>expedite the liquidation process pending the System’s submission of its amended Winding down Plan:</w:t>
      </w:r>
    </w:p>
    <w:p>
      <w:pPr>
        <w:pStyle w:val="ListParagraph"/>
        <w:widowControl w:val="0"/>
        <w:tabs>
          <w:tab w:val="left" w:pos="720"/>
        </w:tabs>
        <w:ind w:left="0" w:firstLine="0"/>
        <w:jc w:val="both"/>
        <w:rPr>
          <w:rFonts w:ascii="Arial" w:hAnsi="Arial" w:cs="Arial"/>
          <w:sz w:val="22"/>
          <w:szCs w:val="22"/>
        </w:rPr>
      </w:pPr>
    </w:p>
    <w:p>
      <w:pPr>
        <w:pStyle w:val="ListParagraph"/>
        <w:widowControl w:val="0"/>
        <w:tabs>
          <w:tab w:val="left" w:pos="720"/>
        </w:tabs>
        <w:ind w:left="0" w:firstLine="0"/>
        <w:jc w:val="both"/>
        <w:rPr>
          <w:rFonts w:ascii="Arial" w:hAnsi="Arial" w:cs="Arial"/>
          <w:sz w:val="22"/>
          <w:szCs w:val="22"/>
          <w:u w:val="single"/>
        </w:rPr>
      </w:pPr>
      <w:r>
        <w:rPr>
          <w:rFonts w:ascii="Arial" w:hAnsi="Arial" w:cs="Arial"/>
          <w:sz w:val="22"/>
          <w:szCs w:val="22"/>
          <w:u w:val="single"/>
        </w:rPr>
        <w:t>Equity Shares:</w:t>
      </w:r>
    </w:p>
    <w:p>
      <w:pPr>
        <w:pStyle w:val="ListParagraph"/>
        <w:widowControl w:val="0"/>
        <w:tabs>
          <w:tab w:val="left" w:pos="720"/>
        </w:tabs>
        <w:ind w:left="0" w:firstLine="0"/>
        <w:jc w:val="both"/>
        <w:rPr>
          <w:rFonts w:ascii="Arial" w:hAnsi="Arial" w:cs="Arial"/>
          <w:sz w:val="22"/>
          <w:szCs w:val="22"/>
        </w:rPr>
      </w:pPr>
    </w:p>
    <w:p>
      <w:pPr>
        <w:pStyle w:val="ListParagraph"/>
        <w:widowControl w:val="0"/>
        <w:numPr>
          <w:ilvl w:val="3"/>
          <w:numId w:val="1"/>
        </w:numPr>
        <w:tabs>
          <w:tab w:val="clear" w:pos="2160"/>
          <w:tab w:val="left" w:pos="720"/>
        </w:tabs>
        <w:ind w:left="0" w:firstLine="0"/>
        <w:jc w:val="both"/>
        <w:rPr>
          <w:rFonts w:ascii="Arial" w:hAnsi="Arial" w:cs="Arial"/>
          <w:sz w:val="22"/>
          <w:szCs w:val="22"/>
        </w:rPr>
      </w:pPr>
      <w:r>
        <w:rPr>
          <w:rFonts w:ascii="Arial" w:hAnsi="Arial" w:cs="Arial"/>
          <w:sz w:val="22"/>
          <w:szCs w:val="22"/>
        </w:rPr>
        <w:t>Monterrosa Development Corporation (MDC)</w:t>
      </w:r>
    </w:p>
    <w:p>
      <w:pPr>
        <w:pStyle w:val="ListParagraph"/>
        <w:widowControl w:val="0"/>
        <w:numPr>
          <w:ilvl w:val="3"/>
          <w:numId w:val="1"/>
        </w:numPr>
        <w:tabs>
          <w:tab w:val="clear" w:pos="2160"/>
          <w:tab w:val="left" w:pos="720"/>
        </w:tabs>
        <w:ind w:left="0" w:firstLine="0"/>
        <w:jc w:val="both"/>
        <w:rPr>
          <w:rFonts w:ascii="Arial" w:hAnsi="Arial" w:cs="Arial"/>
          <w:sz w:val="22"/>
          <w:szCs w:val="22"/>
        </w:rPr>
      </w:pPr>
      <w:r>
        <w:rPr>
          <w:rFonts w:ascii="Arial" w:hAnsi="Arial" w:cs="Arial"/>
          <w:sz w:val="22"/>
          <w:szCs w:val="22"/>
        </w:rPr>
        <w:t>Southern Utility Management and Services, Inc. (SUMSI)</w:t>
      </w:r>
    </w:p>
    <w:p>
      <w:pPr>
        <w:pStyle w:val="ListParagraph"/>
        <w:widowControl w:val="0"/>
        <w:tabs>
          <w:tab w:val="left" w:pos="720"/>
        </w:tabs>
        <w:ind w:left="1728" w:firstLine="0"/>
        <w:jc w:val="both"/>
        <w:rPr>
          <w:rFonts w:ascii="Arial" w:hAnsi="Arial" w:cs="Arial"/>
          <w:sz w:val="22"/>
          <w:szCs w:val="22"/>
        </w:rPr>
      </w:pPr>
      <w:r>
        <w:rPr>
          <w:rFonts w:ascii="Arial" w:hAnsi="Arial" w:cs="Arial"/>
          <w:sz w:val="22"/>
          <w:szCs w:val="22"/>
        </w:rPr>
        <w:tab/>
      </w:r>
    </w:p>
    <w:p>
      <w:pPr>
        <w:pStyle w:val="ListParagraph"/>
        <w:widowControl w:val="0"/>
        <w:tabs>
          <w:tab w:val="left" w:pos="0"/>
        </w:tabs>
        <w:ind w:left="0" w:firstLine="0"/>
        <w:jc w:val="both"/>
        <w:rPr>
          <w:rFonts w:ascii="Arial" w:hAnsi="Arial" w:cs="Arial"/>
          <w:sz w:val="22"/>
          <w:szCs w:val="22"/>
          <w:u w:val="single"/>
        </w:rPr>
      </w:pPr>
      <w:r>
        <w:rPr>
          <w:rFonts w:ascii="Arial" w:hAnsi="Arial" w:cs="Arial"/>
          <w:sz w:val="22"/>
          <w:szCs w:val="22"/>
          <w:u w:val="single"/>
        </w:rPr>
        <w:t>Real Estate Properties:</w:t>
      </w:r>
    </w:p>
    <w:p>
      <w:pPr>
        <w:pStyle w:val="ListParagraph"/>
        <w:widowControl w:val="0"/>
        <w:tabs>
          <w:tab w:val="left" w:pos="0"/>
        </w:tabs>
        <w:ind w:left="0" w:firstLine="0"/>
        <w:jc w:val="both"/>
        <w:rPr>
          <w:rFonts w:ascii="Arial" w:hAnsi="Arial" w:cs="Arial"/>
          <w:sz w:val="22"/>
          <w:szCs w:val="22"/>
          <w:u w:val="single"/>
        </w:rPr>
      </w:pPr>
    </w:p>
    <w:p>
      <w:pPr>
        <w:pStyle w:val="ListParagraph"/>
        <w:widowControl w:val="0"/>
        <w:numPr>
          <w:ilvl w:val="3"/>
          <w:numId w:val="16"/>
        </w:numPr>
        <w:tabs>
          <w:tab w:val="clear" w:pos="2160"/>
          <w:tab w:val="left" w:pos="720"/>
          <w:tab w:val="num" w:pos="1440"/>
        </w:tabs>
        <w:ind w:left="1440" w:hanging="1440"/>
        <w:jc w:val="both"/>
        <w:rPr>
          <w:rFonts w:ascii="Arial" w:hAnsi="Arial" w:cs="Arial"/>
          <w:sz w:val="22"/>
          <w:szCs w:val="22"/>
        </w:rPr>
      </w:pPr>
      <w:r>
        <w:rPr>
          <w:rFonts w:ascii="Arial" w:hAnsi="Arial" w:cs="Arial"/>
          <w:sz w:val="22"/>
          <w:szCs w:val="22"/>
        </w:rPr>
        <w:t>Lots 6B/6C/6D at Aseana City, Roxas Boulevard, Paranaque City</w:t>
      </w:r>
    </w:p>
    <w:p>
      <w:pPr>
        <w:pStyle w:val="ListParagraph"/>
        <w:widowControl w:val="0"/>
        <w:numPr>
          <w:ilvl w:val="3"/>
          <w:numId w:val="16"/>
        </w:numPr>
        <w:tabs>
          <w:tab w:val="clear" w:pos="2160"/>
          <w:tab w:val="left" w:pos="720"/>
        </w:tabs>
        <w:ind w:left="0" w:firstLine="0"/>
        <w:jc w:val="both"/>
        <w:rPr>
          <w:rFonts w:ascii="Arial" w:hAnsi="Arial" w:cs="Arial"/>
          <w:sz w:val="22"/>
          <w:szCs w:val="22"/>
        </w:rPr>
      </w:pPr>
      <w:r>
        <w:rPr>
          <w:rFonts w:ascii="Arial" w:hAnsi="Arial" w:cs="Arial"/>
          <w:sz w:val="22"/>
          <w:szCs w:val="22"/>
        </w:rPr>
        <w:t>Lot 6E at Aseana City, Roxas Boulevard, Paranaque City</w:t>
      </w:r>
    </w:p>
    <w:p>
      <w:pPr>
        <w:pStyle w:val="ListParagraph"/>
        <w:widowControl w:val="0"/>
        <w:numPr>
          <w:ilvl w:val="3"/>
          <w:numId w:val="16"/>
        </w:numPr>
        <w:tabs>
          <w:tab w:val="clear" w:pos="2160"/>
          <w:tab w:val="left" w:pos="720"/>
        </w:tabs>
        <w:ind w:left="0" w:firstLine="0"/>
        <w:jc w:val="both"/>
        <w:rPr>
          <w:rFonts w:ascii="Arial" w:hAnsi="Arial" w:cs="Arial"/>
          <w:sz w:val="22"/>
          <w:szCs w:val="22"/>
        </w:rPr>
      </w:pPr>
      <w:r>
        <w:rPr>
          <w:rFonts w:ascii="Arial" w:hAnsi="Arial" w:cs="Arial"/>
          <w:sz w:val="22"/>
          <w:szCs w:val="22"/>
        </w:rPr>
        <w:t>Lots 1979-I and 1981-A located at Sta. Rosa City, Laguna</w:t>
      </w:r>
    </w:p>
    <w:p>
      <w:pPr>
        <w:pStyle w:val="ListParagraph"/>
        <w:widowControl w:val="0"/>
        <w:numPr>
          <w:ilvl w:val="3"/>
          <w:numId w:val="16"/>
        </w:numPr>
        <w:tabs>
          <w:tab w:val="clear" w:pos="2160"/>
          <w:tab w:val="left" w:pos="720"/>
        </w:tabs>
        <w:ind w:left="0" w:firstLine="0"/>
        <w:jc w:val="both"/>
        <w:rPr>
          <w:rFonts w:ascii="Arial" w:hAnsi="Arial" w:cs="Arial"/>
          <w:sz w:val="22"/>
          <w:szCs w:val="22"/>
        </w:rPr>
      </w:pPr>
      <w:r>
        <w:rPr>
          <w:rFonts w:ascii="Arial" w:hAnsi="Arial" w:cs="Arial"/>
          <w:sz w:val="22"/>
          <w:szCs w:val="22"/>
        </w:rPr>
        <w:t>Calubcob property located at Silang City, Cavite</w:t>
      </w:r>
    </w:p>
    <w:p>
      <w:pPr>
        <w:pStyle w:val="ListParagraph"/>
        <w:widowControl w:val="0"/>
        <w:numPr>
          <w:ilvl w:val="3"/>
          <w:numId w:val="16"/>
        </w:numPr>
        <w:tabs>
          <w:tab w:val="clear" w:pos="2160"/>
          <w:tab w:val="left" w:pos="720"/>
        </w:tabs>
        <w:ind w:left="0" w:firstLine="0"/>
        <w:jc w:val="both"/>
        <w:rPr>
          <w:rFonts w:ascii="Arial" w:hAnsi="Arial" w:cs="Arial"/>
          <w:sz w:val="22"/>
          <w:szCs w:val="22"/>
        </w:rPr>
      </w:pPr>
      <w:r>
        <w:rPr>
          <w:rFonts w:ascii="Arial" w:hAnsi="Arial" w:cs="Arial"/>
          <w:sz w:val="22"/>
          <w:szCs w:val="22"/>
        </w:rPr>
        <w:t>Phase 2 of Green Meadows Iloilo Project</w:t>
      </w:r>
    </w:p>
    <w:p>
      <w:pPr>
        <w:pStyle w:val="BodyText"/>
        <w:tabs>
          <w:tab w:val="left" w:pos="3582"/>
        </w:tabs>
        <w:ind w:left="72" w:right="72"/>
        <w:rPr>
          <w:sz w:val="22"/>
          <w:szCs w:val="22"/>
        </w:rPr>
      </w:pPr>
      <w:r>
        <w:rPr>
          <w:sz w:val="22"/>
          <w:szCs w:val="22"/>
        </w:rPr>
        <w:t xml:space="preserve">     </w:t>
      </w:r>
    </w:p>
    <w:p>
      <w:pPr>
        <w:pStyle w:val="BodyText"/>
        <w:tabs>
          <w:tab w:val="left" w:pos="3582"/>
        </w:tabs>
        <w:ind w:left="0" w:right="72" w:hanging="288"/>
        <w:rPr>
          <w:sz w:val="22"/>
          <w:szCs w:val="22"/>
        </w:rPr>
      </w:pPr>
      <w:r>
        <w:rPr>
          <w:sz w:val="22"/>
          <w:szCs w:val="22"/>
        </w:rPr>
        <w:t xml:space="preserve">     All the Real Estate Projects, except for the Calubcob property were successfully bidded - out in 2018.  The System’s Board of Liquidators approved the award of sale of the following properties on March 22, 2018 to the highest complying bidders: </w:t>
      </w:r>
    </w:p>
    <w:p>
      <w:pPr>
        <w:pStyle w:val="BodyText"/>
        <w:tabs>
          <w:tab w:val="left" w:pos="3582"/>
        </w:tabs>
        <w:ind w:left="0" w:right="72" w:hanging="288"/>
        <w:rPr>
          <w:sz w:val="22"/>
          <w:szCs w:val="22"/>
        </w:rPr>
      </w:pPr>
      <w:r>
        <w:rPr>
          <w:sz w:val="22"/>
          <w:szCs w:val="22"/>
        </w:rPr>
        <w:tab/>
      </w:r>
      <w:r>
        <w:rPr>
          <w:sz w:val="22"/>
          <w:szCs w:val="22"/>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256"/>
        <w:gridCol w:w="2844"/>
      </w:tblGrid>
      <w:tr>
        <w:tc>
          <w:tcPr>
            <w:tcW w:w="5796" w:type="dxa"/>
            <w:gridSpan w:val="2"/>
            <w:tcBorders>
              <w:top w:val="single" w:sz="4" w:space="0" w:color="auto"/>
              <w:bottom w:val="single" w:sz="4" w:space="0" w:color="auto"/>
            </w:tcBorders>
          </w:tcPr>
          <w:p>
            <w:pPr>
              <w:pStyle w:val="BodyText"/>
              <w:tabs>
                <w:tab w:val="left" w:pos="3582"/>
              </w:tabs>
              <w:ind w:left="0" w:right="72" w:firstLine="0"/>
              <w:jc w:val="center"/>
              <w:rPr>
                <w:b/>
                <w:sz w:val="22"/>
                <w:szCs w:val="22"/>
              </w:rPr>
            </w:pPr>
            <w:r>
              <w:rPr>
                <w:b/>
                <w:noProof/>
                <w:sz w:val="22"/>
                <w:szCs w:val="22"/>
              </w:rPr>
              <w:t>Real Estate Assets for Auction</w:t>
            </w:r>
          </w:p>
        </w:tc>
        <w:tc>
          <w:tcPr>
            <w:tcW w:w="2844" w:type="dxa"/>
            <w:tcBorders>
              <w:top w:val="single" w:sz="4" w:space="0" w:color="auto"/>
              <w:bottom w:val="single" w:sz="4" w:space="0" w:color="auto"/>
            </w:tcBorders>
          </w:tcPr>
          <w:p>
            <w:pPr>
              <w:pStyle w:val="BodyText"/>
              <w:tabs>
                <w:tab w:val="left" w:pos="3582"/>
              </w:tabs>
              <w:ind w:left="0" w:right="72" w:firstLine="0"/>
              <w:jc w:val="center"/>
              <w:rPr>
                <w:b/>
                <w:sz w:val="22"/>
                <w:szCs w:val="22"/>
              </w:rPr>
            </w:pPr>
            <w:r>
              <w:rPr>
                <w:b/>
                <w:noProof/>
                <w:sz w:val="22"/>
                <w:szCs w:val="22"/>
              </w:rPr>
              <w:t>Award of Sale</w:t>
            </w:r>
          </w:p>
        </w:tc>
      </w:tr>
      <w:tr>
        <w:tc>
          <w:tcPr>
            <w:tcW w:w="540" w:type="dxa"/>
            <w:tcBorders>
              <w:top w:val="single" w:sz="4" w:space="0" w:color="auto"/>
            </w:tcBorders>
          </w:tcPr>
          <w:p>
            <w:pPr>
              <w:pStyle w:val="BodyText"/>
              <w:tabs>
                <w:tab w:val="left" w:pos="3582"/>
              </w:tabs>
              <w:ind w:left="0" w:right="72" w:firstLine="0"/>
              <w:rPr>
                <w:sz w:val="22"/>
                <w:szCs w:val="22"/>
              </w:rPr>
            </w:pPr>
            <w:r>
              <w:rPr>
                <w:sz w:val="22"/>
                <w:szCs w:val="22"/>
              </w:rPr>
              <w:t>1.</w:t>
            </w:r>
          </w:p>
        </w:tc>
        <w:tc>
          <w:tcPr>
            <w:tcW w:w="5256" w:type="dxa"/>
            <w:tcBorders>
              <w:top w:val="single" w:sz="4" w:space="0" w:color="auto"/>
            </w:tcBorders>
          </w:tcPr>
          <w:p>
            <w:pPr>
              <w:pStyle w:val="BodyText"/>
              <w:tabs>
                <w:tab w:val="left" w:pos="3582"/>
              </w:tabs>
              <w:ind w:left="0" w:right="72" w:firstLine="0"/>
              <w:rPr>
                <w:sz w:val="22"/>
                <w:szCs w:val="22"/>
              </w:rPr>
            </w:pPr>
            <w:r>
              <w:rPr>
                <w:noProof/>
                <w:sz w:val="22"/>
                <w:szCs w:val="22"/>
              </w:rPr>
              <w:t xml:space="preserve">Green Meadows Iloilo                                      </w:t>
            </w:r>
          </w:p>
        </w:tc>
        <w:tc>
          <w:tcPr>
            <w:tcW w:w="2844" w:type="dxa"/>
            <w:tcBorders>
              <w:top w:val="single" w:sz="4" w:space="0" w:color="auto"/>
            </w:tcBorders>
          </w:tcPr>
          <w:p>
            <w:pPr>
              <w:pStyle w:val="BodyText"/>
              <w:tabs>
                <w:tab w:val="left" w:pos="3582"/>
              </w:tabs>
              <w:ind w:left="0" w:right="72" w:firstLine="0"/>
              <w:jc w:val="right"/>
              <w:rPr>
                <w:sz w:val="22"/>
                <w:szCs w:val="22"/>
              </w:rPr>
            </w:pPr>
            <w:r>
              <w:rPr>
                <w:sz w:val="22"/>
                <w:szCs w:val="22"/>
              </w:rPr>
              <w:t>P     1,251,000,000</w:t>
            </w:r>
          </w:p>
        </w:tc>
      </w:tr>
      <w:tr>
        <w:tc>
          <w:tcPr>
            <w:tcW w:w="540" w:type="dxa"/>
          </w:tcPr>
          <w:p>
            <w:pPr>
              <w:pStyle w:val="BodyText"/>
              <w:tabs>
                <w:tab w:val="left" w:pos="3582"/>
              </w:tabs>
              <w:ind w:left="0" w:right="72" w:firstLine="0"/>
              <w:rPr>
                <w:sz w:val="22"/>
                <w:szCs w:val="22"/>
              </w:rPr>
            </w:pPr>
            <w:r>
              <w:rPr>
                <w:sz w:val="22"/>
                <w:szCs w:val="22"/>
              </w:rPr>
              <w:t>2.</w:t>
            </w:r>
          </w:p>
        </w:tc>
        <w:tc>
          <w:tcPr>
            <w:tcW w:w="5256" w:type="dxa"/>
          </w:tcPr>
          <w:p>
            <w:pPr>
              <w:pStyle w:val="BodyText"/>
              <w:tabs>
                <w:tab w:val="left" w:pos="3582"/>
              </w:tabs>
              <w:ind w:left="0" w:right="72" w:firstLine="0"/>
              <w:rPr>
                <w:noProof/>
                <w:sz w:val="22"/>
                <w:szCs w:val="22"/>
              </w:rPr>
            </w:pPr>
            <w:r>
              <w:rPr>
                <w:noProof/>
                <w:sz w:val="22"/>
                <w:szCs w:val="22"/>
              </w:rPr>
              <w:t xml:space="preserve">Lot 1979-I, Sta. Rosa, Laguna                                     </w:t>
            </w:r>
          </w:p>
        </w:tc>
        <w:tc>
          <w:tcPr>
            <w:tcW w:w="2844" w:type="dxa"/>
          </w:tcPr>
          <w:p>
            <w:pPr>
              <w:pStyle w:val="BodyText"/>
              <w:tabs>
                <w:tab w:val="left" w:pos="3582"/>
              </w:tabs>
              <w:ind w:left="0" w:right="72" w:firstLine="0"/>
              <w:jc w:val="right"/>
              <w:rPr>
                <w:sz w:val="22"/>
                <w:szCs w:val="22"/>
              </w:rPr>
            </w:pPr>
            <w:r>
              <w:rPr>
                <w:sz w:val="22"/>
                <w:szCs w:val="22"/>
              </w:rPr>
              <w:t>23,641,200</w:t>
            </w:r>
          </w:p>
        </w:tc>
      </w:tr>
      <w:tr>
        <w:tc>
          <w:tcPr>
            <w:tcW w:w="540" w:type="dxa"/>
          </w:tcPr>
          <w:p>
            <w:pPr>
              <w:pStyle w:val="BodyText"/>
              <w:tabs>
                <w:tab w:val="left" w:pos="3582"/>
              </w:tabs>
              <w:ind w:left="0" w:right="72" w:firstLine="0"/>
              <w:rPr>
                <w:sz w:val="22"/>
                <w:szCs w:val="22"/>
              </w:rPr>
            </w:pPr>
            <w:r>
              <w:rPr>
                <w:sz w:val="22"/>
                <w:szCs w:val="22"/>
              </w:rPr>
              <w:t>3.</w:t>
            </w:r>
          </w:p>
        </w:tc>
        <w:tc>
          <w:tcPr>
            <w:tcW w:w="5256" w:type="dxa"/>
          </w:tcPr>
          <w:p>
            <w:pPr>
              <w:pStyle w:val="BodyText"/>
              <w:tabs>
                <w:tab w:val="left" w:pos="3582"/>
              </w:tabs>
              <w:ind w:left="0" w:right="72" w:firstLine="0"/>
              <w:rPr>
                <w:noProof/>
                <w:sz w:val="22"/>
                <w:szCs w:val="22"/>
              </w:rPr>
            </w:pPr>
            <w:r>
              <w:rPr>
                <w:noProof/>
                <w:sz w:val="22"/>
                <w:szCs w:val="22"/>
              </w:rPr>
              <w:t xml:space="preserve">Lot 1981-A, Sta. Rosa, Laguna                                   </w:t>
            </w:r>
          </w:p>
        </w:tc>
        <w:tc>
          <w:tcPr>
            <w:tcW w:w="2844" w:type="dxa"/>
          </w:tcPr>
          <w:p>
            <w:pPr>
              <w:pStyle w:val="BodyText"/>
              <w:tabs>
                <w:tab w:val="left" w:pos="3582"/>
              </w:tabs>
              <w:ind w:left="0" w:right="72" w:firstLine="0"/>
              <w:jc w:val="right"/>
              <w:rPr>
                <w:sz w:val="22"/>
                <w:szCs w:val="22"/>
              </w:rPr>
            </w:pPr>
            <w:r>
              <w:rPr>
                <w:sz w:val="22"/>
                <w:szCs w:val="22"/>
              </w:rPr>
              <w:t>10,500,000</w:t>
            </w:r>
          </w:p>
        </w:tc>
      </w:tr>
      <w:tr>
        <w:tc>
          <w:tcPr>
            <w:tcW w:w="540" w:type="dxa"/>
          </w:tcPr>
          <w:p>
            <w:pPr>
              <w:pStyle w:val="BodyText"/>
              <w:tabs>
                <w:tab w:val="left" w:pos="3582"/>
              </w:tabs>
              <w:ind w:left="0" w:right="72" w:firstLine="0"/>
              <w:rPr>
                <w:sz w:val="22"/>
                <w:szCs w:val="22"/>
              </w:rPr>
            </w:pPr>
            <w:r>
              <w:rPr>
                <w:sz w:val="22"/>
                <w:szCs w:val="22"/>
              </w:rPr>
              <w:t>4.</w:t>
            </w:r>
          </w:p>
        </w:tc>
        <w:tc>
          <w:tcPr>
            <w:tcW w:w="5256" w:type="dxa"/>
          </w:tcPr>
          <w:p>
            <w:pPr>
              <w:pStyle w:val="BodyText"/>
              <w:tabs>
                <w:tab w:val="left" w:pos="3582"/>
              </w:tabs>
              <w:ind w:left="0" w:right="72" w:firstLine="0"/>
              <w:rPr>
                <w:noProof/>
                <w:sz w:val="22"/>
                <w:szCs w:val="22"/>
              </w:rPr>
            </w:pPr>
            <w:r>
              <w:rPr>
                <w:noProof/>
                <w:sz w:val="22"/>
                <w:szCs w:val="22"/>
              </w:rPr>
              <w:t xml:space="preserve">Lots 6B/6C/6D, Aseana City                                   </w:t>
            </w:r>
          </w:p>
        </w:tc>
        <w:tc>
          <w:tcPr>
            <w:tcW w:w="2844" w:type="dxa"/>
          </w:tcPr>
          <w:p>
            <w:pPr>
              <w:pStyle w:val="BodyText"/>
              <w:tabs>
                <w:tab w:val="left" w:pos="3582"/>
              </w:tabs>
              <w:ind w:left="0" w:right="72" w:firstLine="0"/>
              <w:jc w:val="right"/>
              <w:rPr>
                <w:sz w:val="22"/>
                <w:szCs w:val="22"/>
              </w:rPr>
            </w:pPr>
            <w:r>
              <w:rPr>
                <w:sz w:val="22"/>
                <w:szCs w:val="22"/>
              </w:rPr>
              <w:t>3,316,509,038</w:t>
            </w:r>
          </w:p>
        </w:tc>
      </w:tr>
      <w:tr>
        <w:tc>
          <w:tcPr>
            <w:tcW w:w="540" w:type="dxa"/>
            <w:tcBorders>
              <w:bottom w:val="single" w:sz="4" w:space="0" w:color="auto"/>
            </w:tcBorders>
          </w:tcPr>
          <w:p>
            <w:pPr>
              <w:pStyle w:val="BodyText"/>
              <w:tabs>
                <w:tab w:val="left" w:pos="3582"/>
              </w:tabs>
              <w:ind w:left="0" w:right="72" w:firstLine="0"/>
              <w:rPr>
                <w:sz w:val="22"/>
                <w:szCs w:val="22"/>
              </w:rPr>
            </w:pPr>
            <w:r>
              <w:rPr>
                <w:sz w:val="22"/>
                <w:szCs w:val="22"/>
              </w:rPr>
              <w:t>5.</w:t>
            </w:r>
          </w:p>
        </w:tc>
        <w:tc>
          <w:tcPr>
            <w:tcW w:w="5256" w:type="dxa"/>
            <w:tcBorders>
              <w:bottom w:val="single" w:sz="4" w:space="0" w:color="auto"/>
            </w:tcBorders>
          </w:tcPr>
          <w:p>
            <w:pPr>
              <w:pStyle w:val="BodyText"/>
              <w:tabs>
                <w:tab w:val="left" w:pos="3582"/>
              </w:tabs>
              <w:ind w:left="0" w:right="72" w:firstLine="0"/>
              <w:rPr>
                <w:noProof/>
                <w:sz w:val="22"/>
                <w:szCs w:val="22"/>
              </w:rPr>
            </w:pPr>
            <w:r>
              <w:rPr>
                <w:noProof/>
                <w:sz w:val="22"/>
                <w:szCs w:val="22"/>
              </w:rPr>
              <w:t xml:space="preserve">Lot 6E, Aseana City                                               </w:t>
            </w:r>
          </w:p>
        </w:tc>
        <w:tc>
          <w:tcPr>
            <w:tcW w:w="2844" w:type="dxa"/>
            <w:tcBorders>
              <w:bottom w:val="single" w:sz="4" w:space="0" w:color="auto"/>
            </w:tcBorders>
          </w:tcPr>
          <w:p>
            <w:pPr>
              <w:pStyle w:val="BodyText"/>
              <w:tabs>
                <w:tab w:val="left" w:pos="3582"/>
              </w:tabs>
              <w:ind w:left="0" w:right="72" w:firstLine="0"/>
              <w:jc w:val="right"/>
              <w:rPr>
                <w:sz w:val="22"/>
                <w:szCs w:val="22"/>
              </w:rPr>
            </w:pPr>
            <w:r>
              <w:rPr>
                <w:sz w:val="22"/>
                <w:szCs w:val="22"/>
              </w:rPr>
              <w:t>1,794,344,509</w:t>
            </w:r>
          </w:p>
        </w:tc>
      </w:tr>
      <w:tr>
        <w:tc>
          <w:tcPr>
            <w:tcW w:w="5796" w:type="dxa"/>
            <w:gridSpan w:val="2"/>
            <w:tcBorders>
              <w:top w:val="single" w:sz="4" w:space="0" w:color="auto"/>
              <w:bottom w:val="single" w:sz="4" w:space="0" w:color="auto"/>
            </w:tcBorders>
          </w:tcPr>
          <w:p>
            <w:pPr>
              <w:pStyle w:val="BodyText"/>
              <w:tabs>
                <w:tab w:val="left" w:pos="3582"/>
              </w:tabs>
              <w:ind w:left="0" w:right="72" w:firstLine="0"/>
              <w:rPr>
                <w:b/>
                <w:noProof/>
                <w:sz w:val="22"/>
                <w:szCs w:val="22"/>
              </w:rPr>
            </w:pPr>
            <w:r>
              <w:rPr>
                <w:b/>
                <w:noProof/>
                <w:sz w:val="22"/>
                <w:szCs w:val="22"/>
              </w:rPr>
              <w:t>Total</w:t>
            </w:r>
          </w:p>
        </w:tc>
        <w:tc>
          <w:tcPr>
            <w:tcW w:w="2844" w:type="dxa"/>
            <w:tcBorders>
              <w:top w:val="single" w:sz="4" w:space="0" w:color="auto"/>
              <w:bottom w:val="single" w:sz="4" w:space="0" w:color="auto"/>
            </w:tcBorders>
          </w:tcPr>
          <w:p>
            <w:pPr>
              <w:pStyle w:val="BodyText"/>
              <w:tabs>
                <w:tab w:val="left" w:pos="3582"/>
              </w:tabs>
              <w:ind w:left="0" w:right="72" w:firstLine="0"/>
              <w:jc w:val="right"/>
              <w:rPr>
                <w:b/>
                <w:sz w:val="22"/>
                <w:szCs w:val="22"/>
              </w:rPr>
            </w:pPr>
            <w:r>
              <w:rPr>
                <w:b/>
                <w:sz w:val="22"/>
                <w:szCs w:val="22"/>
              </w:rPr>
              <w:t>P    6,395,994,747</w:t>
            </w:r>
          </w:p>
        </w:tc>
      </w:tr>
    </w:tbl>
    <w:p>
      <w:pPr>
        <w:pStyle w:val="BodyText"/>
        <w:tabs>
          <w:tab w:val="left" w:pos="3582"/>
        </w:tabs>
        <w:ind w:left="0" w:right="72" w:hanging="288"/>
        <w:rPr>
          <w:sz w:val="22"/>
          <w:szCs w:val="22"/>
        </w:rPr>
      </w:pPr>
    </w:p>
    <w:p>
      <w:pPr>
        <w:ind w:left="0" w:firstLine="0"/>
        <w:jc w:val="both"/>
        <w:rPr>
          <w:noProof/>
        </w:rPr>
      </w:pPr>
      <w:r>
        <w:rPr>
          <w:rFonts w:ascii="Arial" w:hAnsi="Arial" w:cs="Arial"/>
          <w:noProof/>
          <w:sz w:val="22"/>
          <w:szCs w:val="22"/>
        </w:rPr>
        <w:t>The foregoing assets are payable in cash within 30 days except for Green Meadows Iloilo which is payable in three years at an interest rate of four per cent per annum</w:t>
      </w:r>
      <w:r>
        <w:rPr>
          <w:noProof/>
        </w:rPr>
        <w:t>.</w:t>
      </w:r>
    </w:p>
    <w:p>
      <w:pPr>
        <w:pStyle w:val="BodyText"/>
        <w:tabs>
          <w:tab w:val="left" w:pos="3582"/>
        </w:tabs>
        <w:ind w:left="0" w:right="72" w:hanging="288"/>
        <w:rPr>
          <w:sz w:val="22"/>
          <w:szCs w:val="22"/>
        </w:rPr>
      </w:pPr>
    </w:p>
    <w:p>
      <w:pPr>
        <w:pStyle w:val="BodyText"/>
        <w:tabs>
          <w:tab w:val="left" w:pos="3582"/>
        </w:tabs>
        <w:ind w:left="0" w:right="72" w:hanging="288"/>
        <w:rPr>
          <w:sz w:val="22"/>
          <w:szCs w:val="22"/>
        </w:rPr>
      </w:pPr>
      <w:r>
        <w:rPr>
          <w:sz w:val="22"/>
          <w:szCs w:val="22"/>
        </w:rPr>
        <w:t xml:space="preserve"> </w:t>
      </w:r>
      <w:r>
        <w:rPr>
          <w:sz w:val="22"/>
          <w:szCs w:val="22"/>
        </w:rPr>
        <w:tab/>
        <w:t xml:space="preserve">For the Equity Shares, the bidding process for SUMSI has also started.  The minimum bid price at which the shares of SUMSI are to be sold is pegged at P30 million. </w:t>
      </w:r>
    </w:p>
    <w:p>
      <w:pPr>
        <w:pStyle w:val="BodyText"/>
        <w:tabs>
          <w:tab w:val="left" w:pos="3582"/>
        </w:tabs>
        <w:ind w:left="72" w:right="72"/>
        <w:rPr>
          <w:sz w:val="22"/>
          <w:szCs w:val="22"/>
        </w:rPr>
      </w:pPr>
    </w:p>
    <w:p>
      <w:pPr>
        <w:widowControl w:val="0"/>
        <w:ind w:left="0" w:firstLine="0"/>
        <w:jc w:val="both"/>
        <w:rPr>
          <w:rFonts w:ascii="Arial" w:hAnsi="Arial" w:cs="Arial"/>
          <w:sz w:val="22"/>
          <w:szCs w:val="22"/>
        </w:rPr>
      </w:pPr>
      <w:r>
        <w:rPr>
          <w:rFonts w:ascii="Arial" w:hAnsi="Arial" w:cs="Arial"/>
          <w:sz w:val="22"/>
          <w:szCs w:val="22"/>
        </w:rPr>
        <w:t>The financial statements have been prepared on a going-concern basis assuming that the System will continue operating in the normal course of business, and do not include any adjustments relating to the recoverability of asset carrying values or the amount of liabilities that might result should the System be unable to continue operating in the normal course of business.  The normal operation is geared towards the winding down objective of disposal/liquidation of the assets.</w:t>
      </w:r>
    </w:p>
    <w:p>
      <w:pPr>
        <w:widowControl w:val="0"/>
        <w:tabs>
          <w:tab w:val="left" w:pos="7200"/>
        </w:tabs>
        <w:ind w:left="0" w:firstLine="0"/>
        <w:jc w:val="both"/>
        <w:rPr>
          <w:rFonts w:ascii="Arial" w:hAnsi="Arial" w:cs="Arial"/>
          <w:sz w:val="22"/>
          <w:szCs w:val="22"/>
        </w:rPr>
      </w:pPr>
    </w:p>
    <w:p>
      <w:pPr>
        <w:widowControl w:val="0"/>
        <w:tabs>
          <w:tab w:val="left" w:pos="7200"/>
        </w:tabs>
        <w:ind w:left="0" w:firstLine="0"/>
        <w:jc w:val="both"/>
        <w:rPr>
          <w:rFonts w:ascii="Arial" w:hAnsi="Arial" w:cs="Arial"/>
          <w:sz w:val="22"/>
          <w:szCs w:val="22"/>
        </w:rPr>
      </w:pPr>
    </w:p>
    <w:p>
      <w:pPr>
        <w:pStyle w:val="Heading1"/>
        <w:keepNext w:val="0"/>
        <w:widowControl w:val="0"/>
        <w:numPr>
          <w:ilvl w:val="0"/>
          <w:numId w:val="1"/>
        </w:numPr>
        <w:tabs>
          <w:tab w:val="clear" w:pos="360"/>
          <w:tab w:val="clear" w:pos="432"/>
          <w:tab w:val="clear" w:pos="864"/>
        </w:tabs>
        <w:spacing w:line="240" w:lineRule="auto"/>
        <w:ind w:left="0" w:firstLine="0"/>
        <w:rPr>
          <w:rFonts w:ascii="Arial" w:hAnsi="Arial" w:cs="Arial"/>
          <w:szCs w:val="22"/>
        </w:rPr>
      </w:pPr>
      <w:r>
        <w:rPr>
          <w:rFonts w:ascii="Arial" w:hAnsi="Arial" w:cs="Arial"/>
          <w:szCs w:val="22"/>
        </w:rPr>
        <w:t>SUMMARY OF SIGNIFICANT ACCOUNTING POLICIES</w:t>
      </w:r>
    </w:p>
    <w:p>
      <w:pPr>
        <w:widowControl w:val="0"/>
        <w:tabs>
          <w:tab w:val="left" w:pos="1485"/>
        </w:tabs>
        <w:ind w:left="0" w:firstLine="0"/>
        <w:rPr>
          <w:rFonts w:ascii="Arial" w:hAnsi="Arial" w:cs="Arial"/>
          <w:b/>
          <w:sz w:val="22"/>
          <w:szCs w:val="22"/>
        </w:rPr>
      </w:pPr>
    </w:p>
    <w:p>
      <w:pPr>
        <w:autoSpaceDE w:val="0"/>
        <w:ind w:left="0" w:firstLine="0"/>
        <w:jc w:val="both"/>
        <w:rPr>
          <w:rFonts w:ascii="Arial" w:hAnsi="Arial" w:cs="Arial"/>
          <w:sz w:val="22"/>
          <w:szCs w:val="22"/>
        </w:rPr>
      </w:pPr>
      <w:r>
        <w:rPr>
          <w:rFonts w:ascii="Arial" w:hAnsi="Arial" w:cs="Arial"/>
          <w:sz w:val="22"/>
          <w:szCs w:val="22"/>
        </w:rPr>
        <w:t>The significant accounting policies that are used in the preparation of these financial statements are summarized below.  The policies are consistently applied to all the years presented, unless otherwise stated.</w:t>
      </w:r>
    </w:p>
    <w:p>
      <w:pPr>
        <w:widowControl w:val="0"/>
        <w:tabs>
          <w:tab w:val="left" w:pos="1485"/>
        </w:tabs>
        <w:ind w:left="0" w:firstLine="0"/>
        <w:rPr>
          <w:rFonts w:ascii="Arial" w:hAnsi="Arial" w:cs="Arial"/>
          <w:b/>
          <w:sz w:val="22"/>
          <w:szCs w:val="22"/>
        </w:rPr>
      </w:pPr>
    </w:p>
    <w:p>
      <w:pPr>
        <w:widowControl w:val="0"/>
        <w:tabs>
          <w:tab w:val="left" w:pos="1485"/>
        </w:tabs>
        <w:ind w:left="0" w:firstLine="0"/>
        <w:rPr>
          <w:rFonts w:ascii="Arial" w:hAnsi="Arial" w:cs="Arial"/>
          <w:b/>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lastRenderedPageBreak/>
        <w:t>Basis of Preparation of Financial Statements</w:t>
      </w:r>
    </w:p>
    <w:p>
      <w:pPr>
        <w:widowControl w:val="0"/>
        <w:ind w:left="0" w:firstLine="0"/>
        <w:jc w:val="both"/>
        <w:rPr>
          <w:rFonts w:ascii="Arial" w:hAnsi="Arial" w:cs="Arial"/>
          <w:sz w:val="22"/>
          <w:szCs w:val="22"/>
        </w:rPr>
      </w:pPr>
    </w:p>
    <w:p>
      <w:pPr>
        <w:pStyle w:val="ListParagraph"/>
        <w:widowControl w:val="0"/>
        <w:numPr>
          <w:ilvl w:val="0"/>
          <w:numId w:val="2"/>
        </w:numPr>
        <w:ind w:left="1440" w:hanging="720"/>
        <w:jc w:val="both"/>
        <w:rPr>
          <w:rFonts w:ascii="Arial" w:hAnsi="Arial" w:cs="Arial"/>
          <w:i/>
          <w:sz w:val="22"/>
          <w:szCs w:val="22"/>
        </w:rPr>
      </w:pPr>
      <w:r>
        <w:rPr>
          <w:rFonts w:ascii="Arial" w:hAnsi="Arial" w:cs="Arial"/>
          <w:i/>
          <w:sz w:val="22"/>
          <w:szCs w:val="22"/>
          <w:lang w:eastAsia="ar-SA"/>
        </w:rPr>
        <w:t>Statement</w:t>
      </w:r>
      <w:r>
        <w:rPr>
          <w:rFonts w:ascii="Arial" w:hAnsi="Arial" w:cs="Arial"/>
          <w:i/>
          <w:sz w:val="22"/>
          <w:szCs w:val="22"/>
        </w:rPr>
        <w:t xml:space="preserve"> of Compliance with Philippine Financial Reporting Standards</w:t>
      </w:r>
    </w:p>
    <w:p>
      <w:pPr>
        <w:pStyle w:val="ListParagraph"/>
        <w:widowControl w:val="0"/>
        <w:ind w:firstLine="0"/>
        <w:jc w:val="both"/>
        <w:rPr>
          <w:rFonts w:ascii="Arial" w:hAnsi="Arial" w:cs="Arial"/>
          <w:sz w:val="22"/>
          <w:szCs w:val="22"/>
        </w:rPr>
      </w:pPr>
    </w:p>
    <w:p>
      <w:pPr>
        <w:pStyle w:val="Heading2"/>
        <w:widowControl w:val="0"/>
        <w:ind w:left="1440" w:firstLine="0"/>
        <w:jc w:val="both"/>
        <w:rPr>
          <w:rFonts w:ascii="Arial" w:hAnsi="Arial" w:cs="Arial"/>
          <w:b w:val="0"/>
          <w:szCs w:val="22"/>
        </w:rPr>
      </w:pPr>
      <w:r>
        <w:rPr>
          <w:rFonts w:ascii="Arial" w:hAnsi="Arial" w:cs="Arial"/>
          <w:b w:val="0"/>
          <w:szCs w:val="22"/>
        </w:rPr>
        <w:t>The accompanying financial statements were prepared in compliance with Philippine Financial Reporting Standards (PFRS) and Philippine Accounting Standards (PAS). PFRS are issued by the Financial Reporting Standards Council and approved by the Philippine Board of Accountancy based on International Financial Reporting Standards issued by the International Accounting Standards Board.</w:t>
      </w:r>
    </w:p>
    <w:p>
      <w:pPr>
        <w:jc w:val="both"/>
        <w:rPr>
          <w:rFonts w:ascii="Arial" w:hAnsi="Arial" w:cs="Arial"/>
          <w:bCs/>
          <w:sz w:val="22"/>
          <w:szCs w:val="22"/>
        </w:rPr>
      </w:pPr>
    </w:p>
    <w:p>
      <w:pPr>
        <w:pStyle w:val="ListParagraph"/>
        <w:widowControl w:val="0"/>
        <w:numPr>
          <w:ilvl w:val="0"/>
          <w:numId w:val="2"/>
        </w:numPr>
        <w:ind w:left="1440" w:hanging="720"/>
        <w:jc w:val="both"/>
        <w:rPr>
          <w:rFonts w:ascii="Arial" w:hAnsi="Arial" w:cs="Arial"/>
          <w:i/>
          <w:sz w:val="22"/>
          <w:szCs w:val="22"/>
          <w:lang w:eastAsia="ar-SA"/>
        </w:rPr>
      </w:pPr>
      <w:r>
        <w:rPr>
          <w:rFonts w:ascii="Arial" w:hAnsi="Arial" w:cs="Arial"/>
          <w:i/>
          <w:sz w:val="22"/>
          <w:szCs w:val="22"/>
          <w:lang w:eastAsia="ar-SA"/>
        </w:rPr>
        <w:t>Presentation of Financial Statements</w:t>
      </w:r>
    </w:p>
    <w:p>
      <w:pPr>
        <w:pStyle w:val="Heading2"/>
        <w:widowControl w:val="0"/>
        <w:ind w:left="1440" w:firstLine="0"/>
        <w:jc w:val="both"/>
        <w:rPr>
          <w:rFonts w:ascii="Arial" w:hAnsi="Arial" w:cs="Arial"/>
          <w:b w:val="0"/>
          <w:szCs w:val="22"/>
        </w:rPr>
      </w:pPr>
    </w:p>
    <w:p>
      <w:pPr>
        <w:pStyle w:val="Heading2"/>
        <w:widowControl w:val="0"/>
        <w:ind w:left="1440" w:firstLine="0"/>
        <w:jc w:val="both"/>
        <w:rPr>
          <w:rFonts w:ascii="Arial" w:hAnsi="Arial" w:cs="Arial"/>
          <w:b w:val="0"/>
          <w:szCs w:val="22"/>
        </w:rPr>
      </w:pPr>
      <w:r>
        <w:rPr>
          <w:rFonts w:ascii="Arial" w:hAnsi="Arial" w:cs="Arial"/>
          <w:b w:val="0"/>
          <w:szCs w:val="22"/>
        </w:rPr>
        <w:t xml:space="preserve">The financial statements are presented in accordance with Philippine Accounting Standards (PAS) 1, </w:t>
      </w:r>
      <w:r>
        <w:rPr>
          <w:rFonts w:ascii="Arial" w:hAnsi="Arial" w:cs="Arial"/>
          <w:b w:val="0"/>
          <w:i/>
          <w:szCs w:val="22"/>
        </w:rPr>
        <w:t>Presentation of Financial Statements.</w:t>
      </w:r>
      <w:r>
        <w:rPr>
          <w:rFonts w:ascii="Arial" w:hAnsi="Arial" w:cs="Arial"/>
          <w:b w:val="0"/>
          <w:szCs w:val="22"/>
        </w:rPr>
        <w:t xml:space="preserve">  The System presents all items of income and expenses in a single statement of comprehensive income (SCI).</w:t>
      </w:r>
    </w:p>
    <w:p>
      <w:pPr>
        <w:ind w:left="1440" w:firstLine="0"/>
        <w:jc w:val="both"/>
        <w:rPr>
          <w:rFonts w:ascii="Arial" w:hAnsi="Arial" w:cs="Arial"/>
          <w:sz w:val="22"/>
          <w:szCs w:val="22"/>
        </w:rPr>
      </w:pPr>
    </w:p>
    <w:p>
      <w:pPr>
        <w:pStyle w:val="ListParagraph"/>
        <w:widowControl w:val="0"/>
        <w:numPr>
          <w:ilvl w:val="0"/>
          <w:numId w:val="2"/>
        </w:numPr>
        <w:ind w:left="1440" w:hanging="720"/>
        <w:jc w:val="both"/>
        <w:rPr>
          <w:rFonts w:ascii="Arial" w:hAnsi="Arial" w:cs="Arial"/>
          <w:i/>
          <w:sz w:val="22"/>
          <w:szCs w:val="22"/>
          <w:lang w:eastAsia="ar-SA"/>
        </w:rPr>
      </w:pPr>
      <w:r>
        <w:rPr>
          <w:rFonts w:ascii="Arial" w:hAnsi="Arial" w:cs="Arial"/>
          <w:i/>
          <w:sz w:val="22"/>
          <w:szCs w:val="22"/>
          <w:lang w:eastAsia="ar-SA"/>
        </w:rPr>
        <w:t>Basis of measurement</w:t>
      </w:r>
    </w:p>
    <w:p>
      <w:pPr>
        <w:pStyle w:val="ListParagraph"/>
        <w:widowControl w:val="0"/>
        <w:ind w:left="1440" w:firstLine="0"/>
        <w:jc w:val="both"/>
        <w:rPr>
          <w:rFonts w:ascii="Arial" w:hAnsi="Arial" w:cs="Arial"/>
          <w:i/>
          <w:sz w:val="22"/>
          <w:szCs w:val="22"/>
          <w:lang w:eastAsia="ar-SA"/>
        </w:rPr>
      </w:pPr>
    </w:p>
    <w:p>
      <w:pPr>
        <w:pStyle w:val="ListParagraph"/>
        <w:widowControl w:val="0"/>
        <w:ind w:left="1440" w:firstLine="0"/>
        <w:jc w:val="both"/>
        <w:rPr>
          <w:rFonts w:ascii="Arial" w:hAnsi="Arial" w:cs="Arial"/>
          <w:i/>
          <w:sz w:val="22"/>
          <w:szCs w:val="22"/>
          <w:lang w:eastAsia="ar-SA"/>
        </w:rPr>
      </w:pPr>
      <w:r>
        <w:rPr>
          <w:rFonts w:ascii="Arial" w:hAnsi="Arial" w:cs="Arial"/>
          <w:sz w:val="22"/>
          <w:szCs w:val="22"/>
        </w:rPr>
        <w:t>The financial statements are prepared on historical cost basis except for the equity securities which are measured at fair value.</w:t>
      </w:r>
    </w:p>
    <w:p>
      <w:pPr>
        <w:ind w:left="0" w:firstLine="0"/>
        <w:rPr>
          <w:rFonts w:ascii="Arial" w:hAnsi="Arial" w:cs="Arial"/>
          <w:b/>
          <w:sz w:val="22"/>
          <w:szCs w:val="22"/>
        </w:rPr>
      </w:pPr>
    </w:p>
    <w:p>
      <w:pPr>
        <w:pStyle w:val="ListParagraph"/>
        <w:widowControl w:val="0"/>
        <w:numPr>
          <w:ilvl w:val="0"/>
          <w:numId w:val="2"/>
        </w:numPr>
        <w:ind w:left="1440" w:hanging="720"/>
        <w:jc w:val="both"/>
        <w:rPr>
          <w:rFonts w:ascii="Arial" w:hAnsi="Arial" w:cs="Arial"/>
          <w:i/>
          <w:sz w:val="22"/>
          <w:szCs w:val="22"/>
          <w:lang w:eastAsia="ar-SA"/>
        </w:rPr>
      </w:pPr>
      <w:r>
        <w:rPr>
          <w:rFonts w:ascii="Arial" w:hAnsi="Arial" w:cs="Arial"/>
          <w:i/>
          <w:sz w:val="22"/>
          <w:szCs w:val="22"/>
          <w:lang w:eastAsia="ar-SA"/>
        </w:rPr>
        <w:t>Accrual basis of accounting</w:t>
      </w:r>
    </w:p>
    <w:p>
      <w:pPr>
        <w:pStyle w:val="ListParagraph"/>
        <w:widowControl w:val="0"/>
        <w:ind w:left="1440" w:firstLine="0"/>
        <w:jc w:val="both"/>
        <w:rPr>
          <w:rFonts w:ascii="Arial" w:hAnsi="Arial" w:cs="Arial"/>
          <w:i/>
          <w:sz w:val="20"/>
          <w:szCs w:val="22"/>
          <w:lang w:eastAsia="ar-SA"/>
        </w:rPr>
      </w:pPr>
    </w:p>
    <w:p>
      <w:pPr>
        <w:pStyle w:val="ListParagraph"/>
        <w:widowControl w:val="0"/>
        <w:ind w:left="1440" w:firstLine="0"/>
        <w:jc w:val="both"/>
        <w:rPr>
          <w:rFonts w:ascii="Arial" w:hAnsi="Arial" w:cs="Arial"/>
          <w:i/>
          <w:sz w:val="22"/>
          <w:szCs w:val="22"/>
          <w:lang w:eastAsia="ar-SA"/>
        </w:rPr>
      </w:pPr>
      <w:r>
        <w:rPr>
          <w:rFonts w:ascii="Arial" w:hAnsi="Arial" w:cs="Arial"/>
          <w:sz w:val="22"/>
          <w:szCs w:val="22"/>
        </w:rPr>
        <w:t xml:space="preserve">In accordance with PAS 1, </w:t>
      </w:r>
      <w:r>
        <w:rPr>
          <w:rFonts w:ascii="Arial" w:hAnsi="Arial" w:cs="Arial"/>
          <w:i/>
          <w:sz w:val="22"/>
          <w:szCs w:val="22"/>
        </w:rPr>
        <w:t>Presentation of Financial Statements,</w:t>
      </w:r>
      <w:r>
        <w:rPr>
          <w:rFonts w:ascii="Arial" w:hAnsi="Arial" w:cs="Arial"/>
          <w:sz w:val="22"/>
          <w:szCs w:val="22"/>
        </w:rPr>
        <w:t xml:space="preserve"> the financial statements, except for cash flow information, have been prepared using the accrual basis of accounting.</w:t>
      </w:r>
    </w:p>
    <w:p>
      <w:pPr>
        <w:tabs>
          <w:tab w:val="left" w:pos="3365"/>
        </w:tabs>
        <w:rPr>
          <w:rFonts w:ascii="Arial" w:hAnsi="Arial" w:cs="Arial"/>
          <w:b/>
          <w:sz w:val="20"/>
          <w:szCs w:val="22"/>
        </w:rPr>
      </w:pPr>
    </w:p>
    <w:p>
      <w:pPr>
        <w:pStyle w:val="ListParagraph"/>
        <w:widowControl w:val="0"/>
        <w:numPr>
          <w:ilvl w:val="0"/>
          <w:numId w:val="2"/>
        </w:numPr>
        <w:ind w:left="1440" w:hanging="720"/>
        <w:jc w:val="both"/>
        <w:rPr>
          <w:rFonts w:ascii="Arial" w:hAnsi="Arial" w:cs="Arial"/>
          <w:i/>
          <w:sz w:val="22"/>
          <w:szCs w:val="22"/>
          <w:lang w:eastAsia="ar-SA"/>
        </w:rPr>
      </w:pPr>
      <w:r>
        <w:rPr>
          <w:rFonts w:ascii="Arial" w:hAnsi="Arial" w:cs="Arial"/>
          <w:i/>
          <w:sz w:val="22"/>
          <w:szCs w:val="22"/>
          <w:lang w:eastAsia="ar-SA"/>
        </w:rPr>
        <w:t>Functional and Currency Presentation</w:t>
      </w:r>
    </w:p>
    <w:p>
      <w:pPr>
        <w:tabs>
          <w:tab w:val="left" w:pos="3365"/>
        </w:tabs>
        <w:ind w:left="1080"/>
        <w:rPr>
          <w:rFonts w:ascii="Arial" w:hAnsi="Arial" w:cs="Arial"/>
          <w:sz w:val="20"/>
          <w:szCs w:val="22"/>
        </w:rPr>
      </w:pPr>
    </w:p>
    <w:p>
      <w:pPr>
        <w:pStyle w:val="ListParagraph"/>
        <w:widowControl w:val="0"/>
        <w:ind w:left="1440" w:firstLine="0"/>
        <w:jc w:val="both"/>
        <w:rPr>
          <w:rFonts w:ascii="Arial" w:hAnsi="Arial" w:cs="Arial"/>
          <w:sz w:val="22"/>
          <w:szCs w:val="22"/>
        </w:rPr>
      </w:pPr>
      <w:r>
        <w:rPr>
          <w:rFonts w:ascii="Arial" w:hAnsi="Arial" w:cs="Arial"/>
          <w:sz w:val="22"/>
          <w:szCs w:val="22"/>
        </w:rPr>
        <w:t>The financial statements are presented in Philippine Peso, which is the System’s functional and presentation currency.  All amounts are rounded to the nearest peso, unless otherwise indicated.</w:t>
      </w:r>
    </w:p>
    <w:p>
      <w:pPr>
        <w:widowControl w:val="0"/>
        <w:jc w:val="both"/>
        <w:rPr>
          <w:rFonts w:ascii="Arial" w:hAnsi="Arial" w:cs="Arial"/>
          <w:sz w:val="20"/>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Adoption of New and Amended PFRSs</w:t>
      </w:r>
    </w:p>
    <w:p>
      <w:pPr>
        <w:widowControl w:val="0"/>
        <w:ind w:left="0" w:firstLine="0"/>
        <w:jc w:val="both"/>
        <w:rPr>
          <w:rFonts w:ascii="Arial" w:hAnsi="Arial" w:cs="Arial"/>
          <w:sz w:val="18"/>
          <w:szCs w:val="22"/>
        </w:rPr>
      </w:pPr>
    </w:p>
    <w:p>
      <w:pPr>
        <w:pStyle w:val="ListParagraph"/>
        <w:widowControl w:val="0"/>
        <w:numPr>
          <w:ilvl w:val="0"/>
          <w:numId w:val="6"/>
        </w:numPr>
        <w:ind w:left="1440" w:hanging="720"/>
        <w:jc w:val="both"/>
        <w:rPr>
          <w:rFonts w:ascii="Arial" w:hAnsi="Arial" w:cs="Arial"/>
          <w:i/>
          <w:sz w:val="22"/>
          <w:szCs w:val="22"/>
          <w:lang w:eastAsia="ar-SA"/>
        </w:rPr>
      </w:pPr>
      <w:r>
        <w:rPr>
          <w:rFonts w:ascii="Arial" w:hAnsi="Arial" w:cs="Arial"/>
          <w:i/>
          <w:sz w:val="22"/>
          <w:szCs w:val="22"/>
          <w:lang w:eastAsia="ar-SA"/>
        </w:rPr>
        <w:t>Effective in 2017 that are Relevant to the System</w:t>
      </w:r>
    </w:p>
    <w:p>
      <w:pPr>
        <w:pStyle w:val="ListParagraph"/>
        <w:widowControl w:val="0"/>
        <w:ind w:left="1440" w:firstLine="0"/>
        <w:jc w:val="both"/>
        <w:rPr>
          <w:rFonts w:ascii="Arial" w:hAnsi="Arial" w:cs="Arial"/>
          <w:sz w:val="22"/>
          <w:szCs w:val="22"/>
          <w:lang w:eastAsia="ar-SA"/>
        </w:rPr>
      </w:pPr>
    </w:p>
    <w:p>
      <w:pPr>
        <w:pStyle w:val="ListParagraph"/>
        <w:widowControl w:val="0"/>
        <w:ind w:left="1440" w:firstLine="0"/>
        <w:jc w:val="both"/>
        <w:rPr>
          <w:rFonts w:ascii="Arial" w:hAnsi="Arial" w:cs="Arial"/>
          <w:sz w:val="22"/>
          <w:szCs w:val="22"/>
        </w:rPr>
      </w:pPr>
      <w:r>
        <w:rPr>
          <w:rFonts w:ascii="Arial" w:hAnsi="Arial" w:cs="Arial"/>
          <w:sz w:val="22"/>
          <w:szCs w:val="22"/>
        </w:rPr>
        <w:t xml:space="preserve">The System adopted for the first time the following amendment and annual improvement to PFRS, which is mandatorily effective for annual periods beginning on or after January 1, 2017: </w:t>
      </w:r>
    </w:p>
    <w:p>
      <w:pPr>
        <w:pStyle w:val="ListParagraph"/>
        <w:widowControl w:val="0"/>
        <w:ind w:left="1080" w:firstLine="0"/>
        <w:jc w:val="both"/>
        <w:rPr>
          <w:rFonts w:ascii="Arial" w:hAnsi="Arial" w:cs="Arial"/>
          <w:sz w:val="22"/>
          <w:szCs w:val="22"/>
        </w:rPr>
      </w:pPr>
    </w:p>
    <w:p>
      <w:pPr>
        <w:pStyle w:val="ListParagraph"/>
        <w:widowControl w:val="0"/>
        <w:ind w:left="4050" w:hanging="2970"/>
        <w:jc w:val="both"/>
        <w:rPr>
          <w:rFonts w:ascii="Arial" w:hAnsi="Arial" w:cs="Arial"/>
          <w:sz w:val="22"/>
          <w:szCs w:val="22"/>
        </w:rPr>
      </w:pPr>
      <w:r>
        <w:rPr>
          <w:rFonts w:ascii="Arial" w:hAnsi="Arial" w:cs="Arial"/>
          <w:sz w:val="22"/>
          <w:szCs w:val="22"/>
        </w:rPr>
        <w:t xml:space="preserve">      PAS 7 (Amendments): Statement of Cash Flows - Disclosure Initiative</w:t>
      </w:r>
    </w:p>
    <w:p>
      <w:pPr>
        <w:pStyle w:val="ListParagraph"/>
        <w:widowControl w:val="0"/>
        <w:ind w:left="4050" w:hanging="2970"/>
        <w:jc w:val="both"/>
        <w:rPr>
          <w:rFonts w:ascii="Arial" w:hAnsi="Arial" w:cs="Arial"/>
          <w:sz w:val="22"/>
          <w:szCs w:val="22"/>
        </w:rPr>
      </w:pPr>
      <w:r>
        <w:rPr>
          <w:rFonts w:ascii="Arial" w:hAnsi="Arial" w:cs="Arial"/>
          <w:sz w:val="22"/>
          <w:szCs w:val="22"/>
        </w:rPr>
        <w:t xml:space="preserve">     </w:t>
      </w:r>
    </w:p>
    <w:p>
      <w:pPr>
        <w:pStyle w:val="ListParagraph"/>
        <w:widowControl w:val="0"/>
        <w:ind w:left="1440" w:firstLine="0"/>
        <w:jc w:val="both"/>
        <w:rPr>
          <w:rFonts w:ascii="Arial" w:hAnsi="Arial" w:cs="Arial"/>
          <w:sz w:val="22"/>
          <w:szCs w:val="22"/>
        </w:rPr>
      </w:pPr>
      <w:r>
        <w:rPr>
          <w:rFonts w:ascii="Arial" w:hAnsi="Arial" w:cs="Arial"/>
          <w:sz w:val="22"/>
          <w:szCs w:val="22"/>
        </w:rPr>
        <w:t>Discussed below is the relevant information about this amendment and improvement:</w:t>
      </w:r>
    </w:p>
    <w:p>
      <w:pPr>
        <w:pStyle w:val="ListParagraph"/>
        <w:widowControl w:val="0"/>
        <w:ind w:left="1080" w:hanging="2970"/>
        <w:jc w:val="both"/>
        <w:rPr>
          <w:rFonts w:ascii="Arial" w:hAnsi="Arial" w:cs="Arial"/>
          <w:sz w:val="22"/>
          <w:szCs w:val="22"/>
        </w:rPr>
      </w:pPr>
    </w:p>
    <w:p>
      <w:pPr>
        <w:pStyle w:val="BodyText2"/>
        <w:numPr>
          <w:ilvl w:val="0"/>
          <w:numId w:val="10"/>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PAS 7 (Amendments), </w:t>
      </w:r>
      <w:r>
        <w:rPr>
          <w:rFonts w:ascii="Arial" w:hAnsi="Arial" w:cs="Arial"/>
          <w:i/>
          <w:szCs w:val="22"/>
        </w:rPr>
        <w:t>Statement of Cash Flows – Disclosure Initiative</w:t>
      </w:r>
      <w:r>
        <w:rPr>
          <w:rFonts w:ascii="Arial" w:hAnsi="Arial" w:cs="Arial"/>
          <w:szCs w:val="22"/>
        </w:rPr>
        <w:t xml:space="preserve">. The amendments are designed to improve the quality of information provided to users of financial statements about changes in </w:t>
      </w:r>
      <w:r>
        <w:rPr>
          <w:rFonts w:ascii="Arial" w:hAnsi="Arial" w:cs="Arial"/>
          <w:szCs w:val="22"/>
        </w:rPr>
        <w:lastRenderedPageBreak/>
        <w:t>an entity’s debt and related cash flows (and non-cash changes).  They require an entity to provide disclosures that enable users to evaluate changes in liabilities arising from financing activities.  An entity applies its judgment when determining the exact form and content of the disclosures needed to satisfy this requirement.  Moreover, they suggest a number of specific disclosures that may be necessary in order to satisfy the above requirement, including: (a) changes in liabilities arising from financing activities caused by changes in financing cash flows, foreign exchange rates or fair values, or obtaining or losing control of subsidiaries or other businesses; and (b) a reconciliation of the opening and closing balances of liabilities arising from financing activities in the statement of financial position including those changes identified immediately above.</w:t>
      </w:r>
    </w:p>
    <w:p>
      <w:pPr>
        <w:pStyle w:val="BodyText2"/>
        <w:tabs>
          <w:tab w:val="clear" w:pos="432"/>
          <w:tab w:val="clear" w:pos="864"/>
          <w:tab w:val="left" w:pos="1440"/>
        </w:tabs>
        <w:ind w:left="1440" w:right="162" w:firstLine="0"/>
        <w:rPr>
          <w:rFonts w:ascii="Arial" w:hAnsi="Arial" w:cs="Arial"/>
          <w:szCs w:val="22"/>
        </w:rPr>
      </w:pPr>
    </w:p>
    <w:p>
      <w:pPr>
        <w:pStyle w:val="BodyText2"/>
        <w:tabs>
          <w:tab w:val="clear" w:pos="432"/>
          <w:tab w:val="clear" w:pos="864"/>
          <w:tab w:val="left" w:pos="1440"/>
        </w:tabs>
        <w:ind w:left="1440" w:right="162" w:firstLine="0"/>
        <w:rPr>
          <w:rFonts w:ascii="Arial" w:hAnsi="Arial" w:cs="Arial"/>
          <w:szCs w:val="22"/>
        </w:rPr>
      </w:pPr>
      <w:r>
        <w:rPr>
          <w:rFonts w:ascii="Arial" w:hAnsi="Arial" w:cs="Arial"/>
          <w:szCs w:val="22"/>
        </w:rPr>
        <w:t>The System has applied these amendments in the current year and has not disclosed comparative figures as allowed by the transitional provisions. A reconciliation between the opening and closing balances of liabilities arising from financing activities, which includes both cash and non-cash changes are presented in Note 31.</w:t>
      </w:r>
    </w:p>
    <w:p>
      <w:pPr>
        <w:pStyle w:val="ListParagraph"/>
        <w:widowControl w:val="0"/>
        <w:ind w:left="1440" w:firstLine="0"/>
        <w:jc w:val="both"/>
        <w:rPr>
          <w:rFonts w:ascii="Arial" w:hAnsi="Arial" w:cs="Arial"/>
          <w:sz w:val="22"/>
          <w:szCs w:val="22"/>
          <w:lang w:eastAsia="ar-SA"/>
        </w:rPr>
      </w:pPr>
    </w:p>
    <w:p>
      <w:pPr>
        <w:pStyle w:val="ListParagraph"/>
        <w:widowControl w:val="0"/>
        <w:numPr>
          <w:ilvl w:val="0"/>
          <w:numId w:val="6"/>
        </w:numPr>
        <w:ind w:left="1440" w:hanging="720"/>
        <w:jc w:val="both"/>
        <w:rPr>
          <w:rFonts w:ascii="Arial" w:hAnsi="Arial" w:cs="Arial"/>
          <w:i/>
          <w:sz w:val="22"/>
          <w:szCs w:val="22"/>
          <w:lang w:eastAsia="ar-SA"/>
        </w:rPr>
      </w:pPr>
      <w:r>
        <w:rPr>
          <w:rFonts w:ascii="Arial" w:hAnsi="Arial" w:cs="Arial"/>
          <w:i/>
          <w:sz w:val="22"/>
          <w:szCs w:val="22"/>
        </w:rPr>
        <w:t>Effective 2017 that are not relevant to the System</w:t>
      </w:r>
    </w:p>
    <w:p>
      <w:pPr>
        <w:pStyle w:val="ListParagraph"/>
        <w:widowControl w:val="0"/>
        <w:ind w:left="1440" w:firstLine="0"/>
        <w:jc w:val="both"/>
        <w:rPr>
          <w:rFonts w:ascii="Arial" w:hAnsi="Arial" w:cs="Arial"/>
          <w:sz w:val="22"/>
          <w:szCs w:val="22"/>
        </w:rPr>
      </w:pPr>
    </w:p>
    <w:p>
      <w:pPr>
        <w:widowControl w:val="0"/>
        <w:tabs>
          <w:tab w:val="left" w:pos="720"/>
          <w:tab w:val="left" w:pos="1080"/>
          <w:tab w:val="left" w:pos="1440"/>
          <w:tab w:val="left" w:pos="1530"/>
        </w:tabs>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The following new PFRS amendments and annual improvements to existing standards are mandatorily effective for annual periods beginning on or after January 1, 2017 but are not relevant to the Company’s financial statements:</w:t>
      </w:r>
    </w:p>
    <w:p>
      <w:pPr>
        <w:pStyle w:val="ListParagraph"/>
        <w:widowControl w:val="0"/>
        <w:ind w:left="1440" w:firstLine="0"/>
        <w:jc w:val="both"/>
        <w:rPr>
          <w:rFonts w:ascii="Arial" w:hAnsi="Arial" w:cs="Arial"/>
          <w:sz w:val="22"/>
          <w:szCs w:val="22"/>
        </w:rPr>
      </w:pPr>
    </w:p>
    <w:p>
      <w:pPr>
        <w:pStyle w:val="BodyText2"/>
        <w:numPr>
          <w:ilvl w:val="0"/>
          <w:numId w:val="17"/>
        </w:numPr>
        <w:tabs>
          <w:tab w:val="clear" w:pos="432"/>
          <w:tab w:val="clear" w:pos="864"/>
          <w:tab w:val="left" w:pos="1440"/>
        </w:tabs>
        <w:ind w:left="1440" w:right="162" w:firstLine="0"/>
        <w:rPr>
          <w:rFonts w:ascii="Arial" w:hAnsi="Arial" w:cs="Arial"/>
          <w:szCs w:val="22"/>
        </w:rPr>
      </w:pPr>
      <w:r>
        <w:rPr>
          <w:rFonts w:ascii="Arial" w:hAnsi="Arial" w:cs="Arial"/>
          <w:szCs w:val="22"/>
        </w:rPr>
        <w:t>PAS 12 (Amendments), Income Taxes - Recognition of Deferred Tax Assets for Unrealized Losses. The focus of the amendment is to clarify how to account for deferred tax assets related to debt instruments measured at fair value, particularly where changes in the market interest rate decrease the fair value of a debt instrument below cost.  The amendments provide guidance in the following areas where diversity in practice previously existed: (a) existence of a deductible temporary difference; (b) recovering an asset for more than its carrying amount; (c) probable future taxable profit against which deductible temporary differences are assessed for utilization; and, (d) combined versus separate assessment of deferred tax asset recognition for each deductible temporary difference. The application of this amendment has had no impact on the System’s financial statements.</w:t>
      </w:r>
    </w:p>
    <w:p>
      <w:pPr>
        <w:pStyle w:val="BodyText2"/>
        <w:tabs>
          <w:tab w:val="clear" w:pos="432"/>
          <w:tab w:val="clear" w:pos="864"/>
          <w:tab w:val="left" w:pos="1440"/>
        </w:tabs>
        <w:ind w:left="1440" w:right="162" w:firstLine="0"/>
        <w:rPr>
          <w:rFonts w:ascii="Arial" w:hAnsi="Arial" w:cs="Arial"/>
          <w:szCs w:val="22"/>
        </w:rPr>
      </w:pPr>
    </w:p>
    <w:p>
      <w:pPr>
        <w:pStyle w:val="BodyText2"/>
        <w:numPr>
          <w:ilvl w:val="0"/>
          <w:numId w:val="17"/>
        </w:numPr>
        <w:tabs>
          <w:tab w:val="clear" w:pos="432"/>
          <w:tab w:val="clear" w:pos="864"/>
          <w:tab w:val="left" w:pos="1440"/>
        </w:tabs>
        <w:ind w:left="1440" w:right="162" w:firstLine="0"/>
        <w:rPr>
          <w:rFonts w:ascii="Arial" w:hAnsi="Arial" w:cs="Arial"/>
          <w:szCs w:val="22"/>
        </w:rPr>
      </w:pPr>
      <w:r>
        <w:rPr>
          <w:rFonts w:ascii="Arial" w:hAnsi="Arial" w:cs="Arial"/>
          <w:szCs w:val="22"/>
        </w:rPr>
        <w:t>PFRS 12 - Disclosure of Interest in Other Entities – Scope Clarification on Disclosure of Summarized Financial Information for Interests classified as held for sale.</w:t>
      </w:r>
    </w:p>
    <w:p>
      <w:pPr>
        <w:pStyle w:val="ListParagraph"/>
        <w:rPr>
          <w:rFonts w:ascii="Arial" w:hAnsi="Arial" w:cs="Arial"/>
          <w:szCs w:val="22"/>
        </w:rPr>
      </w:pPr>
    </w:p>
    <w:p>
      <w:pPr>
        <w:pStyle w:val="BodyText2"/>
        <w:numPr>
          <w:ilvl w:val="0"/>
          <w:numId w:val="17"/>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PFRS 15, </w:t>
      </w:r>
      <w:r>
        <w:rPr>
          <w:rFonts w:ascii="Arial" w:hAnsi="Arial" w:cs="Arial"/>
          <w:i/>
          <w:szCs w:val="22"/>
        </w:rPr>
        <w:t xml:space="preserve">Revenue from Contract with Customers </w:t>
      </w:r>
      <w:r>
        <w:rPr>
          <w:rFonts w:ascii="Arial" w:hAnsi="Arial" w:cs="Arial"/>
          <w:szCs w:val="22"/>
        </w:rPr>
        <w:t>(effective from January 1, 2018)</w:t>
      </w:r>
      <w:r>
        <w:rPr>
          <w:rFonts w:ascii="Arial" w:hAnsi="Arial" w:cs="Arial"/>
          <w:i/>
          <w:szCs w:val="22"/>
        </w:rPr>
        <w:t xml:space="preserve">. </w:t>
      </w:r>
      <w:r>
        <w:rPr>
          <w:rFonts w:ascii="Arial" w:hAnsi="Arial" w:cs="Arial"/>
          <w:szCs w:val="22"/>
        </w:rPr>
        <w:t xml:space="preserve">This standard will replace PAS 18, </w:t>
      </w:r>
      <w:r>
        <w:rPr>
          <w:rFonts w:ascii="Arial" w:hAnsi="Arial" w:cs="Arial"/>
          <w:i/>
          <w:szCs w:val="22"/>
        </w:rPr>
        <w:t>Revenue</w:t>
      </w:r>
      <w:r>
        <w:rPr>
          <w:rFonts w:ascii="Arial" w:hAnsi="Arial" w:cs="Arial"/>
          <w:szCs w:val="22"/>
        </w:rPr>
        <w:t xml:space="preserve">, and PAS 11, </w:t>
      </w:r>
      <w:r>
        <w:rPr>
          <w:rFonts w:ascii="Arial" w:hAnsi="Arial" w:cs="Arial"/>
          <w:i/>
          <w:szCs w:val="22"/>
        </w:rPr>
        <w:t>Construction Contracts</w:t>
      </w:r>
      <w:r>
        <w:rPr>
          <w:rFonts w:ascii="Arial" w:hAnsi="Arial" w:cs="Arial"/>
          <w:szCs w:val="22"/>
        </w:rPr>
        <w:t xml:space="preserve">, the related Interpretations on revenue recognition: International Financial Reporting Interpretations </w:t>
      </w:r>
      <w:r>
        <w:rPr>
          <w:rFonts w:ascii="Arial" w:hAnsi="Arial" w:cs="Arial"/>
          <w:szCs w:val="22"/>
        </w:rPr>
        <w:lastRenderedPageBreak/>
        <w:t xml:space="preserve">Committee (IFRIC) 13, </w:t>
      </w:r>
      <w:r>
        <w:rPr>
          <w:rFonts w:ascii="Arial" w:hAnsi="Arial" w:cs="Arial"/>
          <w:i/>
          <w:szCs w:val="22"/>
        </w:rPr>
        <w:t>Customer Loyalty Programmes</w:t>
      </w:r>
      <w:r>
        <w:rPr>
          <w:rFonts w:ascii="Arial" w:hAnsi="Arial" w:cs="Arial"/>
          <w:szCs w:val="22"/>
        </w:rPr>
        <w:t xml:space="preserve">, IFRIC 15, </w:t>
      </w:r>
      <w:r>
        <w:rPr>
          <w:rFonts w:ascii="Arial" w:hAnsi="Arial" w:cs="Arial"/>
          <w:i/>
          <w:szCs w:val="22"/>
        </w:rPr>
        <w:t>Agreement for the Construction of Real Estate</w:t>
      </w:r>
      <w:r>
        <w:rPr>
          <w:rFonts w:ascii="Arial" w:hAnsi="Arial" w:cs="Arial"/>
          <w:szCs w:val="22"/>
        </w:rPr>
        <w:t xml:space="preserve">, IFRIC 18, </w:t>
      </w:r>
      <w:r>
        <w:rPr>
          <w:rFonts w:ascii="Arial" w:hAnsi="Arial" w:cs="Arial"/>
          <w:i/>
          <w:szCs w:val="22"/>
        </w:rPr>
        <w:t>Transfers of Assets from Customers</w:t>
      </w:r>
      <w:r>
        <w:rPr>
          <w:rFonts w:ascii="Arial" w:hAnsi="Arial" w:cs="Arial"/>
          <w:szCs w:val="22"/>
        </w:rPr>
        <w:t xml:space="preserve"> and Standing Interpretations Committee 31, </w:t>
      </w:r>
      <w:r>
        <w:rPr>
          <w:rFonts w:ascii="Arial" w:hAnsi="Arial" w:cs="Arial"/>
          <w:i/>
          <w:szCs w:val="22"/>
        </w:rPr>
        <w:t>Revenue – Barter Transactions Involving Advertising Services</w:t>
      </w:r>
      <w:r>
        <w:rPr>
          <w:rFonts w:ascii="Arial" w:hAnsi="Arial" w:cs="Arial"/>
          <w:szCs w:val="22"/>
        </w:rPr>
        <w:t>.  This new standard establishes a comprehensive framework for determining when to recognize revenue and how much revenue to recognize.  The core principle in the said framework is for an entity to recognize revenue to depict the transfer of promised goods or services to the customer in an amount that reflects the consideration to which the entity expects to be entitled in exchange for those goods or services.</w:t>
      </w:r>
    </w:p>
    <w:p>
      <w:pPr>
        <w:pStyle w:val="ListParagraph"/>
        <w:widowControl w:val="0"/>
        <w:ind w:left="1440" w:firstLine="0"/>
        <w:jc w:val="both"/>
        <w:rPr>
          <w:rFonts w:ascii="Arial" w:hAnsi="Arial" w:cs="Arial"/>
          <w:i/>
          <w:sz w:val="22"/>
          <w:szCs w:val="22"/>
          <w:lang w:eastAsia="ar-SA"/>
        </w:rPr>
      </w:pPr>
    </w:p>
    <w:p>
      <w:pPr>
        <w:pStyle w:val="ListParagraph"/>
        <w:widowControl w:val="0"/>
        <w:numPr>
          <w:ilvl w:val="0"/>
          <w:numId w:val="6"/>
        </w:numPr>
        <w:ind w:left="1440" w:hanging="720"/>
        <w:jc w:val="both"/>
        <w:rPr>
          <w:rFonts w:ascii="Arial" w:hAnsi="Arial" w:cs="Arial"/>
          <w:i/>
          <w:sz w:val="22"/>
          <w:szCs w:val="22"/>
          <w:lang w:eastAsia="ar-SA"/>
        </w:rPr>
      </w:pPr>
      <w:r>
        <w:rPr>
          <w:rFonts w:ascii="Arial" w:hAnsi="Arial" w:cs="Arial"/>
          <w:i/>
          <w:sz w:val="22"/>
          <w:szCs w:val="22"/>
        </w:rPr>
        <w:t xml:space="preserve">Effective Subsequent to 2017 but not Adopted Early </w:t>
      </w:r>
    </w:p>
    <w:p>
      <w:pPr>
        <w:pStyle w:val="ListParagraph"/>
        <w:widowControl w:val="0"/>
        <w:tabs>
          <w:tab w:val="left" w:pos="720"/>
          <w:tab w:val="left" w:pos="1080"/>
          <w:tab w:val="left" w:pos="1350"/>
          <w:tab w:val="left" w:pos="1440"/>
        </w:tabs>
        <w:ind w:firstLine="0"/>
        <w:jc w:val="both"/>
        <w:rPr>
          <w:rFonts w:ascii="Arial" w:hAnsi="Arial" w:cs="Arial"/>
          <w:sz w:val="22"/>
          <w:szCs w:val="22"/>
        </w:rPr>
      </w:pPr>
    </w:p>
    <w:p>
      <w:pPr>
        <w:pStyle w:val="ListParagraph"/>
        <w:widowControl w:val="0"/>
        <w:tabs>
          <w:tab w:val="left" w:pos="1080"/>
          <w:tab w:val="left" w:pos="1350"/>
          <w:tab w:val="left" w:pos="1440"/>
        </w:tabs>
        <w:ind w:left="1440" w:firstLine="0"/>
        <w:jc w:val="both"/>
        <w:rPr>
          <w:rFonts w:ascii="Arial" w:hAnsi="Arial" w:cs="Arial"/>
          <w:sz w:val="22"/>
          <w:szCs w:val="22"/>
        </w:rPr>
      </w:pPr>
      <w:r>
        <w:rPr>
          <w:rFonts w:ascii="Arial" w:hAnsi="Arial" w:cs="Arial"/>
          <w:sz w:val="22"/>
          <w:szCs w:val="22"/>
        </w:rPr>
        <w:t>There are new PFRS and amendments to existing standards effective for annual periods subsequent to 2017, which are adopted by the FRSC.  The System will adopt the following relevant pronouncements in accordance with their transitional provisions and, unless otherwise stated, none of these are expected to have significant impact on the System’s financial statements.</w:t>
      </w:r>
    </w:p>
    <w:p>
      <w:pPr>
        <w:pStyle w:val="ListParagraph"/>
        <w:rPr>
          <w:rFonts w:ascii="Arial" w:hAnsi="Arial" w:cs="Arial"/>
          <w:sz w:val="22"/>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PAS 40 (Amendment), Investment Property – Reclassification to and from investment property (effective from January 1, 2018).  The amendment states that an entity shall transfer a property to, or from, investment property when, and only when, there is evidence of a change in use.  A change of use occurs if property meets, or ceases to meet, the definition of investment property.   A change of use occurs if property meets, or ceases to meet, the definition of investment property.  A change in management’s intentions for the use of a property by itself does not constitute evidence of a change in use.  The amendment provided a non-exhaustive list of examples constituting change in use.  Management has assessed that this amendment has no significant impact on the Company’s financial statements.</w:t>
      </w:r>
    </w:p>
    <w:p>
      <w:pPr>
        <w:pStyle w:val="BodyText2"/>
        <w:tabs>
          <w:tab w:val="clear" w:pos="432"/>
          <w:tab w:val="clear" w:pos="864"/>
          <w:tab w:val="left" w:pos="1440"/>
        </w:tabs>
        <w:ind w:left="1440" w:right="162" w:firstLine="0"/>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PFRS 9 (2014), </w:t>
      </w:r>
      <w:r>
        <w:rPr>
          <w:rFonts w:ascii="Arial" w:hAnsi="Arial" w:cs="Arial"/>
          <w:i/>
          <w:szCs w:val="22"/>
        </w:rPr>
        <w:t>Financial Instruments</w:t>
      </w:r>
      <w:r>
        <w:rPr>
          <w:rFonts w:ascii="Arial" w:hAnsi="Arial" w:cs="Arial"/>
          <w:szCs w:val="22"/>
        </w:rPr>
        <w:t xml:space="preserve"> (effective from January 1, 2018).  This new standard on financial instruments will replace PAS 39, </w:t>
      </w:r>
      <w:r>
        <w:rPr>
          <w:rFonts w:ascii="Arial" w:hAnsi="Arial" w:cs="Arial"/>
          <w:i/>
          <w:szCs w:val="22"/>
        </w:rPr>
        <w:t xml:space="preserve">Financial Instruments: Classification and Measurement, </w:t>
      </w:r>
      <w:r>
        <w:rPr>
          <w:rFonts w:ascii="Arial" w:hAnsi="Arial" w:cs="Arial"/>
          <w:szCs w:val="22"/>
        </w:rPr>
        <w:t>and PFRS 9 (2009, 2010 and 2013 versions). This standard contains, among others, the following:</w:t>
      </w:r>
    </w:p>
    <w:p>
      <w:pPr>
        <w:pStyle w:val="ListParagraph"/>
        <w:rPr>
          <w:rFonts w:ascii="Arial" w:hAnsi="Arial" w:cs="Arial"/>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t>three principal classification categories for financial assets based on the business model on how an entity is managing its financial instruments;</w:t>
      </w:r>
    </w:p>
    <w:p>
      <w:pPr>
        <w:pStyle w:val="BodyText2"/>
        <w:tabs>
          <w:tab w:val="clear" w:pos="432"/>
          <w:tab w:val="clear" w:pos="864"/>
          <w:tab w:val="left" w:pos="2160"/>
        </w:tabs>
        <w:ind w:left="2160" w:right="158" w:firstLine="0"/>
        <w:rPr>
          <w:rFonts w:ascii="Arial" w:hAnsi="Arial" w:cs="Arial"/>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t>an expected credit loss (ECL) model in determining impairment of all financial assets that are not measured at fair value through profit or loss (FVTPL), which generally depends on whether there has been a significant increase in credit risk since initial recognition of a financial asset; and</w:t>
      </w:r>
    </w:p>
    <w:p>
      <w:pPr>
        <w:pStyle w:val="ListParagraph"/>
        <w:rPr>
          <w:rFonts w:ascii="Arial" w:hAnsi="Arial" w:cs="Arial"/>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lastRenderedPageBreak/>
        <w:t>a new model on hedge accounting that provides significant improvements principally by aligning hedge accounting more closely with the risk management activities undertaken by entities when hedging their financial and non-financial risk exposures.</w:t>
      </w:r>
    </w:p>
    <w:p>
      <w:pPr>
        <w:pStyle w:val="ListParagraph"/>
        <w:rPr>
          <w:rFonts w:ascii="Arial" w:hAnsi="Arial" w:cs="Arial"/>
          <w:szCs w:val="22"/>
        </w:rPr>
      </w:pPr>
    </w:p>
    <w:p>
      <w:pPr>
        <w:pStyle w:val="BodyText2"/>
        <w:ind w:left="2160" w:right="162" w:hanging="540"/>
        <w:rPr>
          <w:rFonts w:ascii="Arial" w:hAnsi="Arial" w:cs="Arial"/>
          <w:szCs w:val="22"/>
        </w:rPr>
      </w:pPr>
      <w:r>
        <w:rPr>
          <w:rFonts w:ascii="Arial" w:hAnsi="Arial" w:cs="Arial"/>
          <w:szCs w:val="22"/>
        </w:rPr>
        <w:t xml:space="preserve">       </w:t>
      </w:r>
      <w:r>
        <w:rPr>
          <w:rFonts w:ascii="Arial" w:hAnsi="Arial" w:cs="Arial"/>
          <w:szCs w:val="22"/>
        </w:rPr>
        <w:tab/>
        <w:t>In accordance with the financial asset classification principle of PFRS 9 (2014), a financial asset is classified and measured at amortized cost if the asset is held within a business model whose objective is to hold financial assets in order to collect the contractual cash flows that represent solely payments of principal and interest (SPPI) on the principal outstanding.  Moreover, a financial asset is classified and subsequently measured at fair value through other comprehensive income if it meets the SPPI criterion and is held in a business model whose objective is achieved by both collecting contractual cash flows and selling the financial assets.  All other financial assets are measured at FVTPL.</w:t>
      </w:r>
    </w:p>
    <w:p>
      <w:pPr>
        <w:pStyle w:val="BodyText2"/>
        <w:ind w:left="2160" w:right="162" w:hanging="540"/>
        <w:rPr>
          <w:rFonts w:ascii="Arial" w:hAnsi="Arial" w:cs="Arial"/>
          <w:szCs w:val="22"/>
        </w:rPr>
      </w:pPr>
    </w:p>
    <w:p>
      <w:pPr>
        <w:pStyle w:val="BodyText2"/>
        <w:ind w:left="2160" w:right="162" w:hanging="540"/>
        <w:rPr>
          <w:rFonts w:ascii="Arial" w:hAnsi="Arial" w:cs="Arial"/>
          <w:szCs w:val="22"/>
        </w:rPr>
      </w:pPr>
      <w:r>
        <w:rPr>
          <w:rFonts w:ascii="Arial" w:hAnsi="Arial" w:cs="Arial"/>
          <w:szCs w:val="22"/>
        </w:rPr>
        <w:tab/>
        <w:t xml:space="preserve">In addition, PFRS 9 (2014) allows entities to make an irrevocable election to present subsequent changes in the fair value of an equity instrument that is not held for trading in other comprehensive income.  </w:t>
      </w:r>
    </w:p>
    <w:p>
      <w:pPr>
        <w:pStyle w:val="BodyText2"/>
        <w:ind w:left="2160" w:right="162" w:hanging="540"/>
        <w:rPr>
          <w:rFonts w:ascii="Arial" w:hAnsi="Arial" w:cs="Arial"/>
          <w:szCs w:val="22"/>
        </w:rPr>
      </w:pPr>
    </w:p>
    <w:p>
      <w:pPr>
        <w:pStyle w:val="BodyText2"/>
        <w:ind w:left="2160" w:right="162" w:hanging="540"/>
        <w:rPr>
          <w:rFonts w:ascii="Arial" w:hAnsi="Arial" w:cs="Arial"/>
          <w:szCs w:val="22"/>
        </w:rPr>
      </w:pPr>
      <w:r>
        <w:rPr>
          <w:rFonts w:ascii="Arial" w:hAnsi="Arial" w:cs="Arial"/>
          <w:szCs w:val="22"/>
        </w:rPr>
        <w:t xml:space="preserve">       </w:t>
      </w:r>
      <w:r>
        <w:rPr>
          <w:rFonts w:ascii="Arial" w:hAnsi="Arial" w:cs="Arial"/>
          <w:szCs w:val="22"/>
        </w:rPr>
        <w:tab/>
        <w:t xml:space="preserve">The accounting for embedded derivatives in host contracts that are financial assets is simplified by removing the requirement to consider whether or not they are closely related, and, in most arrangements, does not require separation from the host contract.  </w:t>
      </w:r>
    </w:p>
    <w:p>
      <w:pPr>
        <w:pStyle w:val="BodyText2"/>
        <w:ind w:left="2160" w:right="162" w:hanging="540"/>
        <w:rPr>
          <w:rFonts w:ascii="Arial" w:hAnsi="Arial" w:cs="Arial"/>
          <w:szCs w:val="22"/>
        </w:rPr>
      </w:pPr>
    </w:p>
    <w:p>
      <w:pPr>
        <w:pStyle w:val="BodyText2"/>
        <w:ind w:left="2160" w:right="162" w:hanging="540"/>
        <w:rPr>
          <w:rFonts w:ascii="Arial" w:hAnsi="Arial" w:cs="Arial"/>
          <w:szCs w:val="22"/>
        </w:rPr>
      </w:pPr>
      <w:r>
        <w:rPr>
          <w:rFonts w:ascii="Arial" w:hAnsi="Arial" w:cs="Arial"/>
          <w:szCs w:val="22"/>
        </w:rPr>
        <w:tab/>
        <w:t>For liabilities, the standard retains most of the PAS 39 requirements which include amortized cost accounting for most financial liabilities, with bifurcation of embedded derivatives.  The amendment also requires changes in the fair value of an entity’s own debt instruments caused by changes in its own credit quality to be recognized in other comprehensive income rather than in profit or loss.</w:t>
      </w:r>
    </w:p>
    <w:p>
      <w:pPr>
        <w:pStyle w:val="ListParagraph"/>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PFRS 10 (Amendments), </w:t>
      </w:r>
      <w:r>
        <w:rPr>
          <w:rFonts w:ascii="Arial" w:hAnsi="Arial" w:cs="Arial"/>
          <w:i/>
          <w:szCs w:val="22"/>
        </w:rPr>
        <w:t>Consolidated Financial Statements</w:t>
      </w:r>
      <w:r>
        <w:rPr>
          <w:rFonts w:ascii="Arial" w:hAnsi="Arial" w:cs="Arial"/>
          <w:szCs w:val="22"/>
        </w:rPr>
        <w:t xml:space="preserve">, and PAS 28 (Amendments), </w:t>
      </w:r>
      <w:r>
        <w:rPr>
          <w:rFonts w:ascii="Arial" w:hAnsi="Arial" w:cs="Arial"/>
          <w:i/>
          <w:szCs w:val="22"/>
        </w:rPr>
        <w:t xml:space="preserve">Investments in Associates and Joint Ventures – Sale or Contribution of Assets between an Investor and its Associates or Joint Venture </w:t>
      </w:r>
      <w:r>
        <w:rPr>
          <w:rFonts w:ascii="Arial" w:hAnsi="Arial" w:cs="Arial"/>
          <w:szCs w:val="22"/>
        </w:rPr>
        <w:t xml:space="preserve">(effective date deferred indefinitely).  </w:t>
      </w:r>
      <w:r>
        <w:rPr>
          <w:rFonts w:ascii="Arial" w:hAnsi="Arial" w:cs="Arial"/>
          <w:szCs w:val="22"/>
          <w:lang w:eastAsia="fil-PH"/>
        </w:rPr>
        <w:t xml:space="preserve">The amendments to PFRS 10 require full recognition in the investor’s financial statements of gains or losses arising on the sale or contribution of assets that constitute a business as defined in PFRS 3, </w:t>
      </w:r>
      <w:r>
        <w:rPr>
          <w:rFonts w:ascii="Arial" w:hAnsi="Arial" w:cs="Arial"/>
          <w:i/>
          <w:szCs w:val="22"/>
          <w:lang w:eastAsia="fil-PH"/>
        </w:rPr>
        <w:t>Business Combinations</w:t>
      </w:r>
      <w:r>
        <w:rPr>
          <w:rFonts w:ascii="Arial" w:hAnsi="Arial" w:cs="Arial"/>
          <w:szCs w:val="22"/>
          <w:lang w:eastAsia="fil-PH"/>
        </w:rPr>
        <w:t xml:space="preserve">, between an investor and its associate or joint venture. Accordingly, the partial recognition of gains or losses (i.e., to the extent of the unrelated investor’s interests in an associate or joint venture) only applies to those sale of contribution of assets that do not constitute a </w:t>
      </w:r>
      <w:r>
        <w:rPr>
          <w:rFonts w:ascii="Arial" w:hAnsi="Arial" w:cs="Arial"/>
          <w:szCs w:val="22"/>
          <w:lang w:eastAsia="fil-PH"/>
        </w:rPr>
        <w:lastRenderedPageBreak/>
        <w:t>business.  Corresponding amendments have been made to PAS 28 to reflect these changes.  In addition, PAS 28 has been amended to clarify that when determining whether assets that are sold or contributed constitute a business, an entity shall consider whether the sale or contribution of those assets is part of multiple arrangements that should be accounted for as a single transaction.</w:t>
      </w:r>
    </w:p>
    <w:p>
      <w:pPr>
        <w:pStyle w:val="BodyText2"/>
        <w:tabs>
          <w:tab w:val="clear" w:pos="432"/>
          <w:tab w:val="clear" w:pos="864"/>
          <w:tab w:val="left" w:pos="1440"/>
        </w:tabs>
        <w:ind w:left="1440" w:right="162" w:firstLine="0"/>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IFRIC 22, </w:t>
      </w:r>
      <w:r>
        <w:rPr>
          <w:rFonts w:ascii="Arial" w:hAnsi="Arial" w:cs="Arial"/>
          <w:i/>
          <w:szCs w:val="22"/>
        </w:rPr>
        <w:t xml:space="preserve">Foreign Currency Transactions and Advance Consideration - Interpretation on Foreign Currency Transactions and Advance Consideration </w:t>
      </w:r>
      <w:r>
        <w:rPr>
          <w:rFonts w:ascii="Arial" w:hAnsi="Arial" w:cs="Arial"/>
          <w:szCs w:val="22"/>
        </w:rPr>
        <w:t>(effective from January 1, 2018). The interpretation provides more detailed guidance on how to account for transactions that include the receipt or payment of advance consideration in a foreign currency. The Interpretation states that the date of the transaction, for the purpose of determining the exchange rate, is the date of initial recognition of the non-monetary asset (arising from advance payment) or liability (arising from advance receipt). If there are multiple payments or receipts in advance, a date of transaction is established for each payment or receipt.  Management has initially assessed that this amendment has no material impact on the Company’s financial statements.</w:t>
      </w:r>
    </w:p>
    <w:p>
      <w:pPr>
        <w:pStyle w:val="ListParagraph"/>
        <w:rPr>
          <w:rFonts w:ascii="Arial" w:hAnsi="Arial" w:cs="Arial"/>
          <w:sz w:val="22"/>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Annual Improvements to PFRS 2014-2016 Cycle. Among the improvements, PAS 28 (Amendment), </w:t>
      </w:r>
      <w:r>
        <w:rPr>
          <w:rFonts w:ascii="Arial" w:hAnsi="Arial" w:cs="Arial"/>
          <w:i/>
          <w:szCs w:val="22"/>
        </w:rPr>
        <w:t xml:space="preserve">Investment in Associates </w:t>
      </w:r>
      <w:r>
        <w:rPr>
          <w:rFonts w:ascii="Arial" w:hAnsi="Arial" w:cs="Arial"/>
          <w:szCs w:val="22"/>
        </w:rPr>
        <w:t xml:space="preserve">– </w:t>
      </w:r>
      <w:r>
        <w:rPr>
          <w:rFonts w:ascii="Arial" w:hAnsi="Arial" w:cs="Arial"/>
          <w:i/>
          <w:szCs w:val="22"/>
        </w:rPr>
        <w:t xml:space="preserve">Clarification on Fair Value through Profit or Loss Classification </w:t>
      </w:r>
      <w:r>
        <w:rPr>
          <w:rFonts w:ascii="Arial" w:hAnsi="Arial" w:cs="Arial"/>
          <w:szCs w:val="22"/>
        </w:rPr>
        <w:t>(effective from January 1, 2018) is relevant to the Company.  The amendments clarify that the option for venture capital organization, mutual funds and other similar entities to elect the fair value through profit or loss classification in measuring investments in associates and joint ventures shall be made at initial recognition, separately for each associate or joint venture.</w:t>
      </w:r>
    </w:p>
    <w:p>
      <w:pPr>
        <w:pStyle w:val="ListParagraph"/>
        <w:rPr>
          <w:rFonts w:ascii="Arial" w:hAnsi="Arial" w:cs="Arial"/>
          <w:sz w:val="22"/>
          <w:szCs w:val="22"/>
        </w:rPr>
      </w:pPr>
    </w:p>
    <w:p>
      <w:pPr>
        <w:pStyle w:val="BodyText2"/>
        <w:tabs>
          <w:tab w:val="left" w:pos="1440"/>
        </w:tabs>
        <w:ind w:left="1440" w:right="162"/>
        <w:rPr>
          <w:rFonts w:ascii="Arial" w:hAnsi="Arial" w:cs="Arial"/>
          <w:szCs w:val="22"/>
        </w:rPr>
      </w:pPr>
      <w:r>
        <w:rPr>
          <w:rFonts w:ascii="Garamond" w:hAnsi="Garamond"/>
          <w:szCs w:val="22"/>
        </w:rPr>
        <w:t xml:space="preserve">       </w:t>
      </w:r>
      <w:r>
        <w:rPr>
          <w:rFonts w:ascii="Arial" w:hAnsi="Arial" w:cs="Arial"/>
          <w:szCs w:val="22"/>
        </w:rPr>
        <w:t xml:space="preserve">Management has initially assessed that this amendment has no material impact on the Company’s financial statements. </w:t>
      </w:r>
    </w:p>
    <w:p>
      <w:pPr>
        <w:pStyle w:val="ListParagraph"/>
        <w:rPr>
          <w:rFonts w:ascii="Arial" w:hAnsi="Arial" w:cs="Arial"/>
          <w:sz w:val="22"/>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PAS 28 (Amendment), </w:t>
      </w:r>
      <w:r>
        <w:rPr>
          <w:rFonts w:ascii="Arial" w:hAnsi="Arial" w:cs="Arial"/>
          <w:i/>
          <w:szCs w:val="22"/>
        </w:rPr>
        <w:t xml:space="preserve">Investment in Associates – Long-term Interest in Associates and Joint Venture </w:t>
      </w:r>
      <w:r>
        <w:rPr>
          <w:rFonts w:ascii="Arial" w:hAnsi="Arial" w:cs="Arial"/>
          <w:szCs w:val="22"/>
        </w:rPr>
        <w:t>(effective from January 1, 2019). The amendment clarifies that the scope exclusion in PFRS 9 (2014) applies only to ownership interests accounted for using the equity method.  Thus, the amendment further clarifies that long term interests in an associate or joint venture – to which the equity method is not applied – must be accounted for under PFRS 9 (2014), which shall also include long term interests that, in substance, form part of the entity’s net investment in an associate or joint venture. Management is currently assessing the impact of this new standard in its financial statements.</w:t>
      </w:r>
    </w:p>
    <w:p>
      <w:pPr>
        <w:pStyle w:val="BodyText2"/>
        <w:tabs>
          <w:tab w:val="clear" w:pos="432"/>
          <w:tab w:val="clear" w:pos="864"/>
          <w:tab w:val="left" w:pos="1440"/>
        </w:tabs>
        <w:ind w:left="1440" w:right="162" w:firstLine="0"/>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PFRS 9 (Amendment), </w:t>
      </w:r>
      <w:r>
        <w:rPr>
          <w:rFonts w:ascii="Arial" w:hAnsi="Arial" w:cs="Arial"/>
          <w:i/>
          <w:szCs w:val="22"/>
        </w:rPr>
        <w:t xml:space="preserve">Financial Instruments – Prepayment Features with Negative Compensation </w:t>
      </w:r>
      <w:r>
        <w:rPr>
          <w:rFonts w:ascii="Arial" w:hAnsi="Arial" w:cs="Arial"/>
          <w:szCs w:val="22"/>
        </w:rPr>
        <w:t xml:space="preserve">(effective from January 1, 2019). The amendment clarifies that prepayment features with negative </w:t>
      </w:r>
      <w:r>
        <w:rPr>
          <w:rFonts w:ascii="Arial" w:hAnsi="Arial" w:cs="Arial"/>
          <w:szCs w:val="22"/>
        </w:rPr>
        <w:lastRenderedPageBreak/>
        <w:t>compensation attached to financial instruments may still qualify under the SPPI test.  As such, the financial assets containing prepayment features with negative compensation may still be classified at amortized cost or at FVTOCI. Management is currently assessing the impact of this new standard in its financial statements.</w:t>
      </w:r>
    </w:p>
    <w:p>
      <w:pPr>
        <w:pStyle w:val="ListParagraph"/>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PFRS 16, </w:t>
      </w:r>
      <w:r>
        <w:rPr>
          <w:rFonts w:ascii="Arial" w:hAnsi="Arial" w:cs="Arial"/>
          <w:i/>
          <w:szCs w:val="22"/>
        </w:rPr>
        <w:t>Leases</w:t>
      </w:r>
      <w:r>
        <w:rPr>
          <w:rFonts w:ascii="Arial" w:hAnsi="Arial" w:cs="Arial"/>
          <w:szCs w:val="22"/>
        </w:rPr>
        <w:t xml:space="preserve"> (effective from January 1, 2019).  The new standard will eventually replace PAS 17, </w:t>
      </w:r>
      <w:r>
        <w:rPr>
          <w:rFonts w:ascii="Arial" w:hAnsi="Arial" w:cs="Arial"/>
          <w:i/>
          <w:szCs w:val="22"/>
        </w:rPr>
        <w:t>Leases</w:t>
      </w:r>
      <w:r>
        <w:rPr>
          <w:rFonts w:ascii="Arial" w:hAnsi="Arial" w:cs="Arial"/>
          <w:szCs w:val="22"/>
        </w:rPr>
        <w:t>.</w:t>
      </w:r>
    </w:p>
    <w:p>
      <w:pPr>
        <w:pStyle w:val="ListParagraph"/>
        <w:rPr>
          <w:rFonts w:ascii="Arial" w:hAnsi="Arial" w:cs="Arial"/>
          <w:szCs w:val="22"/>
        </w:rPr>
      </w:pPr>
    </w:p>
    <w:p>
      <w:pPr>
        <w:pStyle w:val="BodyText2"/>
        <w:ind w:left="1440" w:right="162" w:hanging="360"/>
        <w:rPr>
          <w:rFonts w:ascii="Arial" w:hAnsi="Arial" w:cs="Arial"/>
          <w:szCs w:val="22"/>
        </w:rPr>
      </w:pPr>
      <w:r>
        <w:rPr>
          <w:rFonts w:ascii="Arial" w:hAnsi="Arial" w:cs="Arial"/>
          <w:szCs w:val="22"/>
        </w:rPr>
        <w:t xml:space="preserve">      For lessees, it requires to account for leases “on-balance sheet” by recognizing a “right of use” asset and a lease liability.  The lease liability is initially measured as the present value of future lease payments.  For this purpose, lease payments include fixed, non-cancellable payments for lease elements, amounts due under residual value guarantees, certain types of contingent payments and amounts due during optional periods to the extent that extension is reasonably certain.  In subsequent periods, the “right-of-use” asset is accounted for similar to a purchased asset subject to depreciation or amortization.  The lease liability is accounted for similar to a financial liability which is amortized using the effective interest method.  However, the new standard provides important reliefs or exemptions for short-term leases and leases of low value assets.  If these exemptions are used, the accounting is similar to operating lease accounting under PAS 17 where lease payments are recognized as expenses on a straight-line basis over the lease term or another systematic basis (if more representative of the pattern of the lessee’s benefit).</w:t>
      </w:r>
    </w:p>
    <w:p>
      <w:pPr>
        <w:pStyle w:val="BodyText2"/>
        <w:ind w:left="1440" w:right="162" w:hanging="360"/>
        <w:rPr>
          <w:rFonts w:ascii="Arial" w:hAnsi="Arial" w:cs="Arial"/>
          <w:szCs w:val="22"/>
        </w:rPr>
      </w:pPr>
    </w:p>
    <w:p>
      <w:pPr>
        <w:pStyle w:val="BodyText2"/>
        <w:ind w:left="1440" w:right="162" w:hanging="360"/>
        <w:rPr>
          <w:rFonts w:ascii="Arial" w:hAnsi="Arial" w:cs="Arial"/>
          <w:szCs w:val="22"/>
        </w:rPr>
      </w:pPr>
      <w:r>
        <w:rPr>
          <w:rFonts w:ascii="Arial" w:hAnsi="Arial" w:cs="Arial"/>
          <w:szCs w:val="22"/>
        </w:rPr>
        <w:t xml:space="preserve">      For lessors, lease accounting is similar to PAS 17’s.  In particular, the distinction between finance and operating leases is retained.  The definitions of each type of lease, and the supporting indicators of a finance lease, are substantially the same as PAS 17’s.  The basic accounting mechanics are also similar, but with some different or more explicit guidance in few areas.  These include variable payments, sub-leases, lease modifications, the treatment of initial direct costs and lessor disclosures.</w:t>
      </w:r>
    </w:p>
    <w:p>
      <w:pPr>
        <w:pStyle w:val="BodyText2"/>
        <w:ind w:left="1440" w:right="162" w:hanging="360"/>
        <w:rPr>
          <w:rFonts w:ascii="Arial" w:hAnsi="Arial" w:cs="Arial"/>
          <w:szCs w:val="22"/>
        </w:rPr>
      </w:pPr>
    </w:p>
    <w:p>
      <w:pPr>
        <w:pStyle w:val="BodyText2"/>
        <w:ind w:left="1440" w:right="162" w:hanging="360"/>
        <w:rPr>
          <w:rFonts w:ascii="Arial" w:hAnsi="Arial" w:cs="Arial"/>
          <w:szCs w:val="22"/>
        </w:rPr>
      </w:pPr>
      <w:r>
        <w:rPr>
          <w:rFonts w:ascii="Arial" w:hAnsi="Arial" w:cs="Arial"/>
          <w:szCs w:val="22"/>
        </w:rPr>
        <w:t xml:space="preserve">      Management is currently assessing the impact of this new standard in its financial statements.</w:t>
      </w:r>
    </w:p>
    <w:p>
      <w:pPr>
        <w:pStyle w:val="ListParagraph"/>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 xml:space="preserve">IFRIC 23, </w:t>
      </w:r>
      <w:r>
        <w:rPr>
          <w:rFonts w:ascii="Arial" w:hAnsi="Arial" w:cs="Arial"/>
          <w:i/>
          <w:szCs w:val="22"/>
        </w:rPr>
        <w:t xml:space="preserve">Uncertain over Income Tax Treatments </w:t>
      </w:r>
      <w:r>
        <w:rPr>
          <w:rFonts w:ascii="Arial" w:hAnsi="Arial" w:cs="Arial"/>
          <w:szCs w:val="22"/>
        </w:rPr>
        <w:t xml:space="preserve">(effective from January 1, 2019).  The interpretation provides clarification on the determination of taxable profit, tax bases, unused tax losses, unused tax credits, and tax rates when there is uncertainty over income tax treatments.  The core principle of the interpretation requires the Company to consider the probability of the tax treatment being accepted by the taxation authority.  When it is probable that the tax treatment will be accepted, the determination of the taxable profit, tax bases, unused tax losses, unused tax credits, and tax rates shall be on the basis of the accepted tax treatment.  Otherwise, the Company has to use the most </w:t>
      </w:r>
      <w:r>
        <w:rPr>
          <w:rFonts w:ascii="Arial" w:hAnsi="Arial" w:cs="Arial"/>
          <w:szCs w:val="22"/>
        </w:rPr>
        <w:lastRenderedPageBreak/>
        <w:t>likely amount or the expected value, depending on the surrounding circumstances, in determining the tax accounts identified immediately above.  Management is currently assessing the impact of this new standard in its financial statements.</w:t>
      </w:r>
    </w:p>
    <w:p>
      <w:pPr>
        <w:pStyle w:val="BodyText2"/>
        <w:tabs>
          <w:tab w:val="clear" w:pos="432"/>
          <w:tab w:val="clear" w:pos="864"/>
          <w:tab w:val="left" w:pos="1440"/>
        </w:tabs>
        <w:ind w:left="1440" w:right="162" w:firstLine="0"/>
        <w:rPr>
          <w:rFonts w:ascii="Arial" w:hAnsi="Arial" w:cs="Arial"/>
          <w:szCs w:val="22"/>
        </w:rPr>
      </w:pPr>
    </w:p>
    <w:p>
      <w:pPr>
        <w:pStyle w:val="BodyText2"/>
        <w:numPr>
          <w:ilvl w:val="0"/>
          <w:numId w:val="18"/>
        </w:numPr>
        <w:tabs>
          <w:tab w:val="clear" w:pos="432"/>
          <w:tab w:val="clear" w:pos="864"/>
          <w:tab w:val="left" w:pos="1440"/>
        </w:tabs>
        <w:ind w:left="1440" w:right="162" w:firstLine="0"/>
        <w:rPr>
          <w:rFonts w:ascii="Arial" w:hAnsi="Arial" w:cs="Arial"/>
          <w:szCs w:val="22"/>
        </w:rPr>
      </w:pPr>
      <w:r>
        <w:rPr>
          <w:rFonts w:ascii="Arial" w:hAnsi="Arial" w:cs="Arial"/>
          <w:szCs w:val="22"/>
        </w:rPr>
        <w:t>Annual Improvements to PFRS 2015-2017 Cycle. Among the improvements, the following amendments are relevant to the Company but had no material impact on the Company’s financial statements as these amendments merely clarify existing requirements:</w:t>
      </w:r>
    </w:p>
    <w:p>
      <w:pPr>
        <w:pStyle w:val="ListParagraph"/>
        <w:jc w:val="both"/>
        <w:rPr>
          <w:rFonts w:ascii="Arial" w:hAnsi="Arial" w:cs="Arial"/>
          <w:sz w:val="22"/>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t xml:space="preserve">PAS 12 (Amendments), </w:t>
      </w:r>
      <w:r>
        <w:rPr>
          <w:rFonts w:ascii="Arial" w:hAnsi="Arial" w:cs="Arial"/>
          <w:i/>
          <w:szCs w:val="22"/>
        </w:rPr>
        <w:t>Income taxes – Tax Consequences of Dividends</w:t>
      </w:r>
      <w:r>
        <w:rPr>
          <w:rFonts w:ascii="Arial" w:hAnsi="Arial" w:cs="Arial"/>
          <w:szCs w:val="22"/>
        </w:rPr>
        <w:t>.  The amendments clarify that all income tax consequence of dividend payments should be recognized in profit or loss.</w:t>
      </w:r>
    </w:p>
    <w:p>
      <w:pPr>
        <w:pStyle w:val="BodyText2"/>
        <w:tabs>
          <w:tab w:val="clear" w:pos="432"/>
          <w:tab w:val="clear" w:pos="864"/>
          <w:tab w:val="left" w:pos="2160"/>
        </w:tabs>
        <w:ind w:left="2160" w:right="158" w:firstLine="0"/>
        <w:rPr>
          <w:rFonts w:ascii="Arial" w:hAnsi="Arial" w:cs="Arial"/>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t xml:space="preserve">PAS 23 (Amendments), </w:t>
      </w:r>
      <w:r>
        <w:rPr>
          <w:rFonts w:ascii="Arial" w:hAnsi="Arial" w:cs="Arial"/>
          <w:i/>
          <w:szCs w:val="22"/>
        </w:rPr>
        <w:t xml:space="preserve">Borrowing costs – Eligibility for Capitalization. </w:t>
      </w:r>
      <w:r>
        <w:rPr>
          <w:rFonts w:ascii="Arial" w:hAnsi="Arial" w:cs="Arial"/>
          <w:szCs w:val="22"/>
        </w:rPr>
        <w:t>The amendments clarify that any specific borrowing which remains outstanding after the related qualifying asset is ready for its intended purpose, such borrowing will then form part of the entity’s general borrowings when calculating the capitalization rate for capitalization purposes.</w:t>
      </w:r>
    </w:p>
    <w:p>
      <w:pPr>
        <w:pStyle w:val="ListParagraph"/>
        <w:rPr>
          <w:rFonts w:ascii="Arial" w:hAnsi="Arial" w:cs="Arial"/>
          <w:sz w:val="22"/>
          <w:szCs w:val="22"/>
        </w:rPr>
      </w:pPr>
    </w:p>
    <w:p>
      <w:pPr>
        <w:pStyle w:val="BodyText2"/>
        <w:numPr>
          <w:ilvl w:val="0"/>
          <w:numId w:val="12"/>
        </w:numPr>
        <w:tabs>
          <w:tab w:val="clear" w:pos="432"/>
          <w:tab w:val="clear" w:pos="864"/>
          <w:tab w:val="left" w:pos="2160"/>
        </w:tabs>
        <w:ind w:left="2160" w:right="158" w:firstLine="0"/>
        <w:rPr>
          <w:rFonts w:ascii="Arial" w:hAnsi="Arial" w:cs="Arial"/>
          <w:szCs w:val="22"/>
        </w:rPr>
      </w:pPr>
      <w:r>
        <w:rPr>
          <w:rFonts w:ascii="Arial" w:hAnsi="Arial" w:cs="Arial"/>
          <w:szCs w:val="22"/>
        </w:rPr>
        <w:t xml:space="preserve">PFRS 3 (Amendments), </w:t>
      </w:r>
      <w:r>
        <w:rPr>
          <w:rFonts w:ascii="Arial" w:hAnsi="Arial" w:cs="Arial"/>
          <w:i/>
          <w:szCs w:val="22"/>
        </w:rPr>
        <w:t>Business Combinations</w:t>
      </w:r>
      <w:r>
        <w:rPr>
          <w:rFonts w:ascii="Arial" w:hAnsi="Arial" w:cs="Arial"/>
          <w:szCs w:val="22"/>
        </w:rPr>
        <w:t xml:space="preserve"> and PFRS 11 (Amendments), </w:t>
      </w:r>
      <w:r>
        <w:rPr>
          <w:rFonts w:ascii="Arial" w:hAnsi="Arial" w:cs="Arial"/>
          <w:i/>
          <w:szCs w:val="22"/>
        </w:rPr>
        <w:t xml:space="preserve">Joint Arrangements </w:t>
      </w:r>
      <w:r>
        <w:rPr>
          <w:rFonts w:ascii="Arial" w:hAnsi="Arial" w:cs="Arial"/>
          <w:szCs w:val="22"/>
        </w:rPr>
        <w:t xml:space="preserve">– </w:t>
      </w:r>
      <w:r>
        <w:rPr>
          <w:rFonts w:ascii="Arial" w:hAnsi="Arial" w:cs="Arial"/>
          <w:i/>
          <w:szCs w:val="22"/>
        </w:rPr>
        <w:t xml:space="preserve">Remeasurement of Previously Held Interests in a Joint Operation. </w:t>
      </w:r>
      <w:r>
        <w:rPr>
          <w:rFonts w:ascii="Arial" w:hAnsi="Arial" w:cs="Arial"/>
          <w:szCs w:val="22"/>
        </w:rPr>
        <w:t xml:space="preserve"> The amendments clarify that previously held interest in a joint operation shall be remeasured when the Company obtains control of the business.  On the other hand, previously held interests in a joint operation shall not be remeasured when the Company obtains joint control of the business.</w:t>
      </w:r>
    </w:p>
    <w:p>
      <w:pPr>
        <w:widowControl w:val="0"/>
        <w:jc w:val="both"/>
        <w:rPr>
          <w:rFonts w:ascii="Arial" w:hAnsi="Arial" w:cs="Arial"/>
          <w:sz w:val="20"/>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Revenue recognition</w:t>
      </w:r>
    </w:p>
    <w:p>
      <w:pPr>
        <w:widowControl w:val="0"/>
        <w:ind w:left="0" w:firstLine="0"/>
        <w:jc w:val="both"/>
        <w:rPr>
          <w:rFonts w:ascii="Arial" w:hAnsi="Arial" w:cs="Arial"/>
          <w:sz w:val="20"/>
          <w:szCs w:val="22"/>
        </w:rPr>
      </w:pPr>
    </w:p>
    <w:p>
      <w:pPr>
        <w:widowControl w:val="0"/>
        <w:ind w:left="0" w:firstLine="0"/>
        <w:jc w:val="both"/>
        <w:rPr>
          <w:rFonts w:ascii="Arial" w:hAnsi="Arial" w:cs="Arial"/>
          <w:sz w:val="22"/>
          <w:szCs w:val="22"/>
        </w:rPr>
      </w:pPr>
      <w:r>
        <w:rPr>
          <w:rFonts w:ascii="Arial" w:hAnsi="Arial" w:cs="Arial"/>
          <w:sz w:val="22"/>
          <w:szCs w:val="22"/>
        </w:rPr>
        <w:t>Revenue is recognized to the extent that it is probable that economic benefits will flow to the System and it can be reliably measured.  The following specific recognition criteria must also be set before revenue is recognized:</w:t>
      </w:r>
    </w:p>
    <w:p>
      <w:pPr>
        <w:widowControl w:val="0"/>
        <w:ind w:left="0" w:firstLine="0"/>
        <w:jc w:val="both"/>
        <w:rPr>
          <w:rFonts w:ascii="Arial" w:hAnsi="Arial" w:cs="Arial"/>
          <w:sz w:val="20"/>
          <w:szCs w:val="22"/>
        </w:rPr>
      </w:pPr>
    </w:p>
    <w:p>
      <w:pPr>
        <w:pStyle w:val="ListParagraph"/>
        <w:widowControl w:val="0"/>
        <w:numPr>
          <w:ilvl w:val="0"/>
          <w:numId w:val="3"/>
        </w:numPr>
        <w:ind w:left="1440" w:hanging="720"/>
        <w:jc w:val="both"/>
        <w:rPr>
          <w:rFonts w:ascii="Arial" w:hAnsi="Arial" w:cs="Arial"/>
          <w:i/>
          <w:sz w:val="22"/>
          <w:szCs w:val="22"/>
          <w:lang w:eastAsia="ar-SA"/>
        </w:rPr>
      </w:pPr>
      <w:r>
        <w:rPr>
          <w:rFonts w:ascii="Arial" w:hAnsi="Arial" w:cs="Arial"/>
          <w:i/>
          <w:sz w:val="22"/>
          <w:szCs w:val="22"/>
          <w:lang w:eastAsia="ar-SA"/>
        </w:rPr>
        <w:t>Real estate sales</w:t>
      </w:r>
    </w:p>
    <w:p>
      <w:pPr>
        <w:widowControl w:val="0"/>
        <w:ind w:left="0" w:firstLine="0"/>
        <w:jc w:val="both"/>
        <w:rPr>
          <w:rFonts w:ascii="Arial" w:hAnsi="Arial" w:cs="Arial"/>
          <w:sz w:val="20"/>
          <w:szCs w:val="22"/>
        </w:rPr>
      </w:pPr>
    </w:p>
    <w:p>
      <w:pPr>
        <w:widowControl w:val="0"/>
        <w:ind w:left="1440" w:firstLine="0"/>
        <w:jc w:val="both"/>
        <w:rPr>
          <w:rFonts w:ascii="Arial" w:hAnsi="Arial" w:cs="Arial"/>
          <w:sz w:val="22"/>
          <w:szCs w:val="22"/>
        </w:rPr>
      </w:pPr>
      <w:r>
        <w:rPr>
          <w:rFonts w:ascii="Arial" w:hAnsi="Arial" w:cs="Arial"/>
          <w:sz w:val="22"/>
          <w:szCs w:val="22"/>
        </w:rPr>
        <w:t>Real estate sales are accounted for under the full accrual method of accounting. Under this method, gross profit is recognized when: (a) the collectability of the sales price is reasonably assured; (b) the earnings process is virtually complete; and (c) the System does not have substantial continuing involvement with the subject properties.</w:t>
      </w:r>
    </w:p>
    <w:p>
      <w:pPr>
        <w:widowControl w:val="0"/>
        <w:ind w:left="1440" w:firstLine="0"/>
        <w:jc w:val="both"/>
        <w:rPr>
          <w:rFonts w:ascii="Arial" w:hAnsi="Arial" w:cs="Arial"/>
          <w:sz w:val="22"/>
          <w:szCs w:val="22"/>
        </w:rPr>
      </w:pPr>
    </w:p>
    <w:p>
      <w:pPr>
        <w:widowControl w:val="0"/>
        <w:ind w:left="1440" w:firstLine="0"/>
        <w:jc w:val="both"/>
        <w:rPr>
          <w:rFonts w:ascii="Arial" w:hAnsi="Arial" w:cs="Arial"/>
          <w:sz w:val="22"/>
          <w:szCs w:val="22"/>
        </w:rPr>
      </w:pPr>
      <w:r>
        <w:rPr>
          <w:rFonts w:ascii="Arial" w:hAnsi="Arial" w:cs="Arial"/>
          <w:sz w:val="22"/>
          <w:szCs w:val="22"/>
        </w:rPr>
        <w:t xml:space="preserve">The collectability of the sales price is considered reasonably assured when: (a) the buyers have actually confirmed the acceptance of the related loan applications after the same have been delivered to and approved by either the Home Development Mutual Fund, banks, or other </w:t>
      </w:r>
      <w:r>
        <w:rPr>
          <w:rFonts w:ascii="Arial" w:hAnsi="Arial" w:cs="Arial"/>
          <w:sz w:val="22"/>
          <w:szCs w:val="22"/>
        </w:rPr>
        <w:lastRenderedPageBreak/>
        <w:t xml:space="preserve">financing institutions for externally-financed accounts; or (b) the full down payment required in the sales contract or comprising a substantial portion of the contract price is received and the capacity to pay and credit worthiness of buyers have been reasonably established for sales under the installment and deferred cash payment arrangement. </w:t>
      </w:r>
    </w:p>
    <w:p>
      <w:pPr>
        <w:widowControl w:val="0"/>
        <w:ind w:left="0" w:firstLine="0"/>
        <w:jc w:val="both"/>
        <w:rPr>
          <w:rFonts w:ascii="Arial" w:hAnsi="Arial" w:cs="Arial"/>
          <w:sz w:val="20"/>
          <w:szCs w:val="22"/>
        </w:rPr>
      </w:pPr>
    </w:p>
    <w:p>
      <w:pPr>
        <w:pStyle w:val="ListParagraph"/>
        <w:widowControl w:val="0"/>
        <w:numPr>
          <w:ilvl w:val="0"/>
          <w:numId w:val="3"/>
        </w:numPr>
        <w:ind w:left="1440" w:hanging="720"/>
        <w:jc w:val="both"/>
        <w:rPr>
          <w:rFonts w:ascii="Arial" w:hAnsi="Arial" w:cs="Arial"/>
          <w:i/>
          <w:sz w:val="22"/>
          <w:szCs w:val="22"/>
          <w:lang w:eastAsia="ar-SA"/>
        </w:rPr>
      </w:pPr>
      <w:r>
        <w:rPr>
          <w:rFonts w:ascii="Arial" w:hAnsi="Arial" w:cs="Arial"/>
          <w:i/>
          <w:sz w:val="22"/>
          <w:szCs w:val="22"/>
          <w:lang w:eastAsia="ar-SA"/>
        </w:rPr>
        <w:t>Rental income</w:t>
      </w:r>
    </w:p>
    <w:p>
      <w:pPr>
        <w:widowControl w:val="0"/>
        <w:ind w:left="0" w:firstLine="0"/>
        <w:jc w:val="both"/>
        <w:rPr>
          <w:rFonts w:ascii="Arial" w:hAnsi="Arial" w:cs="Arial"/>
          <w:sz w:val="20"/>
          <w:szCs w:val="22"/>
        </w:rPr>
      </w:pPr>
    </w:p>
    <w:p>
      <w:pPr>
        <w:widowControl w:val="0"/>
        <w:ind w:left="1440" w:firstLine="0"/>
        <w:jc w:val="both"/>
        <w:rPr>
          <w:rFonts w:ascii="Arial" w:hAnsi="Arial" w:cs="Arial"/>
          <w:sz w:val="22"/>
          <w:szCs w:val="22"/>
        </w:rPr>
      </w:pPr>
      <w:r>
        <w:rPr>
          <w:rFonts w:ascii="Arial" w:hAnsi="Arial" w:cs="Arial"/>
          <w:sz w:val="22"/>
          <w:szCs w:val="22"/>
        </w:rPr>
        <w:t>Rental income from investment property is accounted for on a straight-line basis over the lease term.</w:t>
      </w:r>
    </w:p>
    <w:p>
      <w:pPr>
        <w:widowControl w:val="0"/>
        <w:ind w:left="810" w:firstLine="0"/>
        <w:jc w:val="both"/>
        <w:rPr>
          <w:rFonts w:ascii="Arial" w:hAnsi="Arial" w:cs="Arial"/>
          <w:sz w:val="20"/>
          <w:szCs w:val="22"/>
        </w:rPr>
      </w:pPr>
    </w:p>
    <w:p>
      <w:pPr>
        <w:pStyle w:val="ListParagraph"/>
        <w:widowControl w:val="0"/>
        <w:numPr>
          <w:ilvl w:val="0"/>
          <w:numId w:val="3"/>
        </w:numPr>
        <w:ind w:left="1440" w:hanging="720"/>
        <w:jc w:val="both"/>
        <w:rPr>
          <w:rFonts w:ascii="Arial" w:hAnsi="Arial" w:cs="Arial"/>
          <w:i/>
          <w:sz w:val="22"/>
          <w:szCs w:val="22"/>
          <w:lang w:eastAsia="ar-SA"/>
        </w:rPr>
      </w:pPr>
      <w:r>
        <w:rPr>
          <w:rFonts w:ascii="Arial" w:hAnsi="Arial" w:cs="Arial"/>
          <w:i/>
          <w:sz w:val="22"/>
          <w:szCs w:val="22"/>
          <w:lang w:eastAsia="ar-SA"/>
        </w:rPr>
        <w:t>Interest income</w:t>
      </w:r>
    </w:p>
    <w:p>
      <w:pPr>
        <w:widowControl w:val="0"/>
        <w:ind w:left="810" w:firstLine="0"/>
        <w:jc w:val="both"/>
        <w:rPr>
          <w:rFonts w:ascii="Arial" w:hAnsi="Arial" w:cs="Arial"/>
          <w:sz w:val="20"/>
          <w:szCs w:val="22"/>
        </w:rPr>
      </w:pPr>
    </w:p>
    <w:p>
      <w:pPr>
        <w:widowControl w:val="0"/>
        <w:ind w:left="1440" w:firstLine="0"/>
        <w:jc w:val="both"/>
        <w:rPr>
          <w:rFonts w:ascii="Arial" w:hAnsi="Arial" w:cs="Arial"/>
          <w:sz w:val="22"/>
          <w:szCs w:val="22"/>
        </w:rPr>
      </w:pPr>
      <w:r>
        <w:rPr>
          <w:rFonts w:ascii="Arial" w:hAnsi="Arial" w:cs="Arial"/>
          <w:sz w:val="22"/>
          <w:szCs w:val="22"/>
        </w:rPr>
        <w:t>Revenue is recognized as the interest accrues taking into account the effective yield of the financial instrument or the installment receivable from real estate sales.</w:t>
      </w:r>
    </w:p>
    <w:p>
      <w:pPr>
        <w:pStyle w:val="ListParagraph"/>
        <w:widowControl w:val="0"/>
        <w:ind w:left="1440" w:firstLine="0"/>
        <w:jc w:val="both"/>
        <w:rPr>
          <w:rFonts w:ascii="Arial" w:hAnsi="Arial" w:cs="Arial"/>
          <w:i/>
          <w:sz w:val="20"/>
          <w:szCs w:val="22"/>
          <w:lang w:eastAsia="ar-SA"/>
        </w:rPr>
      </w:pPr>
    </w:p>
    <w:p>
      <w:pPr>
        <w:pStyle w:val="ListParagraph"/>
        <w:widowControl w:val="0"/>
        <w:numPr>
          <w:ilvl w:val="0"/>
          <w:numId w:val="3"/>
        </w:numPr>
        <w:ind w:left="1440" w:hanging="720"/>
        <w:jc w:val="both"/>
        <w:rPr>
          <w:rFonts w:ascii="Arial" w:hAnsi="Arial" w:cs="Arial"/>
          <w:i/>
          <w:sz w:val="22"/>
          <w:szCs w:val="22"/>
          <w:lang w:eastAsia="ar-SA"/>
        </w:rPr>
      </w:pPr>
      <w:r>
        <w:rPr>
          <w:rFonts w:ascii="Arial" w:hAnsi="Arial" w:cs="Arial"/>
          <w:i/>
          <w:sz w:val="22"/>
          <w:szCs w:val="22"/>
          <w:lang w:eastAsia="ar-SA"/>
        </w:rPr>
        <w:t>Gain from sale of investment</w:t>
      </w:r>
    </w:p>
    <w:p>
      <w:pPr>
        <w:widowControl w:val="0"/>
        <w:ind w:left="810" w:firstLine="0"/>
        <w:jc w:val="both"/>
        <w:rPr>
          <w:rFonts w:ascii="Arial" w:hAnsi="Arial" w:cs="Arial"/>
          <w:b/>
          <w:sz w:val="20"/>
          <w:szCs w:val="22"/>
          <w:u w:val="single"/>
        </w:rPr>
      </w:pPr>
    </w:p>
    <w:p>
      <w:pPr>
        <w:pStyle w:val="ListParagraph"/>
        <w:widowControl w:val="0"/>
        <w:ind w:left="1440" w:firstLine="0"/>
        <w:contextualSpacing w:val="0"/>
        <w:jc w:val="both"/>
        <w:rPr>
          <w:rFonts w:ascii="Arial" w:hAnsi="Arial" w:cs="Arial"/>
          <w:sz w:val="22"/>
          <w:szCs w:val="22"/>
        </w:rPr>
      </w:pPr>
      <w:r>
        <w:rPr>
          <w:rFonts w:ascii="Arial" w:hAnsi="Arial" w:cs="Arial"/>
          <w:sz w:val="22"/>
          <w:szCs w:val="22"/>
        </w:rPr>
        <w:t xml:space="preserve">Revenue is recognized upon consummation of the sale transaction.  Under this method, gross profit is recognized when: (a) the collectability of the sales price is reasonably assured; (b) the earnings process and sales documentation are virtually complete; and (c) the System does not have substantial continuing involvement with the subject investment. </w:t>
      </w:r>
    </w:p>
    <w:p>
      <w:pPr>
        <w:widowControl w:val="0"/>
        <w:ind w:left="810" w:firstLine="0"/>
        <w:jc w:val="both"/>
        <w:rPr>
          <w:rFonts w:ascii="Arial" w:hAnsi="Arial" w:cs="Arial"/>
          <w:b/>
          <w:sz w:val="20"/>
          <w:szCs w:val="22"/>
          <w:u w:val="single"/>
        </w:rPr>
      </w:pPr>
    </w:p>
    <w:p>
      <w:pPr>
        <w:pStyle w:val="ListParagraph"/>
        <w:widowControl w:val="0"/>
        <w:numPr>
          <w:ilvl w:val="0"/>
          <w:numId w:val="3"/>
        </w:numPr>
        <w:ind w:left="1440" w:hanging="720"/>
        <w:jc w:val="both"/>
        <w:rPr>
          <w:rFonts w:ascii="Arial" w:hAnsi="Arial" w:cs="Arial"/>
          <w:i/>
          <w:sz w:val="22"/>
          <w:szCs w:val="22"/>
          <w:lang w:eastAsia="ar-SA"/>
        </w:rPr>
      </w:pPr>
      <w:r>
        <w:rPr>
          <w:rFonts w:ascii="Arial" w:hAnsi="Arial" w:cs="Arial"/>
          <w:i/>
          <w:sz w:val="22"/>
          <w:szCs w:val="22"/>
          <w:lang w:eastAsia="ar-SA"/>
        </w:rPr>
        <w:t>Dividend income</w:t>
      </w:r>
    </w:p>
    <w:p>
      <w:pPr>
        <w:widowControl w:val="0"/>
        <w:ind w:left="810" w:firstLine="0"/>
        <w:jc w:val="both"/>
        <w:rPr>
          <w:rFonts w:ascii="Arial" w:hAnsi="Arial" w:cs="Arial"/>
          <w:b/>
          <w:sz w:val="20"/>
          <w:szCs w:val="22"/>
          <w:u w:val="single"/>
        </w:rPr>
      </w:pPr>
    </w:p>
    <w:p>
      <w:pPr>
        <w:widowControl w:val="0"/>
        <w:ind w:left="1440" w:firstLine="0"/>
        <w:jc w:val="both"/>
        <w:rPr>
          <w:rFonts w:ascii="Arial" w:hAnsi="Arial" w:cs="Arial"/>
          <w:sz w:val="22"/>
          <w:szCs w:val="22"/>
        </w:rPr>
      </w:pPr>
      <w:r>
        <w:rPr>
          <w:rFonts w:ascii="Arial" w:hAnsi="Arial" w:cs="Arial"/>
          <w:sz w:val="22"/>
          <w:szCs w:val="22"/>
        </w:rPr>
        <w:t>Dividend income is recognized when the right to receive payment is established.</w:t>
      </w:r>
    </w:p>
    <w:p>
      <w:pPr>
        <w:widowControl w:val="0"/>
        <w:ind w:left="0" w:firstLine="0"/>
        <w:jc w:val="both"/>
        <w:rPr>
          <w:rFonts w:ascii="Arial" w:hAnsi="Arial" w:cs="Arial"/>
          <w:b/>
          <w:sz w:val="20"/>
          <w:szCs w:val="22"/>
          <w:u w:val="single"/>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Cash and cash equivalents</w:t>
      </w:r>
    </w:p>
    <w:p>
      <w:pPr>
        <w:widowControl w:val="0"/>
        <w:ind w:left="0" w:firstLine="0"/>
        <w:rPr>
          <w:rFonts w:ascii="Arial" w:hAnsi="Arial" w:cs="Arial"/>
          <w:sz w:val="20"/>
          <w:szCs w:val="22"/>
        </w:rPr>
      </w:pPr>
    </w:p>
    <w:p>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r>
        <w:rPr>
          <w:rFonts w:ascii="Arial" w:hAnsi="Arial" w:cs="Arial"/>
          <w:szCs w:val="22"/>
          <w:u w:val="none"/>
        </w:rPr>
        <w:t>Cash includes cash on hand and in banks. Cash equivalents are short-term, highly liquid investments that are readily convertible to known amount of cash with original maturities of three months or less and that are subject to an insignificant risk of change in value.</w:t>
      </w:r>
    </w:p>
    <w:p>
      <w:pPr>
        <w:widowControl w:val="0"/>
        <w:ind w:left="0" w:firstLine="0"/>
        <w:rPr>
          <w:rFonts w:ascii="Arial" w:hAnsi="Arial" w:cs="Arial"/>
          <w:sz w:val="20"/>
          <w:szCs w:val="20"/>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Financial assets and liabilities</w:t>
      </w:r>
    </w:p>
    <w:p>
      <w:pPr>
        <w:widowControl w:val="0"/>
        <w:ind w:left="0" w:firstLine="0"/>
        <w:rPr>
          <w:rFonts w:ascii="Arial" w:hAnsi="Arial" w:cs="Arial"/>
          <w:sz w:val="20"/>
          <w:szCs w:val="20"/>
          <w:u w:val="single"/>
        </w:rPr>
      </w:pPr>
    </w:p>
    <w:p>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r>
        <w:rPr>
          <w:rFonts w:ascii="Arial" w:hAnsi="Arial" w:cs="Arial"/>
          <w:szCs w:val="22"/>
          <w:u w:val="none"/>
        </w:rPr>
        <w:t>Financial assets are classified in the following categories at initial recognition based on the purpose for which they are acquired:</w:t>
      </w:r>
    </w:p>
    <w:p>
      <w:pPr>
        <w:pStyle w:val="ListContinue"/>
        <w:widowControl w:val="0"/>
        <w:tabs>
          <w:tab w:val="left" w:pos="1428"/>
        </w:tabs>
        <w:spacing w:after="0"/>
        <w:ind w:left="0" w:firstLine="0"/>
        <w:jc w:val="both"/>
        <w:rPr>
          <w:rFonts w:ascii="Arial" w:hAnsi="Arial" w:cs="Arial"/>
          <w:sz w:val="16"/>
          <w:szCs w:val="22"/>
        </w:rPr>
      </w:pPr>
      <w:r>
        <w:rPr>
          <w:rFonts w:ascii="Arial" w:hAnsi="Arial" w:cs="Arial"/>
          <w:sz w:val="18"/>
          <w:szCs w:val="22"/>
        </w:rPr>
        <w:tab/>
      </w:r>
    </w:p>
    <w:p>
      <w:pPr>
        <w:pStyle w:val="ListParagraph"/>
        <w:widowControl w:val="0"/>
        <w:numPr>
          <w:ilvl w:val="0"/>
          <w:numId w:val="4"/>
        </w:numPr>
        <w:ind w:left="1440" w:hanging="720"/>
        <w:jc w:val="both"/>
        <w:rPr>
          <w:rFonts w:ascii="Arial" w:hAnsi="Arial" w:cs="Arial"/>
          <w:i/>
          <w:sz w:val="22"/>
          <w:szCs w:val="22"/>
          <w:lang w:eastAsia="ar-SA"/>
        </w:rPr>
      </w:pPr>
      <w:r>
        <w:rPr>
          <w:rFonts w:ascii="Arial" w:hAnsi="Arial" w:cs="Arial"/>
          <w:i/>
          <w:sz w:val="22"/>
          <w:szCs w:val="22"/>
          <w:lang w:eastAsia="ar-SA"/>
        </w:rPr>
        <w:t>Financial assets held for trading</w:t>
      </w:r>
    </w:p>
    <w:p>
      <w:pPr>
        <w:pStyle w:val="ListContinue"/>
        <w:widowControl w:val="0"/>
        <w:spacing w:after="0"/>
        <w:ind w:left="0" w:firstLine="0"/>
        <w:jc w:val="both"/>
        <w:rPr>
          <w:rFonts w:ascii="Arial" w:hAnsi="Arial" w:cs="Arial"/>
          <w:sz w:val="18"/>
          <w:szCs w:val="22"/>
        </w:rPr>
      </w:pPr>
    </w:p>
    <w:p>
      <w:pPr>
        <w:pStyle w:val="ListContinue"/>
        <w:widowControl w:val="0"/>
        <w:spacing w:after="0"/>
        <w:ind w:left="1440" w:firstLine="0"/>
        <w:jc w:val="both"/>
        <w:rPr>
          <w:rFonts w:ascii="Arial" w:hAnsi="Arial" w:cs="Arial"/>
          <w:szCs w:val="22"/>
        </w:rPr>
      </w:pPr>
      <w:r>
        <w:rPr>
          <w:rFonts w:ascii="Arial" w:hAnsi="Arial" w:cs="Arial"/>
          <w:szCs w:val="22"/>
        </w:rPr>
        <w:t>A financial asset is classified in this category if acquired principally for the purpose of selling in the short-term or, if so designated by the System.  Assets in this category are classified as current and booked under short-term investments if they are either held for trading or are expected to be realized within 12 months as of the statement of financial position date.</w:t>
      </w:r>
    </w:p>
    <w:p>
      <w:pPr>
        <w:pStyle w:val="EndnoteText"/>
        <w:widowControl w:val="0"/>
        <w:overflowPunct/>
        <w:autoSpaceDE/>
        <w:autoSpaceDN/>
        <w:adjustRightInd/>
        <w:ind w:left="0" w:firstLine="0"/>
        <w:textAlignment w:val="auto"/>
        <w:rPr>
          <w:rFonts w:ascii="Arial" w:hAnsi="Arial" w:cs="Arial"/>
          <w:sz w:val="18"/>
          <w:szCs w:val="22"/>
        </w:rPr>
      </w:pPr>
    </w:p>
    <w:p>
      <w:pPr>
        <w:ind w:left="0" w:firstLine="0"/>
        <w:rPr>
          <w:rFonts w:ascii="Arial" w:hAnsi="Arial" w:cs="Arial"/>
          <w:i/>
          <w:sz w:val="22"/>
          <w:szCs w:val="22"/>
          <w:lang w:eastAsia="ar-SA"/>
        </w:rPr>
      </w:pPr>
      <w:r>
        <w:rPr>
          <w:rFonts w:ascii="Arial" w:hAnsi="Arial" w:cs="Arial"/>
          <w:i/>
          <w:sz w:val="22"/>
          <w:szCs w:val="22"/>
          <w:lang w:eastAsia="ar-SA"/>
        </w:rPr>
        <w:br w:type="page"/>
      </w:r>
    </w:p>
    <w:p>
      <w:pPr>
        <w:pStyle w:val="ListParagraph"/>
        <w:widowControl w:val="0"/>
        <w:numPr>
          <w:ilvl w:val="0"/>
          <w:numId w:val="4"/>
        </w:numPr>
        <w:ind w:left="1440" w:hanging="720"/>
        <w:jc w:val="both"/>
        <w:rPr>
          <w:rFonts w:ascii="Arial" w:hAnsi="Arial" w:cs="Arial"/>
          <w:i/>
          <w:sz w:val="22"/>
          <w:szCs w:val="22"/>
          <w:lang w:eastAsia="ar-SA"/>
        </w:rPr>
      </w:pPr>
      <w:r>
        <w:rPr>
          <w:rFonts w:ascii="Arial" w:hAnsi="Arial" w:cs="Arial"/>
          <w:i/>
          <w:sz w:val="22"/>
          <w:szCs w:val="22"/>
          <w:lang w:eastAsia="ar-SA"/>
        </w:rPr>
        <w:lastRenderedPageBreak/>
        <w:t>Loans and receivables</w:t>
      </w:r>
    </w:p>
    <w:p>
      <w:pPr>
        <w:pStyle w:val="ListParagraph"/>
        <w:widowControl w:val="0"/>
        <w:ind w:left="1440" w:firstLine="0"/>
        <w:jc w:val="both"/>
        <w:rPr>
          <w:rFonts w:ascii="Arial" w:hAnsi="Arial" w:cs="Arial"/>
          <w:i/>
          <w:sz w:val="22"/>
          <w:szCs w:val="22"/>
          <w:lang w:eastAsia="ar-SA"/>
        </w:rPr>
      </w:pPr>
    </w:p>
    <w:p>
      <w:pPr>
        <w:pStyle w:val="BodyTextIndent2"/>
        <w:widowControl w:val="0"/>
        <w:tabs>
          <w:tab w:val="clear" w:pos="432"/>
          <w:tab w:val="clear" w:pos="864"/>
        </w:tabs>
        <w:spacing w:line="240" w:lineRule="auto"/>
        <w:ind w:left="1440" w:firstLine="0"/>
        <w:rPr>
          <w:rFonts w:ascii="Arial" w:hAnsi="Arial" w:cs="Arial"/>
          <w:szCs w:val="22"/>
        </w:rPr>
      </w:pPr>
      <w:r>
        <w:rPr>
          <w:rFonts w:ascii="Arial" w:hAnsi="Arial" w:cs="Arial"/>
          <w:szCs w:val="22"/>
        </w:rPr>
        <w:t>Loans and receivables are stated at the outstanding balance reduced by an allowance for doubtful accounts.  Loans and receivables are non-derivative financial assets with fixed or determinable payments that are not quoted in an active market.  These are classified as non-current assets except for those reclassified under the current portion.</w:t>
      </w:r>
    </w:p>
    <w:p>
      <w:pPr>
        <w:pStyle w:val="Heading7"/>
        <w:keepNext w:val="0"/>
        <w:widowControl w:val="0"/>
        <w:numPr>
          <w:ilvl w:val="12"/>
          <w:numId w:val="0"/>
        </w:numPr>
        <w:ind w:left="1440"/>
        <w:jc w:val="both"/>
        <w:rPr>
          <w:rFonts w:ascii="Arial" w:hAnsi="Arial" w:cs="Arial"/>
          <w:i/>
          <w:szCs w:val="22"/>
          <w:u w:val="none"/>
        </w:rPr>
      </w:pPr>
    </w:p>
    <w:p>
      <w:pPr>
        <w:pStyle w:val="BodyTextIndent2"/>
        <w:widowControl w:val="0"/>
        <w:tabs>
          <w:tab w:val="clear" w:pos="432"/>
          <w:tab w:val="clear" w:pos="864"/>
        </w:tabs>
        <w:spacing w:line="240" w:lineRule="auto"/>
        <w:ind w:left="1440" w:firstLine="0"/>
        <w:rPr>
          <w:rFonts w:ascii="Arial" w:hAnsi="Arial" w:cs="Arial"/>
          <w:szCs w:val="22"/>
        </w:rPr>
      </w:pPr>
      <w:r>
        <w:rPr>
          <w:rFonts w:ascii="Arial" w:hAnsi="Arial" w:cs="Arial"/>
          <w:szCs w:val="22"/>
        </w:rPr>
        <w:t>Unearned interest is amortized to income over the term of the loan, using the interest method.  Interest on loans is accrued as earned.</w:t>
      </w:r>
    </w:p>
    <w:p>
      <w:pPr>
        <w:pStyle w:val="BodyTextIndent2"/>
        <w:widowControl w:val="0"/>
        <w:tabs>
          <w:tab w:val="clear" w:pos="432"/>
          <w:tab w:val="clear" w:pos="864"/>
        </w:tabs>
        <w:spacing w:line="240" w:lineRule="auto"/>
        <w:ind w:left="1440" w:firstLine="0"/>
        <w:rPr>
          <w:rFonts w:ascii="Arial" w:hAnsi="Arial" w:cs="Arial"/>
          <w:szCs w:val="22"/>
        </w:rPr>
      </w:pPr>
    </w:p>
    <w:p>
      <w:pPr>
        <w:pStyle w:val="BodyTextIndent2"/>
        <w:widowControl w:val="0"/>
        <w:tabs>
          <w:tab w:val="clear" w:pos="432"/>
          <w:tab w:val="clear" w:pos="864"/>
        </w:tabs>
        <w:spacing w:line="240" w:lineRule="auto"/>
        <w:ind w:left="1440" w:firstLine="0"/>
        <w:rPr>
          <w:rFonts w:ascii="Arial" w:hAnsi="Arial" w:cs="Arial"/>
          <w:szCs w:val="22"/>
        </w:rPr>
      </w:pPr>
      <w:r>
        <w:rPr>
          <w:rFonts w:ascii="Arial" w:hAnsi="Arial" w:cs="Arial"/>
          <w:szCs w:val="22"/>
        </w:rPr>
        <w:t>Allowance for doubtful accounts is based on Management’s evaluation of the collectability of loans and prior loan loss experience.  This allowance is established through a provision charged to expense.  Loans are written-off against the allowance for doubtful accounts when the collectability of the principal is unlikely.</w:t>
      </w:r>
    </w:p>
    <w:p>
      <w:pPr>
        <w:widowControl w:val="0"/>
        <w:ind w:left="0" w:firstLine="0"/>
        <w:jc w:val="both"/>
        <w:rPr>
          <w:rFonts w:ascii="Arial" w:hAnsi="Arial" w:cs="Arial"/>
          <w:sz w:val="22"/>
          <w:szCs w:val="22"/>
        </w:rPr>
      </w:pPr>
    </w:p>
    <w:p>
      <w:pPr>
        <w:pStyle w:val="ListParagraph"/>
        <w:widowControl w:val="0"/>
        <w:numPr>
          <w:ilvl w:val="0"/>
          <w:numId w:val="4"/>
        </w:numPr>
        <w:ind w:left="1440" w:hanging="720"/>
        <w:jc w:val="both"/>
        <w:rPr>
          <w:rFonts w:ascii="Arial" w:hAnsi="Arial" w:cs="Arial"/>
          <w:i/>
          <w:sz w:val="22"/>
          <w:szCs w:val="22"/>
          <w:lang w:eastAsia="ar-SA"/>
        </w:rPr>
      </w:pPr>
      <w:r>
        <w:rPr>
          <w:rFonts w:ascii="Arial" w:hAnsi="Arial" w:cs="Arial"/>
          <w:i/>
          <w:sz w:val="22"/>
          <w:szCs w:val="22"/>
          <w:lang w:eastAsia="ar-SA"/>
        </w:rPr>
        <w:t>Held-to-maturity (HTM) investments</w:t>
      </w:r>
    </w:p>
    <w:p>
      <w:pPr>
        <w:widowControl w:val="0"/>
        <w:ind w:left="0" w:firstLine="0"/>
        <w:jc w:val="both"/>
        <w:rPr>
          <w:rFonts w:ascii="Arial" w:hAnsi="Arial" w:cs="Arial"/>
          <w:sz w:val="22"/>
          <w:szCs w:val="22"/>
        </w:rPr>
      </w:pPr>
    </w:p>
    <w:p>
      <w:pPr>
        <w:widowControl w:val="0"/>
        <w:ind w:left="1440" w:firstLine="0"/>
        <w:jc w:val="both"/>
        <w:rPr>
          <w:rFonts w:ascii="Arial" w:hAnsi="Arial" w:cs="Arial"/>
          <w:sz w:val="22"/>
          <w:szCs w:val="22"/>
        </w:rPr>
      </w:pPr>
      <w:r>
        <w:rPr>
          <w:rFonts w:ascii="Arial" w:hAnsi="Arial" w:cs="Arial"/>
          <w:sz w:val="22"/>
          <w:szCs w:val="22"/>
        </w:rPr>
        <w:t>HTM investments are non-derivative financial assets with fixed or determinable payments and fixed maturities that the AFPRSBS intends and is able to hold to maturity.</w:t>
      </w:r>
    </w:p>
    <w:p>
      <w:pPr>
        <w:widowControl w:val="0"/>
        <w:ind w:left="0" w:firstLine="0"/>
        <w:jc w:val="both"/>
        <w:rPr>
          <w:rFonts w:ascii="Arial" w:hAnsi="Arial" w:cs="Arial"/>
          <w:sz w:val="22"/>
          <w:szCs w:val="22"/>
        </w:rPr>
      </w:pPr>
    </w:p>
    <w:p>
      <w:pPr>
        <w:pStyle w:val="ListParagraph"/>
        <w:widowControl w:val="0"/>
        <w:numPr>
          <w:ilvl w:val="0"/>
          <w:numId w:val="4"/>
        </w:numPr>
        <w:ind w:left="1440" w:hanging="720"/>
        <w:jc w:val="both"/>
        <w:rPr>
          <w:rFonts w:ascii="Arial" w:hAnsi="Arial" w:cs="Arial"/>
          <w:i/>
          <w:sz w:val="22"/>
          <w:szCs w:val="22"/>
          <w:lang w:eastAsia="ar-SA"/>
        </w:rPr>
      </w:pPr>
      <w:r>
        <w:rPr>
          <w:rFonts w:ascii="Arial" w:hAnsi="Arial" w:cs="Arial"/>
          <w:i/>
          <w:sz w:val="22"/>
          <w:szCs w:val="22"/>
          <w:lang w:eastAsia="ar-SA"/>
        </w:rPr>
        <w:t>Available-for-sale (AFS) financial assets</w:t>
      </w:r>
    </w:p>
    <w:p>
      <w:pPr>
        <w:widowControl w:val="0"/>
        <w:ind w:left="0" w:firstLine="0"/>
        <w:rPr>
          <w:rFonts w:ascii="Arial" w:hAnsi="Arial" w:cs="Arial"/>
          <w:sz w:val="22"/>
          <w:szCs w:val="22"/>
        </w:rPr>
      </w:pPr>
    </w:p>
    <w:p>
      <w:pPr>
        <w:widowControl w:val="0"/>
        <w:ind w:left="1440" w:firstLine="0"/>
        <w:jc w:val="both"/>
        <w:rPr>
          <w:rFonts w:ascii="Arial" w:hAnsi="Arial" w:cs="Arial"/>
          <w:sz w:val="22"/>
          <w:szCs w:val="22"/>
        </w:rPr>
      </w:pPr>
      <w:r>
        <w:rPr>
          <w:rFonts w:ascii="Arial" w:hAnsi="Arial" w:cs="Arial"/>
          <w:sz w:val="22"/>
          <w:szCs w:val="22"/>
        </w:rPr>
        <w:t>AFS financial assets are non-derivatives that are either designated in this category or not classified in any of the other categories. They are included in non-current assets unless the System intends to dispose of the investment within 12 months from the statement of financial position date.</w:t>
      </w:r>
    </w:p>
    <w:p>
      <w:pPr>
        <w:widowControl w:val="0"/>
        <w:ind w:left="720" w:firstLine="0"/>
        <w:jc w:val="both"/>
        <w:rPr>
          <w:rFonts w:ascii="Arial" w:hAnsi="Arial" w:cs="Arial"/>
          <w:sz w:val="22"/>
          <w:szCs w:val="22"/>
        </w:rPr>
      </w:pPr>
    </w:p>
    <w:p>
      <w:pPr>
        <w:pStyle w:val="ListParagraph"/>
        <w:widowControl w:val="0"/>
        <w:numPr>
          <w:ilvl w:val="0"/>
          <w:numId w:val="4"/>
        </w:numPr>
        <w:ind w:left="1440" w:hanging="720"/>
        <w:jc w:val="both"/>
        <w:rPr>
          <w:rFonts w:ascii="Arial" w:hAnsi="Arial" w:cs="Arial"/>
          <w:i/>
          <w:sz w:val="22"/>
          <w:szCs w:val="22"/>
          <w:lang w:eastAsia="ar-SA"/>
        </w:rPr>
      </w:pPr>
      <w:r>
        <w:rPr>
          <w:rFonts w:ascii="Arial" w:hAnsi="Arial" w:cs="Arial"/>
          <w:i/>
          <w:sz w:val="22"/>
          <w:szCs w:val="22"/>
          <w:lang w:eastAsia="ar-SA"/>
        </w:rPr>
        <w:t>Impairment of financial assets</w:t>
      </w:r>
    </w:p>
    <w:p>
      <w:pPr>
        <w:widowControl w:val="0"/>
        <w:ind w:left="0" w:firstLine="0"/>
        <w:jc w:val="both"/>
        <w:rPr>
          <w:rFonts w:ascii="Arial" w:hAnsi="Arial" w:cs="Arial"/>
          <w:sz w:val="22"/>
          <w:szCs w:val="22"/>
        </w:rPr>
      </w:pPr>
    </w:p>
    <w:p>
      <w:pPr>
        <w:pStyle w:val="BodyTextIndent2"/>
        <w:widowControl w:val="0"/>
        <w:tabs>
          <w:tab w:val="clear" w:pos="432"/>
          <w:tab w:val="clear" w:pos="864"/>
        </w:tabs>
        <w:spacing w:line="240" w:lineRule="auto"/>
        <w:ind w:left="1440" w:firstLine="0"/>
        <w:rPr>
          <w:rFonts w:ascii="Arial" w:hAnsi="Arial" w:cs="Arial"/>
          <w:szCs w:val="22"/>
        </w:rPr>
      </w:pPr>
      <w:r>
        <w:rPr>
          <w:rFonts w:ascii="Arial" w:hAnsi="Arial" w:cs="Arial"/>
          <w:szCs w:val="22"/>
        </w:rPr>
        <w:t>The System assesses at each statement of financial position date whether there is objective evidence that a financial asset or group of financial assets is impaired.  In the case of loans and receivables, the allowance for doubtful accounts is based on Management’s evaluation of the collectability of loans and prior loan loss experience.  The AFPRSBS policy on the provision for allowances, however, is currently being reviewed.  Any proposed provision is being presented to the BOT now BOL through proper channels on case to case basis.</w:t>
      </w:r>
    </w:p>
    <w:p>
      <w:pPr>
        <w:widowControl w:val="0"/>
        <w:ind w:left="720" w:firstLine="0"/>
        <w:rPr>
          <w:rFonts w:ascii="Arial" w:hAnsi="Arial" w:cs="Arial"/>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Supplies and materials inventory</w:t>
      </w:r>
    </w:p>
    <w:p>
      <w:pPr>
        <w:pStyle w:val="Heading3"/>
        <w:keepNext w:val="0"/>
        <w:widowControl w:val="0"/>
        <w:tabs>
          <w:tab w:val="clear" w:pos="396"/>
          <w:tab w:val="clear" w:pos="756"/>
        </w:tabs>
        <w:spacing w:line="240" w:lineRule="auto"/>
        <w:ind w:left="0" w:right="0" w:firstLine="0"/>
        <w:jc w:val="both"/>
        <w:rPr>
          <w:rFonts w:ascii="Arial" w:hAnsi="Arial" w:cs="Arial"/>
          <w:szCs w:val="22"/>
        </w:rPr>
      </w:pPr>
    </w:p>
    <w:p>
      <w:pPr>
        <w:pStyle w:val="Heading3"/>
        <w:keepNext w:val="0"/>
        <w:widowControl w:val="0"/>
        <w:tabs>
          <w:tab w:val="clear" w:pos="396"/>
          <w:tab w:val="clear" w:pos="756"/>
        </w:tabs>
        <w:spacing w:line="240" w:lineRule="auto"/>
        <w:ind w:left="0" w:right="0" w:firstLine="0"/>
        <w:jc w:val="both"/>
        <w:rPr>
          <w:rFonts w:ascii="Arial" w:hAnsi="Arial" w:cs="Arial"/>
          <w:szCs w:val="22"/>
          <w:u w:val="none"/>
        </w:rPr>
      </w:pPr>
      <w:r>
        <w:rPr>
          <w:rFonts w:ascii="Arial" w:hAnsi="Arial" w:cs="Arial"/>
          <w:szCs w:val="22"/>
          <w:u w:val="none"/>
        </w:rPr>
        <w:t>Supplies and materials inventory are valued at cost determined on a moving average basis.</w:t>
      </w:r>
    </w:p>
    <w:p>
      <w:pPr>
        <w:widowControl w:val="0"/>
        <w:ind w:left="0" w:firstLine="0"/>
        <w:rPr>
          <w:rFonts w:ascii="Arial" w:hAnsi="Arial" w:cs="Arial"/>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Investments in shares of stock</w:t>
      </w:r>
    </w:p>
    <w:p>
      <w:pPr>
        <w:pStyle w:val="Heading3"/>
        <w:keepNext w:val="0"/>
        <w:widowControl w:val="0"/>
        <w:tabs>
          <w:tab w:val="clear" w:pos="396"/>
          <w:tab w:val="clear" w:pos="756"/>
        </w:tabs>
        <w:spacing w:line="240" w:lineRule="auto"/>
        <w:ind w:left="0" w:right="0" w:firstLine="0"/>
        <w:jc w:val="both"/>
        <w:rPr>
          <w:rFonts w:ascii="Arial" w:hAnsi="Arial" w:cs="Arial"/>
          <w:sz w:val="18"/>
          <w:szCs w:val="22"/>
          <w:u w:val="none"/>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Investments in subsidiaries and associates are accounted for under the equity method or </w:t>
      </w:r>
      <w:r>
        <w:rPr>
          <w:rFonts w:ascii="Arial" w:hAnsi="Arial" w:cs="Arial"/>
          <w:szCs w:val="22"/>
        </w:rPr>
        <w:lastRenderedPageBreak/>
        <w:t>cost method depending on whether the System has significant influence or not.  Under the equity method, the System recognizes in its statements of income, its equity in the net earnings or losses of subsidiaries and associates since dates of acquisition.  The difference between the System’s cost of such investments and its proportionate share in the underlying net assets at dates of acquisition is amortized using the straight-line method for a period of 20 years. Dividends received are credited to the investments account.</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An allowance is set up for any substantial and presumably permanent decline in the carrying values of the investments in shares of stock.</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The System does not prepare consolidated financial statements as required by PFRS since majority of the audited financial statements of the System’s subsidiaries are not available because they are either closed or have ceased operations.</w:t>
      </w:r>
    </w:p>
    <w:p>
      <w:pPr>
        <w:pStyle w:val="BodyText2"/>
        <w:widowControl w:val="0"/>
        <w:numPr>
          <w:ilvl w:val="12"/>
          <w:numId w:val="0"/>
        </w:numPr>
        <w:tabs>
          <w:tab w:val="clear" w:pos="432"/>
          <w:tab w:val="clear" w:pos="864"/>
        </w:tabs>
        <w:rPr>
          <w:rFonts w:ascii="Arial" w:hAnsi="Arial" w:cs="Arial"/>
          <w:sz w:val="20"/>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Investments in real estate</w:t>
      </w:r>
    </w:p>
    <w:p>
      <w:pPr>
        <w:pStyle w:val="BodyText2"/>
        <w:widowControl w:val="0"/>
        <w:tabs>
          <w:tab w:val="clear" w:pos="432"/>
          <w:tab w:val="clear" w:pos="864"/>
        </w:tabs>
        <w:ind w:left="0" w:firstLine="0"/>
        <w:rPr>
          <w:rFonts w:ascii="Arial" w:hAnsi="Arial" w:cs="Arial"/>
          <w:sz w:val="20"/>
          <w:szCs w:val="22"/>
          <w:u w:val="single"/>
        </w:rPr>
      </w:pPr>
    </w:p>
    <w:p>
      <w:pPr>
        <w:pStyle w:val="BodyTextIndent"/>
        <w:widowControl w:val="0"/>
        <w:spacing w:line="240" w:lineRule="auto"/>
        <w:ind w:left="0" w:firstLine="0"/>
        <w:jc w:val="both"/>
        <w:rPr>
          <w:rFonts w:ascii="Arial" w:hAnsi="Arial" w:cs="Arial"/>
          <w:szCs w:val="22"/>
        </w:rPr>
      </w:pPr>
      <w:r>
        <w:rPr>
          <w:rFonts w:ascii="Arial" w:hAnsi="Arial" w:cs="Arial"/>
          <w:szCs w:val="22"/>
        </w:rPr>
        <w:t>Investments in real estate are carried at cost and presented in the statement of financial position.  Expenditures for acquisition, borrowing costs, development, construction, maintenance and improvements involving the System’s real estate properties are capitalized as part of the cost of investment in real estate.  The maintenance costs are capitalized until such time that the System starts to sell the inventories or up to the time the book value is already equal to the fair market value.</w:t>
      </w:r>
    </w:p>
    <w:p>
      <w:pPr>
        <w:pStyle w:val="BodyTextIndent"/>
        <w:widowControl w:val="0"/>
        <w:spacing w:line="240" w:lineRule="auto"/>
        <w:jc w:val="both"/>
        <w:rPr>
          <w:rFonts w:ascii="Arial" w:hAnsi="Arial" w:cs="Arial"/>
          <w:sz w:val="20"/>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The System’s member-related projects, which consist of on-base housing units under lease-purchase arrangement with the AFP, are depreciated using straight-line method over their estimated useful lives at an average of 25 years.</w:t>
      </w:r>
    </w:p>
    <w:p>
      <w:pPr>
        <w:pStyle w:val="BodyText2"/>
        <w:widowControl w:val="0"/>
        <w:numPr>
          <w:ilvl w:val="12"/>
          <w:numId w:val="0"/>
        </w:numPr>
        <w:tabs>
          <w:tab w:val="clear" w:pos="432"/>
          <w:tab w:val="clear" w:pos="864"/>
        </w:tabs>
        <w:rPr>
          <w:rFonts w:ascii="Arial" w:hAnsi="Arial" w:cs="Arial"/>
          <w:sz w:val="20"/>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Investment property</w:t>
      </w:r>
    </w:p>
    <w:p>
      <w:pPr>
        <w:widowControl w:val="0"/>
        <w:ind w:left="0" w:firstLine="0"/>
        <w:rPr>
          <w:rFonts w:ascii="Arial" w:hAnsi="Arial" w:cs="Arial"/>
          <w:sz w:val="20"/>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Investment property consists of the cost of buildings and building improvements constructed inside the System’s Industrial Park located in Taguig City, Metro Manila. The buildings constructed are being leased at competitive rental rates to private companies.  The System does not own the land but has acquired perpetual rights from the Philippine Government to use the property for its own use and purpose.</w:t>
      </w:r>
    </w:p>
    <w:p>
      <w:pPr>
        <w:pStyle w:val="BodyTextIndent"/>
        <w:widowControl w:val="0"/>
        <w:spacing w:line="240" w:lineRule="auto"/>
        <w:ind w:left="0" w:firstLine="0"/>
        <w:jc w:val="both"/>
        <w:rPr>
          <w:rFonts w:ascii="Arial" w:hAnsi="Arial" w:cs="Arial"/>
          <w:sz w:val="20"/>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The investment account is carried at cost less any accumulated depreciation and any impairment in value.  The asset was depreciated using the straight-line method over its estimated useful life.  The average useful life of the asset is 20 years.</w:t>
      </w:r>
    </w:p>
    <w:p>
      <w:pPr>
        <w:pStyle w:val="BodyTextIndent"/>
        <w:widowControl w:val="0"/>
        <w:spacing w:line="240" w:lineRule="auto"/>
        <w:ind w:left="720" w:firstLine="0"/>
        <w:jc w:val="both"/>
        <w:rPr>
          <w:rFonts w:ascii="Arial" w:hAnsi="Arial" w:cs="Arial"/>
          <w:sz w:val="20"/>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Property and equipment</w:t>
      </w:r>
    </w:p>
    <w:p>
      <w:pPr>
        <w:widowControl w:val="0"/>
        <w:ind w:left="0" w:firstLine="0"/>
        <w:rPr>
          <w:rFonts w:ascii="Arial" w:hAnsi="Arial" w:cs="Arial"/>
          <w:sz w:val="18"/>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Property and equipment are stated at cost less accumulated depreciation and amortization and any impairment in value.  The cost of an asset comprises its purchase price and directly attributable costs of bringing the asset to working condition and to its location for its intended use.</w:t>
      </w:r>
    </w:p>
    <w:p>
      <w:pPr>
        <w:pStyle w:val="BodyTextIndent"/>
        <w:widowControl w:val="0"/>
        <w:spacing w:line="240" w:lineRule="auto"/>
        <w:ind w:left="0" w:firstLine="0"/>
        <w:jc w:val="both"/>
        <w:rPr>
          <w:rFonts w:ascii="Arial" w:hAnsi="Arial" w:cs="Arial"/>
          <w:sz w:val="18"/>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 xml:space="preserve">Expenditures incurred after the property and equipment have been put into operations, such as repairs and maintenance, are normally charged to expenses in the period the costs are incurred.  When assets are sold, retired or otherwise disposed of, the cost and </w:t>
      </w:r>
      <w:r>
        <w:rPr>
          <w:rFonts w:ascii="Arial" w:hAnsi="Arial" w:cs="Arial"/>
          <w:szCs w:val="22"/>
        </w:rPr>
        <w:lastRenderedPageBreak/>
        <w:t>related accumulated depreciation and amortization are removed from the accounts and any resulting gain or loss is credited or charged to current operations.</w:t>
      </w:r>
    </w:p>
    <w:p>
      <w:pPr>
        <w:pStyle w:val="BodyTextIndent"/>
        <w:widowControl w:val="0"/>
        <w:spacing w:line="240" w:lineRule="auto"/>
        <w:ind w:left="0" w:firstLine="0"/>
        <w:jc w:val="both"/>
        <w:rPr>
          <w:rFonts w:ascii="Arial" w:hAnsi="Arial" w:cs="Arial"/>
          <w:sz w:val="18"/>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Depreciation and amortization are computed using the straight-line method over the estimated useful lives of the assets as follows:</w:t>
      </w:r>
    </w:p>
    <w:p>
      <w:pPr>
        <w:pStyle w:val="BodyText2"/>
        <w:widowControl w:val="0"/>
        <w:numPr>
          <w:ilvl w:val="12"/>
          <w:numId w:val="0"/>
        </w:numPr>
        <w:tabs>
          <w:tab w:val="clear" w:pos="432"/>
          <w:tab w:val="clear" w:pos="864"/>
        </w:tabs>
        <w:rPr>
          <w:rFonts w:ascii="Arial" w:hAnsi="Arial" w:cs="Arial"/>
          <w:sz w:val="18"/>
          <w:szCs w:val="22"/>
        </w:rPr>
      </w:pPr>
    </w:p>
    <w:tbl>
      <w:tblPr>
        <w:tblW w:w="8640" w:type="dxa"/>
        <w:tblLayout w:type="fixed"/>
        <w:tblCellMar>
          <w:left w:w="0" w:type="dxa"/>
          <w:right w:w="0" w:type="dxa"/>
        </w:tblCellMar>
        <w:tblLook w:val="0000" w:firstRow="0" w:lastRow="0" w:firstColumn="0" w:lastColumn="0" w:noHBand="0" w:noVBand="0"/>
      </w:tblPr>
      <w:tblGrid>
        <w:gridCol w:w="5856"/>
        <w:gridCol w:w="2784"/>
      </w:tblGrid>
      <w:tr>
        <w:trPr>
          <w:trHeight w:val="360"/>
        </w:trPr>
        <w:tc>
          <w:tcPr>
            <w:tcW w:w="5856" w:type="dxa"/>
            <w:tcBorders>
              <w:top w:val="single" w:sz="4" w:space="0" w:color="auto"/>
              <w:left w:val="nil"/>
              <w:bottom w:val="single" w:sz="4" w:space="0" w:color="auto"/>
              <w:right w:val="nil"/>
            </w:tcBorders>
            <w:vAlign w:val="center"/>
          </w:tcPr>
          <w:p>
            <w:pPr>
              <w:pStyle w:val="BodyText2"/>
              <w:widowControl w:val="0"/>
              <w:numPr>
                <w:ilvl w:val="12"/>
                <w:numId w:val="0"/>
              </w:numPr>
              <w:tabs>
                <w:tab w:val="clear" w:pos="432"/>
                <w:tab w:val="clear" w:pos="864"/>
              </w:tabs>
              <w:jc w:val="center"/>
              <w:rPr>
                <w:rFonts w:ascii="Arial" w:hAnsi="Arial" w:cs="Arial"/>
                <w:b/>
                <w:szCs w:val="22"/>
              </w:rPr>
            </w:pPr>
            <w:r>
              <w:rPr>
                <w:rFonts w:ascii="Arial" w:hAnsi="Arial" w:cs="Arial"/>
                <w:b/>
                <w:szCs w:val="22"/>
              </w:rPr>
              <w:t>Assets</w:t>
            </w:r>
          </w:p>
        </w:tc>
        <w:tc>
          <w:tcPr>
            <w:tcW w:w="2784" w:type="dxa"/>
            <w:tcBorders>
              <w:top w:val="single" w:sz="4" w:space="0" w:color="auto"/>
              <w:left w:val="nil"/>
              <w:bottom w:val="single" w:sz="4" w:space="0" w:color="auto"/>
              <w:right w:val="nil"/>
            </w:tcBorders>
            <w:vAlign w:val="center"/>
          </w:tcPr>
          <w:p>
            <w:pPr>
              <w:pStyle w:val="BodyText2"/>
              <w:widowControl w:val="0"/>
              <w:numPr>
                <w:ilvl w:val="12"/>
                <w:numId w:val="0"/>
              </w:numPr>
              <w:tabs>
                <w:tab w:val="clear" w:pos="432"/>
                <w:tab w:val="clear" w:pos="864"/>
              </w:tabs>
              <w:ind w:right="115"/>
              <w:jc w:val="center"/>
              <w:rPr>
                <w:rFonts w:ascii="Arial" w:hAnsi="Arial" w:cs="Arial"/>
                <w:b/>
                <w:szCs w:val="22"/>
              </w:rPr>
            </w:pPr>
            <w:r>
              <w:rPr>
                <w:rFonts w:ascii="Arial" w:hAnsi="Arial" w:cs="Arial"/>
                <w:b/>
                <w:szCs w:val="22"/>
              </w:rPr>
              <w:t>Estimated Useful Life</w:t>
            </w:r>
          </w:p>
        </w:tc>
      </w:tr>
      <w:tr>
        <w:trPr>
          <w:trHeight w:val="250"/>
        </w:trPr>
        <w:tc>
          <w:tcPr>
            <w:tcW w:w="5856" w:type="dxa"/>
            <w:tcBorders>
              <w:top w:val="single" w:sz="4" w:space="0" w:color="auto"/>
              <w:left w:val="nil"/>
              <w:bottom w:val="nil"/>
              <w:right w:val="nil"/>
            </w:tcBorders>
          </w:tcPr>
          <w:p>
            <w:pPr>
              <w:pStyle w:val="BodyText2"/>
              <w:widowControl w:val="0"/>
              <w:numPr>
                <w:ilvl w:val="12"/>
                <w:numId w:val="0"/>
              </w:numPr>
              <w:tabs>
                <w:tab w:val="clear" w:pos="432"/>
                <w:tab w:val="clear" w:pos="864"/>
              </w:tabs>
              <w:ind w:left="90"/>
              <w:rPr>
                <w:rFonts w:ascii="Arial" w:hAnsi="Arial" w:cs="Arial"/>
                <w:sz w:val="12"/>
                <w:szCs w:val="12"/>
              </w:rPr>
            </w:pPr>
          </w:p>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Buildings and improvements</w:t>
            </w:r>
          </w:p>
        </w:tc>
        <w:tc>
          <w:tcPr>
            <w:tcW w:w="2784" w:type="dxa"/>
            <w:tcBorders>
              <w:top w:val="single" w:sz="4" w:space="0" w:color="auto"/>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10 years</w:t>
            </w:r>
          </w:p>
        </w:tc>
      </w:tr>
      <w:tr>
        <w:trPr>
          <w:trHeight w:val="261"/>
        </w:trPr>
        <w:tc>
          <w:tcPr>
            <w:tcW w:w="5856" w:type="dxa"/>
            <w:tcBorders>
              <w:top w:val="nil"/>
              <w:left w:val="nil"/>
              <w:bottom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Transportation equipment</w:t>
            </w:r>
          </w:p>
        </w:tc>
        <w:tc>
          <w:tcPr>
            <w:tcW w:w="2784" w:type="dxa"/>
            <w:tcBorders>
              <w:top w:val="nil"/>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5 years</w:t>
            </w:r>
          </w:p>
        </w:tc>
      </w:tr>
      <w:tr>
        <w:trPr>
          <w:trHeight w:val="261"/>
        </w:trPr>
        <w:tc>
          <w:tcPr>
            <w:tcW w:w="5856" w:type="dxa"/>
            <w:tcBorders>
              <w:top w:val="nil"/>
              <w:left w:val="nil"/>
              <w:bottom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Office equipment</w:t>
            </w:r>
          </w:p>
        </w:tc>
        <w:tc>
          <w:tcPr>
            <w:tcW w:w="2784" w:type="dxa"/>
            <w:tcBorders>
              <w:top w:val="nil"/>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3 years</w:t>
            </w:r>
          </w:p>
        </w:tc>
      </w:tr>
      <w:tr>
        <w:trPr>
          <w:trHeight w:val="250"/>
        </w:trPr>
        <w:tc>
          <w:tcPr>
            <w:tcW w:w="5856" w:type="dxa"/>
            <w:tcBorders>
              <w:top w:val="nil"/>
              <w:left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Office furniture and fixtures</w:t>
            </w:r>
          </w:p>
        </w:tc>
        <w:tc>
          <w:tcPr>
            <w:tcW w:w="2784" w:type="dxa"/>
            <w:tcBorders>
              <w:top w:val="nil"/>
              <w:left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3 years</w:t>
            </w:r>
          </w:p>
        </w:tc>
      </w:tr>
      <w:tr>
        <w:trPr>
          <w:trHeight w:val="80"/>
        </w:trPr>
        <w:tc>
          <w:tcPr>
            <w:tcW w:w="5856" w:type="dxa"/>
            <w:tcBorders>
              <w:top w:val="nil"/>
              <w:left w:val="nil"/>
              <w:bottom w:val="single" w:sz="4" w:space="0" w:color="auto"/>
              <w:right w:val="nil"/>
            </w:tcBorders>
          </w:tcPr>
          <w:p>
            <w:pPr>
              <w:pStyle w:val="BodyText2"/>
              <w:widowControl w:val="0"/>
              <w:numPr>
                <w:ilvl w:val="12"/>
                <w:numId w:val="0"/>
              </w:numPr>
              <w:tabs>
                <w:tab w:val="clear" w:pos="432"/>
                <w:tab w:val="clear" w:pos="864"/>
              </w:tabs>
              <w:rPr>
                <w:rFonts w:ascii="Arial" w:hAnsi="Arial" w:cs="Arial"/>
                <w:sz w:val="4"/>
                <w:szCs w:val="10"/>
              </w:rPr>
            </w:pPr>
          </w:p>
        </w:tc>
        <w:tc>
          <w:tcPr>
            <w:tcW w:w="2784" w:type="dxa"/>
            <w:tcBorders>
              <w:top w:val="nil"/>
              <w:left w:val="nil"/>
              <w:bottom w:val="single" w:sz="4" w:space="0" w:color="auto"/>
              <w:right w:val="nil"/>
            </w:tcBorders>
          </w:tcPr>
          <w:p>
            <w:pPr>
              <w:pStyle w:val="BodyText2"/>
              <w:widowControl w:val="0"/>
              <w:numPr>
                <w:ilvl w:val="12"/>
                <w:numId w:val="0"/>
              </w:numPr>
              <w:tabs>
                <w:tab w:val="clear" w:pos="432"/>
                <w:tab w:val="clear" w:pos="864"/>
              </w:tabs>
              <w:ind w:right="115"/>
              <w:jc w:val="center"/>
              <w:rPr>
                <w:rFonts w:ascii="Arial" w:hAnsi="Arial" w:cs="Arial"/>
                <w:sz w:val="4"/>
                <w:szCs w:val="10"/>
              </w:rPr>
            </w:pPr>
          </w:p>
        </w:tc>
      </w:tr>
    </w:tbl>
    <w:p>
      <w:pPr>
        <w:pStyle w:val="BodyTextIndent"/>
        <w:widowControl w:val="0"/>
        <w:spacing w:line="240" w:lineRule="auto"/>
        <w:ind w:left="0" w:firstLine="0"/>
        <w:jc w:val="both"/>
        <w:rPr>
          <w:rFonts w:ascii="Arial" w:hAnsi="Arial" w:cs="Arial"/>
          <w:sz w:val="18"/>
          <w:szCs w:val="22"/>
          <w:u w:val="single"/>
        </w:rPr>
      </w:pPr>
    </w:p>
    <w:p>
      <w:pPr>
        <w:pStyle w:val="BodyTextIndent"/>
        <w:widowControl w:val="0"/>
        <w:spacing w:line="240" w:lineRule="auto"/>
        <w:ind w:left="0" w:firstLine="0"/>
        <w:jc w:val="both"/>
        <w:rPr>
          <w:rFonts w:ascii="Arial" w:hAnsi="Arial" w:cs="Arial"/>
          <w:szCs w:val="22"/>
        </w:rPr>
      </w:pPr>
      <w:r>
        <w:rPr>
          <w:rFonts w:ascii="Arial" w:hAnsi="Arial" w:cs="Arial"/>
          <w:szCs w:val="22"/>
        </w:rPr>
        <w:t>The estimated useful life and depreciation method are reviewed periodically to ensure that the method and period of depreciation and amortization are consistent with the expected pattern of economic benefits from items of property and equipment.</w:t>
      </w:r>
    </w:p>
    <w:p>
      <w:pPr>
        <w:widowControl w:val="0"/>
        <w:ind w:left="720" w:firstLine="0"/>
        <w:jc w:val="both"/>
        <w:rPr>
          <w:rFonts w:ascii="Arial" w:hAnsi="Arial" w:cs="Arial"/>
          <w:sz w:val="22"/>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In 2003, the Commission on Audit issued COA Circular No. 2003-007 dated December 11, 2003 which provides policies and guidelines on the computation of depreciation charges for government property, plant and equipment as well as the provision of residual value equivalent to 10 per cent of the acquisition cost/appraised value of the asset. Depreciation is calculated using the straight-line method based on the following estimated useful lives of the assets:</w:t>
      </w:r>
    </w:p>
    <w:p>
      <w:pPr>
        <w:pStyle w:val="BodyTextIndent"/>
        <w:widowControl w:val="0"/>
        <w:spacing w:line="240" w:lineRule="auto"/>
        <w:ind w:left="0" w:firstLine="0"/>
        <w:jc w:val="both"/>
        <w:rPr>
          <w:rFonts w:ascii="Arial" w:hAnsi="Arial" w:cs="Arial"/>
          <w:szCs w:val="22"/>
        </w:rPr>
      </w:pPr>
    </w:p>
    <w:tbl>
      <w:tblPr>
        <w:tblW w:w="8640" w:type="dxa"/>
        <w:tblLayout w:type="fixed"/>
        <w:tblCellMar>
          <w:left w:w="0" w:type="dxa"/>
          <w:right w:w="0" w:type="dxa"/>
        </w:tblCellMar>
        <w:tblLook w:val="0000" w:firstRow="0" w:lastRow="0" w:firstColumn="0" w:lastColumn="0" w:noHBand="0" w:noVBand="0"/>
      </w:tblPr>
      <w:tblGrid>
        <w:gridCol w:w="5856"/>
        <w:gridCol w:w="2784"/>
      </w:tblGrid>
      <w:tr>
        <w:trPr>
          <w:trHeight w:val="360"/>
        </w:trPr>
        <w:tc>
          <w:tcPr>
            <w:tcW w:w="5856" w:type="dxa"/>
            <w:tcBorders>
              <w:top w:val="single" w:sz="4" w:space="0" w:color="auto"/>
              <w:left w:val="nil"/>
              <w:bottom w:val="single" w:sz="4" w:space="0" w:color="auto"/>
              <w:right w:val="nil"/>
            </w:tcBorders>
            <w:vAlign w:val="center"/>
          </w:tcPr>
          <w:p>
            <w:pPr>
              <w:pStyle w:val="BodyText2"/>
              <w:widowControl w:val="0"/>
              <w:numPr>
                <w:ilvl w:val="12"/>
                <w:numId w:val="0"/>
              </w:numPr>
              <w:tabs>
                <w:tab w:val="clear" w:pos="432"/>
                <w:tab w:val="clear" w:pos="864"/>
              </w:tabs>
              <w:jc w:val="center"/>
              <w:rPr>
                <w:rFonts w:ascii="Arial" w:hAnsi="Arial" w:cs="Arial"/>
                <w:b/>
                <w:szCs w:val="22"/>
              </w:rPr>
            </w:pPr>
            <w:r>
              <w:rPr>
                <w:rFonts w:ascii="Arial" w:hAnsi="Arial" w:cs="Arial"/>
                <w:b/>
                <w:szCs w:val="22"/>
              </w:rPr>
              <w:t>Assets</w:t>
            </w:r>
          </w:p>
        </w:tc>
        <w:tc>
          <w:tcPr>
            <w:tcW w:w="2784" w:type="dxa"/>
            <w:tcBorders>
              <w:top w:val="single" w:sz="4" w:space="0" w:color="auto"/>
              <w:left w:val="nil"/>
              <w:bottom w:val="single" w:sz="4" w:space="0" w:color="auto"/>
              <w:right w:val="nil"/>
            </w:tcBorders>
            <w:vAlign w:val="center"/>
          </w:tcPr>
          <w:p>
            <w:pPr>
              <w:pStyle w:val="BodyText2"/>
              <w:widowControl w:val="0"/>
              <w:numPr>
                <w:ilvl w:val="12"/>
                <w:numId w:val="0"/>
              </w:numPr>
              <w:tabs>
                <w:tab w:val="clear" w:pos="432"/>
                <w:tab w:val="clear" w:pos="864"/>
              </w:tabs>
              <w:ind w:right="115"/>
              <w:jc w:val="center"/>
              <w:rPr>
                <w:rFonts w:ascii="Arial" w:hAnsi="Arial" w:cs="Arial"/>
                <w:b/>
                <w:szCs w:val="22"/>
              </w:rPr>
            </w:pPr>
            <w:r>
              <w:rPr>
                <w:rFonts w:ascii="Arial" w:hAnsi="Arial" w:cs="Arial"/>
                <w:b/>
                <w:szCs w:val="22"/>
              </w:rPr>
              <w:t>Estimated Useful Life</w:t>
            </w:r>
          </w:p>
        </w:tc>
      </w:tr>
      <w:tr>
        <w:trPr>
          <w:trHeight w:val="250"/>
        </w:trPr>
        <w:tc>
          <w:tcPr>
            <w:tcW w:w="5856" w:type="dxa"/>
            <w:tcBorders>
              <w:top w:val="single" w:sz="4" w:space="0" w:color="auto"/>
              <w:left w:val="nil"/>
              <w:bottom w:val="nil"/>
              <w:right w:val="nil"/>
            </w:tcBorders>
          </w:tcPr>
          <w:p>
            <w:pPr>
              <w:pStyle w:val="BodyText2"/>
              <w:widowControl w:val="0"/>
              <w:numPr>
                <w:ilvl w:val="12"/>
                <w:numId w:val="0"/>
              </w:numPr>
              <w:tabs>
                <w:tab w:val="clear" w:pos="432"/>
                <w:tab w:val="clear" w:pos="864"/>
              </w:tabs>
              <w:ind w:left="90"/>
              <w:rPr>
                <w:rFonts w:ascii="Arial" w:hAnsi="Arial" w:cs="Arial"/>
                <w:sz w:val="10"/>
                <w:szCs w:val="12"/>
              </w:rPr>
            </w:pPr>
          </w:p>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 xml:space="preserve">Building and improvements/land improvements </w:t>
            </w:r>
          </w:p>
        </w:tc>
        <w:tc>
          <w:tcPr>
            <w:tcW w:w="2784" w:type="dxa"/>
            <w:tcBorders>
              <w:top w:val="single" w:sz="4" w:space="0" w:color="auto"/>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10 – 30 years</w:t>
            </w:r>
          </w:p>
        </w:tc>
      </w:tr>
      <w:tr>
        <w:trPr>
          <w:trHeight w:val="261"/>
        </w:trPr>
        <w:tc>
          <w:tcPr>
            <w:tcW w:w="5856" w:type="dxa"/>
            <w:tcBorders>
              <w:top w:val="nil"/>
              <w:left w:val="nil"/>
              <w:bottom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Furniture and equipment, computer hardware</w:t>
            </w:r>
          </w:p>
        </w:tc>
        <w:tc>
          <w:tcPr>
            <w:tcW w:w="2784" w:type="dxa"/>
            <w:tcBorders>
              <w:top w:val="nil"/>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5 – 10 years</w:t>
            </w:r>
          </w:p>
        </w:tc>
      </w:tr>
      <w:tr>
        <w:trPr>
          <w:trHeight w:val="261"/>
        </w:trPr>
        <w:tc>
          <w:tcPr>
            <w:tcW w:w="5856" w:type="dxa"/>
            <w:tcBorders>
              <w:top w:val="nil"/>
              <w:left w:val="nil"/>
              <w:bottom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Machinery and equipment</w:t>
            </w:r>
          </w:p>
        </w:tc>
        <w:tc>
          <w:tcPr>
            <w:tcW w:w="2784" w:type="dxa"/>
            <w:tcBorders>
              <w:top w:val="nil"/>
              <w:left w:val="nil"/>
              <w:bottom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10 years</w:t>
            </w:r>
          </w:p>
        </w:tc>
      </w:tr>
      <w:tr>
        <w:trPr>
          <w:trHeight w:val="250"/>
        </w:trPr>
        <w:tc>
          <w:tcPr>
            <w:tcW w:w="5856" w:type="dxa"/>
            <w:tcBorders>
              <w:top w:val="nil"/>
              <w:left w:val="nil"/>
              <w:right w:val="nil"/>
            </w:tcBorders>
          </w:tcPr>
          <w:p>
            <w:pPr>
              <w:pStyle w:val="BodyText2"/>
              <w:widowControl w:val="0"/>
              <w:numPr>
                <w:ilvl w:val="12"/>
                <w:numId w:val="0"/>
              </w:numPr>
              <w:tabs>
                <w:tab w:val="clear" w:pos="432"/>
                <w:tab w:val="clear" w:pos="864"/>
              </w:tabs>
              <w:ind w:left="90"/>
              <w:rPr>
                <w:rFonts w:ascii="Arial" w:hAnsi="Arial" w:cs="Arial"/>
                <w:szCs w:val="22"/>
              </w:rPr>
            </w:pPr>
            <w:r>
              <w:rPr>
                <w:rFonts w:ascii="Arial" w:hAnsi="Arial" w:cs="Arial"/>
                <w:szCs w:val="22"/>
              </w:rPr>
              <w:t>Transportation equipment (motor vehicle)</w:t>
            </w:r>
          </w:p>
        </w:tc>
        <w:tc>
          <w:tcPr>
            <w:tcW w:w="2784" w:type="dxa"/>
            <w:tcBorders>
              <w:top w:val="nil"/>
              <w:left w:val="nil"/>
              <w:right w:val="nil"/>
            </w:tcBorders>
            <w:vAlign w:val="bottom"/>
          </w:tcPr>
          <w:p>
            <w:pPr>
              <w:pStyle w:val="BodyText2"/>
              <w:widowControl w:val="0"/>
              <w:numPr>
                <w:ilvl w:val="12"/>
                <w:numId w:val="0"/>
              </w:numPr>
              <w:tabs>
                <w:tab w:val="clear" w:pos="432"/>
                <w:tab w:val="clear" w:pos="864"/>
              </w:tabs>
              <w:ind w:right="115"/>
              <w:jc w:val="center"/>
              <w:rPr>
                <w:rFonts w:ascii="Arial" w:hAnsi="Arial" w:cs="Arial"/>
                <w:szCs w:val="22"/>
              </w:rPr>
            </w:pPr>
            <w:r>
              <w:rPr>
                <w:rFonts w:ascii="Arial" w:hAnsi="Arial" w:cs="Arial"/>
                <w:szCs w:val="22"/>
              </w:rPr>
              <w:t>7 years</w:t>
            </w:r>
          </w:p>
        </w:tc>
      </w:tr>
      <w:tr>
        <w:trPr>
          <w:trHeight w:val="80"/>
        </w:trPr>
        <w:tc>
          <w:tcPr>
            <w:tcW w:w="5856" w:type="dxa"/>
            <w:tcBorders>
              <w:top w:val="nil"/>
              <w:left w:val="nil"/>
              <w:bottom w:val="single" w:sz="4" w:space="0" w:color="auto"/>
              <w:right w:val="nil"/>
            </w:tcBorders>
          </w:tcPr>
          <w:p>
            <w:pPr>
              <w:pStyle w:val="BodyText2"/>
              <w:widowControl w:val="0"/>
              <w:numPr>
                <w:ilvl w:val="12"/>
                <w:numId w:val="0"/>
              </w:numPr>
              <w:tabs>
                <w:tab w:val="clear" w:pos="432"/>
                <w:tab w:val="clear" w:pos="864"/>
              </w:tabs>
              <w:ind w:left="90"/>
              <w:rPr>
                <w:rFonts w:ascii="Arial" w:hAnsi="Arial" w:cs="Arial"/>
                <w:sz w:val="10"/>
                <w:szCs w:val="10"/>
              </w:rPr>
            </w:pPr>
          </w:p>
        </w:tc>
        <w:tc>
          <w:tcPr>
            <w:tcW w:w="2784" w:type="dxa"/>
            <w:tcBorders>
              <w:top w:val="nil"/>
              <w:left w:val="nil"/>
              <w:bottom w:val="single" w:sz="4" w:space="0" w:color="auto"/>
              <w:right w:val="nil"/>
            </w:tcBorders>
            <w:vAlign w:val="bottom"/>
          </w:tcPr>
          <w:p>
            <w:pPr>
              <w:pStyle w:val="BodyText2"/>
              <w:widowControl w:val="0"/>
              <w:numPr>
                <w:ilvl w:val="12"/>
                <w:numId w:val="0"/>
              </w:numPr>
              <w:tabs>
                <w:tab w:val="clear" w:pos="432"/>
                <w:tab w:val="clear" w:pos="864"/>
              </w:tabs>
              <w:ind w:right="115"/>
              <w:jc w:val="center"/>
              <w:rPr>
                <w:rFonts w:ascii="Arial" w:hAnsi="Arial" w:cs="Arial"/>
                <w:sz w:val="10"/>
                <w:szCs w:val="10"/>
              </w:rPr>
            </w:pPr>
          </w:p>
        </w:tc>
      </w:tr>
    </w:tbl>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The System has adopted said COA Circular for acquisitions beginning 2011.  The acquisitions made prior to 2011 were not yet adjusted due to certain limitations in the existing</w:t>
      </w:r>
      <w:r>
        <w:rPr>
          <w:rFonts w:ascii="Arial" w:hAnsi="Arial" w:cs="Arial"/>
          <w:sz w:val="16"/>
          <w:szCs w:val="22"/>
        </w:rPr>
        <w:t xml:space="preserve"> </w:t>
      </w:r>
      <w:r>
        <w:rPr>
          <w:rFonts w:ascii="Arial" w:hAnsi="Arial" w:cs="Arial"/>
          <w:szCs w:val="22"/>
        </w:rPr>
        <w:t>computerized fixed</w:t>
      </w:r>
      <w:r>
        <w:rPr>
          <w:rFonts w:ascii="Arial" w:hAnsi="Arial" w:cs="Arial"/>
          <w:sz w:val="16"/>
          <w:szCs w:val="22"/>
        </w:rPr>
        <w:t xml:space="preserve"> </w:t>
      </w:r>
      <w:r>
        <w:rPr>
          <w:rFonts w:ascii="Arial" w:hAnsi="Arial" w:cs="Arial"/>
          <w:szCs w:val="22"/>
        </w:rPr>
        <w:t>assets inventory</w:t>
      </w:r>
      <w:r>
        <w:rPr>
          <w:rFonts w:ascii="Arial" w:hAnsi="Arial" w:cs="Arial"/>
          <w:sz w:val="16"/>
          <w:szCs w:val="22"/>
        </w:rPr>
        <w:t xml:space="preserve"> </w:t>
      </w:r>
      <w:r>
        <w:rPr>
          <w:rFonts w:ascii="Arial" w:hAnsi="Arial" w:cs="Arial"/>
          <w:szCs w:val="22"/>
        </w:rPr>
        <w:t>monitoring system. This will be implemented as soon as the required enhancements are done, if still feasible.</w:t>
      </w:r>
    </w:p>
    <w:p>
      <w:pPr>
        <w:widowControl w:val="0"/>
        <w:ind w:left="0" w:firstLine="0"/>
        <w:jc w:val="both"/>
        <w:rPr>
          <w:rFonts w:ascii="Arial" w:hAnsi="Arial" w:cs="Arial"/>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Acquired assets</w:t>
      </w:r>
    </w:p>
    <w:p>
      <w:pPr>
        <w:widowControl w:val="0"/>
        <w:numPr>
          <w:ilvl w:val="12"/>
          <w:numId w:val="0"/>
        </w:numPr>
        <w:jc w:val="both"/>
        <w:rPr>
          <w:rFonts w:ascii="Arial" w:hAnsi="Arial" w:cs="Arial"/>
          <w:sz w:val="22"/>
          <w:szCs w:val="22"/>
          <w:u w:val="single"/>
        </w:rPr>
      </w:pPr>
    </w:p>
    <w:p>
      <w:pPr>
        <w:pStyle w:val="BodyTextIndent"/>
        <w:widowControl w:val="0"/>
        <w:spacing w:line="240" w:lineRule="auto"/>
        <w:ind w:left="0" w:firstLine="0"/>
        <w:jc w:val="both"/>
        <w:rPr>
          <w:rFonts w:ascii="Arial" w:hAnsi="Arial" w:cs="Arial"/>
          <w:szCs w:val="22"/>
        </w:rPr>
      </w:pPr>
      <w:r>
        <w:rPr>
          <w:rFonts w:ascii="Arial" w:hAnsi="Arial" w:cs="Arial"/>
          <w:szCs w:val="22"/>
        </w:rPr>
        <w:t>Assets acquired in full or partial settlement of loans are recorded at the book value or bid price, whichever is lower.  Holding costs subsequent to the foreclosure, acquisition or consolidation of the properties are charged to operations if the book value is already equal or higher than the market value. These assets are shown under either “Investments in real estate” or “Other assets” account, depending on Management’s intention.</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As per Standard Operating Procedure on Managing Foreclosed Accounts and Acquired Assets dated April 11, 2016, the System closes the loan account in the System’s books after consolidation and consequently records the foreclosed property as new acquired asset.</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An allowance for probable losses is set up for any anticipated significant decline in value of the property based on the appraisal reports and current negotiations and programs to dispose of these properties to interested parties.</w:t>
      </w:r>
    </w:p>
    <w:p>
      <w:pPr>
        <w:pStyle w:val="BodyText2"/>
        <w:widowControl w:val="0"/>
        <w:numPr>
          <w:ilvl w:val="12"/>
          <w:numId w:val="0"/>
        </w:numPr>
        <w:tabs>
          <w:tab w:val="clear" w:pos="432"/>
          <w:tab w:val="clear" w:pos="864"/>
        </w:tabs>
        <w:rPr>
          <w:rFonts w:ascii="Arial" w:hAnsi="Arial" w:cs="Arial"/>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Provisions</w:t>
      </w:r>
    </w:p>
    <w:p>
      <w:pPr>
        <w:pStyle w:val="BodyText2"/>
        <w:widowControl w:val="0"/>
        <w:numPr>
          <w:ilvl w:val="12"/>
          <w:numId w:val="0"/>
        </w:numPr>
        <w:tabs>
          <w:tab w:val="clear" w:pos="432"/>
          <w:tab w:val="clear" w:pos="864"/>
        </w:tabs>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Provisions are recognized under the following conditions: (a) when the System has a present obligation, whether legal or constructive, as a result of a past event; (b) it is probable that an outflow of resources embodying economic benefits will be required to settle the obligation; and (c) a reliable estimate can be made of the amount of the obligation.</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In prior years, provisions for contingencies were accrued when it is probable that a liability had been incurred at statement of financial position date and the amount can be reasonably estimated.  Otherwise, the loss contingency was disclosed only.</w:t>
      </w:r>
    </w:p>
    <w:p>
      <w:pPr>
        <w:rPr>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Contingencies</w:t>
      </w:r>
    </w:p>
    <w:p>
      <w:pPr>
        <w:widowControl w:val="0"/>
        <w:ind w:left="0" w:firstLine="0"/>
        <w:jc w:val="both"/>
        <w:rPr>
          <w:rFonts w:ascii="Arial" w:hAnsi="Arial" w:cs="Arial"/>
          <w:sz w:val="22"/>
          <w:szCs w:val="22"/>
        </w:rPr>
      </w:pPr>
    </w:p>
    <w:p>
      <w:pPr>
        <w:pStyle w:val="BodyTextIndent"/>
        <w:widowControl w:val="0"/>
        <w:spacing w:line="240" w:lineRule="auto"/>
        <w:ind w:left="0" w:firstLine="0"/>
        <w:jc w:val="both"/>
        <w:rPr>
          <w:rFonts w:ascii="Arial" w:hAnsi="Arial" w:cs="Arial"/>
          <w:szCs w:val="22"/>
          <w:u w:val="single"/>
        </w:rPr>
      </w:pPr>
      <w:r>
        <w:rPr>
          <w:rFonts w:ascii="Arial" w:hAnsi="Arial" w:cs="Arial"/>
          <w:szCs w:val="22"/>
        </w:rPr>
        <w:t>Contingent liabilities are not recognized in the financial statements.  They are disclosed unless the possibility of an outflow of resources embodying economic benefits is remote.  A contingent asset is not recognized in the financial statements but disclosed when an inflow of economic benefits is probable.</w:t>
      </w:r>
    </w:p>
    <w:p>
      <w:pPr>
        <w:widowControl w:val="0"/>
        <w:numPr>
          <w:ilvl w:val="12"/>
          <w:numId w:val="0"/>
        </w:numPr>
        <w:jc w:val="both"/>
        <w:rPr>
          <w:rFonts w:ascii="Arial" w:hAnsi="Arial" w:cs="Arial"/>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Related parties</w:t>
      </w:r>
    </w:p>
    <w:p>
      <w:pPr>
        <w:widowControl w:val="0"/>
        <w:numPr>
          <w:ilvl w:val="12"/>
          <w:numId w:val="0"/>
        </w:numPr>
        <w:jc w:val="both"/>
        <w:rPr>
          <w:rFonts w:ascii="Arial" w:hAnsi="Arial" w:cs="Arial"/>
          <w:sz w:val="22"/>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Parties are considered to be related if one party has the ability, directly or indirectly, to control the other party or exercise significant influence over the other party in making financial and operating decisions.  Parties are also considered to be related if they are subject to common control or common significant influence.  Related parties may be individuals or corporate entities.</w:t>
      </w:r>
    </w:p>
    <w:p>
      <w:pPr>
        <w:rPr>
          <w:sz w:val="22"/>
          <w:szCs w:val="22"/>
        </w:rPr>
      </w:pPr>
    </w:p>
    <w:p>
      <w:pPr>
        <w:pStyle w:val="Heading1"/>
        <w:keepNext w:val="0"/>
        <w:widowControl w:val="0"/>
        <w:numPr>
          <w:ilvl w:val="1"/>
          <w:numId w:val="1"/>
        </w:numPr>
        <w:tabs>
          <w:tab w:val="clear" w:pos="432"/>
          <w:tab w:val="clear" w:pos="864"/>
        </w:tabs>
        <w:spacing w:line="240" w:lineRule="auto"/>
        <w:rPr>
          <w:rFonts w:ascii="Arial" w:hAnsi="Arial" w:cs="Arial"/>
          <w:szCs w:val="22"/>
        </w:rPr>
      </w:pPr>
      <w:r>
        <w:rPr>
          <w:rFonts w:ascii="Arial" w:hAnsi="Arial" w:cs="Arial"/>
          <w:szCs w:val="22"/>
        </w:rPr>
        <w:t>Events after the reporting date</w:t>
      </w:r>
    </w:p>
    <w:p>
      <w:pPr>
        <w:tabs>
          <w:tab w:val="left" w:pos="3365"/>
        </w:tabs>
        <w:ind w:left="1260" w:firstLine="0"/>
        <w:rPr>
          <w:rFonts w:ascii="Arial" w:hAnsi="Arial" w:cs="Arial"/>
          <w:sz w:val="22"/>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Post year-end events that provide additional information about the System’s financial position at the end of reporting date (adjusting events) are reflected in the financial statements.  Post year-end events that are not adjusting events are disclosed in the notes to financial statements when material.</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CASH AND CASH EQUIVALENTS</w:t>
      </w:r>
    </w:p>
    <w:p>
      <w:pPr>
        <w:pStyle w:val="EndnoteText"/>
        <w:widowControl w:val="0"/>
        <w:numPr>
          <w:ilvl w:val="12"/>
          <w:numId w:val="0"/>
        </w:numPr>
        <w:rPr>
          <w:rFonts w:ascii="Arial" w:hAnsi="Arial" w:cs="Arial"/>
          <w:b/>
          <w:szCs w:val="22"/>
        </w:rPr>
      </w:pPr>
    </w:p>
    <w:p>
      <w:pPr>
        <w:pStyle w:val="BodyTextIndent3"/>
        <w:widowControl w:val="0"/>
        <w:numPr>
          <w:ilvl w:val="12"/>
          <w:numId w:val="0"/>
        </w:numPr>
        <w:tabs>
          <w:tab w:val="clear" w:pos="360"/>
          <w:tab w:val="clear" w:pos="864"/>
        </w:tabs>
        <w:rPr>
          <w:rFonts w:ascii="Arial" w:hAnsi="Arial" w:cs="Arial"/>
          <w:szCs w:val="22"/>
        </w:rPr>
      </w:pPr>
      <w:r>
        <w:rPr>
          <w:rFonts w:ascii="Arial" w:hAnsi="Arial" w:cs="Arial"/>
          <w:bCs/>
          <w:szCs w:val="22"/>
        </w:rPr>
        <w:t xml:space="preserve">This account </w:t>
      </w:r>
      <w:r>
        <w:rPr>
          <w:rFonts w:ascii="Arial" w:hAnsi="Arial" w:cs="Arial"/>
          <w:szCs w:val="22"/>
        </w:rPr>
        <w:t>consists of the following:</w:t>
      </w:r>
    </w:p>
    <w:p>
      <w:pPr>
        <w:pStyle w:val="BodyTextIndent3"/>
        <w:widowControl w:val="0"/>
        <w:numPr>
          <w:ilvl w:val="12"/>
          <w:numId w:val="0"/>
        </w:numPr>
        <w:tabs>
          <w:tab w:val="clear" w:pos="360"/>
          <w:tab w:val="clear" w:pos="864"/>
        </w:tabs>
        <w:rPr>
          <w:szCs w:val="22"/>
        </w:rPr>
      </w:pPr>
    </w:p>
    <w:tbl>
      <w:tblPr>
        <w:tblW w:w="8640" w:type="dxa"/>
        <w:tblInd w:w="108" w:type="dxa"/>
        <w:tblLayout w:type="fixed"/>
        <w:tblLook w:val="0000" w:firstRow="0" w:lastRow="0" w:firstColumn="0" w:lastColumn="0" w:noHBand="0" w:noVBand="0"/>
      </w:tblPr>
      <w:tblGrid>
        <w:gridCol w:w="5040"/>
        <w:gridCol w:w="1800"/>
        <w:gridCol w:w="1800"/>
      </w:tblGrid>
      <w:tr>
        <w:trPr>
          <w:trHeight w:val="317"/>
          <w:tblHeader/>
        </w:trPr>
        <w:tc>
          <w:tcPr>
            <w:tcW w:w="5040" w:type="dxa"/>
            <w:tcBorders>
              <w:top w:val="single" w:sz="4" w:space="0" w:color="auto"/>
              <w:bottom w:val="single" w:sz="4" w:space="0" w:color="auto"/>
            </w:tcBorders>
            <w:shd w:val="clear" w:color="auto" w:fill="auto"/>
            <w:vAlign w:val="center"/>
          </w:tcPr>
          <w:p>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
                <w:bCs/>
                <w:sz w:val="22"/>
                <w:szCs w:val="22"/>
              </w:rPr>
            </w:pPr>
            <w:r>
              <w:rPr>
                <w:rFonts w:ascii="Arial" w:hAnsi="Arial" w:cs="Arial"/>
                <w:b/>
                <w:bCs/>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2016</w:t>
            </w:r>
          </w:p>
        </w:tc>
      </w:tr>
      <w:tr>
        <w:tc>
          <w:tcPr>
            <w:tcW w:w="5040" w:type="dxa"/>
            <w:shd w:val="clear" w:color="auto" w:fill="auto"/>
            <w:vAlign w:val="bottom"/>
          </w:tcPr>
          <w:p>
            <w:pPr>
              <w:widowControl w:val="0"/>
              <w:ind w:left="0" w:firstLine="0"/>
              <w:rPr>
                <w:rFonts w:ascii="Arial" w:hAnsi="Arial" w:cs="Arial"/>
                <w:sz w:val="22"/>
                <w:szCs w:val="22"/>
              </w:rPr>
            </w:pPr>
          </w:p>
          <w:p>
            <w:pPr>
              <w:widowControl w:val="0"/>
              <w:ind w:left="0" w:firstLine="0"/>
              <w:rPr>
                <w:rFonts w:ascii="Arial" w:hAnsi="Arial" w:cs="Arial"/>
                <w:sz w:val="22"/>
                <w:szCs w:val="22"/>
              </w:rPr>
            </w:pPr>
            <w:r>
              <w:rPr>
                <w:rFonts w:ascii="Arial" w:hAnsi="Arial" w:cs="Arial"/>
                <w:sz w:val="22"/>
                <w:szCs w:val="22"/>
              </w:rPr>
              <w:t xml:space="preserve">Cash on hand </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557,698</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565,975</w:t>
            </w:r>
          </w:p>
        </w:tc>
      </w:tr>
      <w:tr>
        <w:trPr>
          <w:trHeight w:val="80"/>
        </w:trP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Cash in banks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38,198,782</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59,226,374</w:t>
            </w:r>
          </w:p>
        </w:tc>
      </w:tr>
      <w:tr>
        <w:trPr>
          <w:trHeight w:val="80"/>
        </w:trP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lastRenderedPageBreak/>
              <w:t>Cash equivalents</w:t>
            </w:r>
          </w:p>
        </w:tc>
        <w:tc>
          <w:tcPr>
            <w:tcW w:w="1800" w:type="dxa"/>
            <w:tcBorders>
              <w:bottom w:val="sing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3,000,000</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529,000,000</w:t>
            </w:r>
          </w:p>
        </w:tc>
      </w:tr>
      <w:tr>
        <w:trPr>
          <w:trHeight w:val="317"/>
        </w:trPr>
        <w:tc>
          <w:tcPr>
            <w:tcW w:w="5040" w:type="dxa"/>
            <w:tcBorders>
              <w:bottom w:val="double" w:sz="4" w:space="0" w:color="auto"/>
            </w:tcBorders>
            <w:shd w:val="clear" w:color="auto" w:fill="auto"/>
            <w:vAlign w:val="center"/>
          </w:tcPr>
          <w:p>
            <w:pPr>
              <w:widowControl w:val="0"/>
              <w:ind w:left="0" w:firstLine="0"/>
              <w:jc w:val="right"/>
              <w:rPr>
                <w:rFonts w:ascii="Arial" w:hAnsi="Arial" w:cs="Arial"/>
                <w:b/>
                <w:bCs/>
                <w:sz w:val="22"/>
                <w:szCs w:val="22"/>
              </w:rPr>
            </w:pPr>
          </w:p>
        </w:tc>
        <w:tc>
          <w:tcPr>
            <w:tcW w:w="1800" w:type="dxa"/>
            <w:tcBorders>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41,756,480</w:t>
            </w:r>
          </w:p>
        </w:tc>
        <w:tc>
          <w:tcPr>
            <w:tcW w:w="1800" w:type="dxa"/>
            <w:tcBorders>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588,792,349</w:t>
            </w:r>
          </w:p>
        </w:tc>
      </w:tr>
    </w:tbl>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Cash in banks earn interest at the respective bank deposit interest rates. Cash equivalents consist of money market placements and other fixed-income securities with maturities of three months or less and which earn interest at the respective short-term deposit interest rates.</w:t>
      </w:r>
    </w:p>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b/>
          <w:sz w:val="22"/>
          <w:szCs w:val="22"/>
        </w:rPr>
      </w:pPr>
      <w:r>
        <w:rPr>
          <w:rFonts w:ascii="Arial" w:hAnsi="Arial" w:cs="Arial"/>
          <w:sz w:val="22"/>
          <w:szCs w:val="22"/>
        </w:rPr>
        <w:t>On November 22, 2017, the garnishment on the total deposit of P1.380 million of the System with a bank in its Camp Aguinaldo Branch was lifted pursuant to the Order issued by the Labor Arbiter of National Labor Relations Commission, Calamba City, Laguna. The subject account may now be utilized by the System.</w:t>
      </w:r>
    </w:p>
    <w:p>
      <w:pPr>
        <w:widowControl w:val="0"/>
        <w:numPr>
          <w:ilvl w:val="12"/>
          <w:numId w:val="0"/>
        </w:numPr>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For the year 2015, the System recognized a liability in the books amounting to P45.657 million as a result of the garnishment of the System’s deposits with the bank due to the civil case that was filed by a Developer against Matrix Realty and Development Corporation (MRDC), a closed subsidiary of the System.  Although the System is not a party to the case, it was made liable for the judgment obligation of MRDC by virtue of the Alias Writ of Execution dated August 6, 2015 and the Order issued on May 7, 2015 piercing the veil of corporate fiction of MRDC, both issued by the Quezon City RTC Branch 93. On January 22, 2016, the Branch Manager of the Aurora Boulevard – Notre Dame, Quezon City Branch of said bank issued Manager’s Check with the same amount in favor of the complainant Developer. The inclusion of the provision for garnishment loss in the financial statements for 2015 was approved by the BOT in its February 15, 2016 meeting. Thus, the balance of cash was reduced by P45.657 million as a result of garnishment in 2016.</w:t>
      </w:r>
    </w:p>
    <w:p>
      <w:pPr>
        <w:widowControl w:val="0"/>
        <w:numPr>
          <w:ilvl w:val="12"/>
          <w:numId w:val="0"/>
        </w:numPr>
        <w:jc w:val="both"/>
        <w:rPr>
          <w:rFonts w:ascii="Arial" w:hAnsi="Arial" w:cs="Arial"/>
          <w:b/>
          <w:sz w:val="22"/>
          <w:szCs w:val="22"/>
        </w:rPr>
      </w:pPr>
    </w:p>
    <w:p>
      <w:pPr>
        <w:widowControl w:val="0"/>
        <w:numPr>
          <w:ilvl w:val="12"/>
          <w:numId w:val="0"/>
        </w:numPr>
        <w:jc w:val="both"/>
        <w:rPr>
          <w:rFonts w:ascii="Arial" w:hAnsi="Arial" w:cs="Arial"/>
          <w:sz w:val="22"/>
          <w:szCs w:val="22"/>
        </w:rPr>
      </w:pPr>
      <w:r>
        <w:rPr>
          <w:rFonts w:ascii="Arial" w:hAnsi="Arial" w:cs="Arial"/>
          <w:sz w:val="22"/>
          <w:szCs w:val="22"/>
        </w:rPr>
        <w:t>The decision of Quezon City RTC Branch 93 was appealed by the System in the Court of Appeals (CA). The CA thru a Notice of Judgment dated May 31, 2016 decided in favor of the System - that it is not liable to the said civil case.  Subsequently, said Developer filed a Motion for Reconsideration (MR) with the CA on June 22, 2016. As of December 31, 2017, the case is still awaiting further resolution/disposition of the Honorable Court of Appeals with regard to the MR filed by the Developer.</w:t>
      </w:r>
    </w:p>
    <w:p>
      <w:pPr>
        <w:widowControl w:val="0"/>
        <w:numPr>
          <w:ilvl w:val="12"/>
          <w:numId w:val="0"/>
        </w:numPr>
        <w:jc w:val="both"/>
        <w:rPr>
          <w:rFonts w:ascii="Arial" w:hAnsi="Arial" w:cs="Arial"/>
          <w:b/>
          <w:sz w:val="22"/>
          <w:szCs w:val="22"/>
        </w:rPr>
      </w:pPr>
    </w:p>
    <w:p>
      <w:pPr>
        <w:widowControl w:val="0"/>
        <w:numPr>
          <w:ilvl w:val="12"/>
          <w:numId w:val="0"/>
        </w:numPr>
        <w:jc w:val="both"/>
        <w:rPr>
          <w:rFonts w:ascii="Arial" w:hAnsi="Arial" w:cs="Arial"/>
          <w:b/>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SHORT-TERM INVESTMENTS – NET</w:t>
      </w:r>
    </w:p>
    <w:p>
      <w:pPr>
        <w:pStyle w:val="EndnoteText"/>
        <w:widowControl w:val="0"/>
        <w:ind w:left="0" w:firstLine="0"/>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r>
        <w:rPr>
          <w:rFonts w:ascii="Arial" w:hAnsi="Arial" w:cs="Arial"/>
          <w:bCs/>
          <w:szCs w:val="22"/>
        </w:rPr>
        <w:t xml:space="preserve">This account </w:t>
      </w:r>
      <w:r>
        <w:rPr>
          <w:rFonts w:ascii="Arial" w:hAnsi="Arial" w:cs="Arial"/>
          <w:szCs w:val="22"/>
        </w:rPr>
        <w:t xml:space="preserve">consists of marketable securities totaling to P901,390,519 and P755,041, 584 for CYs 2017 and 2016, respectively.  Marketable securities include money market placements that earn interest at quoted rates ranging from 1.375 per cent to 1.65 per cent per annum, and various traded stock investments.  </w:t>
      </w: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lastRenderedPageBreak/>
        <w:t>RECEIVABLES – NET</w:t>
      </w:r>
    </w:p>
    <w:p>
      <w:pPr>
        <w:widowControl w:val="0"/>
        <w:ind w:left="0" w:firstLine="0"/>
        <w:rPr>
          <w:rFonts w:ascii="Arial" w:hAnsi="Arial" w:cs="Arial"/>
          <w:sz w:val="22"/>
          <w:szCs w:val="22"/>
        </w:rPr>
      </w:pPr>
    </w:p>
    <w:p>
      <w:pPr>
        <w:pStyle w:val="BodyTextIndent3"/>
        <w:widowControl w:val="0"/>
        <w:numPr>
          <w:ilvl w:val="12"/>
          <w:numId w:val="0"/>
        </w:numPr>
        <w:tabs>
          <w:tab w:val="clear" w:pos="360"/>
          <w:tab w:val="clear" w:pos="864"/>
        </w:tabs>
        <w:rPr>
          <w:rFonts w:ascii="Arial" w:hAnsi="Arial" w:cs="Arial"/>
          <w:szCs w:val="22"/>
        </w:rPr>
      </w:pPr>
      <w:r>
        <w:rPr>
          <w:rFonts w:ascii="Arial" w:hAnsi="Arial" w:cs="Arial"/>
          <w:bCs/>
          <w:szCs w:val="22"/>
        </w:rPr>
        <w:t xml:space="preserve">This account </w:t>
      </w:r>
      <w:r>
        <w:rPr>
          <w:rFonts w:ascii="Arial" w:hAnsi="Arial" w:cs="Arial"/>
          <w:szCs w:val="22"/>
        </w:rPr>
        <w:t>consists of the following:</w:t>
      </w:r>
    </w:p>
    <w:p>
      <w:pPr>
        <w:pStyle w:val="BodyTextIndent3"/>
        <w:widowControl w:val="0"/>
        <w:numPr>
          <w:ilvl w:val="12"/>
          <w:numId w:val="0"/>
        </w:numPr>
        <w:tabs>
          <w:tab w:val="clear" w:pos="360"/>
          <w:tab w:val="clear" w:pos="864"/>
        </w:tabs>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trPr>
          <w:trHeight w:val="346"/>
          <w:tblHeader/>
        </w:trPr>
        <w:tc>
          <w:tcPr>
            <w:tcW w:w="504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Receivable from sale of real estate properties in JV projects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5,213,860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5,213,860</w:t>
            </w:r>
          </w:p>
        </w:tc>
      </w:tr>
      <w:t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 xml:space="preserve">Receivable from JV partner </w:t>
            </w:r>
            <w:r>
              <w:rPr>
                <w:rFonts w:ascii="Arial" w:hAnsi="Arial" w:cs="Arial"/>
                <w:i/>
                <w:sz w:val="22"/>
                <w:szCs w:val="22"/>
              </w:rPr>
              <w:t>(See Note 28)</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19,634,664</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16,242,192</w:t>
            </w:r>
          </w:p>
        </w:tc>
      </w:tr>
      <w:t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 xml:space="preserve">Accrued interest on loans and investments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55,159,467</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57,187,386</w:t>
            </w:r>
          </w:p>
        </w:tc>
      </w:tr>
      <w:t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 xml:space="preserve">Non-trade receivables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16,154,550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16,154,550</w:t>
            </w:r>
          </w:p>
        </w:tc>
      </w:tr>
      <w:tr>
        <w:trPr>
          <w:trHeight w:val="261"/>
        </w:trP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Receivable from employees/others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5,172,073</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5,228,487</w:t>
            </w:r>
          </w:p>
        </w:tc>
      </w:tr>
      <w:tr>
        <w:trPr>
          <w:trHeight w:val="261"/>
        </w:trP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 xml:space="preserve">Advances to contractors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1,750,452</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1,750,452</w:t>
            </w:r>
          </w:p>
        </w:tc>
      </w:tr>
      <w:tr>
        <w:trPr>
          <w:trHeight w:val="261"/>
        </w:trPr>
        <w:tc>
          <w:tcPr>
            <w:tcW w:w="5040" w:type="dxa"/>
            <w:shd w:val="clear" w:color="auto" w:fill="auto"/>
            <w:vAlign w:val="bottom"/>
          </w:tcPr>
          <w:p>
            <w:pPr>
              <w:widowControl w:val="0"/>
              <w:ind w:left="342" w:hanging="342"/>
              <w:rPr>
                <w:rFonts w:ascii="Arial" w:hAnsi="Arial" w:cs="Arial"/>
                <w:sz w:val="22"/>
                <w:szCs w:val="22"/>
              </w:rPr>
            </w:pPr>
            <w:r>
              <w:rPr>
                <w:rFonts w:ascii="Arial" w:hAnsi="Arial" w:cs="Arial"/>
                <w:sz w:val="22"/>
                <w:szCs w:val="22"/>
              </w:rPr>
              <w:t xml:space="preserve">Management fees </w:t>
            </w:r>
            <w:r>
              <w:rPr>
                <w:rFonts w:ascii="Arial" w:hAnsi="Arial" w:cs="Arial"/>
                <w:i/>
                <w:sz w:val="22"/>
                <w:szCs w:val="22"/>
              </w:rPr>
              <w:t>(See Note 28)</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3,073,074</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3,073,074</w:t>
            </w:r>
          </w:p>
        </w:tc>
      </w:tr>
      <w:tr>
        <w:tc>
          <w:tcPr>
            <w:tcW w:w="5040" w:type="dxa"/>
            <w:tcBorders>
              <w:bottom w:val="single" w:sz="2" w:space="0" w:color="auto"/>
            </w:tcBorders>
            <w:shd w:val="clear" w:color="auto" w:fill="auto"/>
            <w:vAlign w:val="bottom"/>
          </w:tcPr>
          <w:p>
            <w:pPr>
              <w:widowControl w:val="0"/>
              <w:ind w:left="342" w:hanging="342"/>
              <w:rPr>
                <w:rFonts w:ascii="Arial" w:hAnsi="Arial" w:cs="Arial"/>
                <w:sz w:val="22"/>
                <w:szCs w:val="22"/>
              </w:rPr>
            </w:pPr>
            <w:r>
              <w:rPr>
                <w:rFonts w:ascii="Arial" w:hAnsi="Arial" w:cs="Arial"/>
                <w:sz w:val="22"/>
                <w:szCs w:val="22"/>
              </w:rPr>
              <w:t>Other receivables</w:t>
            </w:r>
          </w:p>
        </w:tc>
        <w:tc>
          <w:tcPr>
            <w:tcW w:w="1800" w:type="dxa"/>
            <w:tcBorders>
              <w:bottom w:val="single" w:sz="2"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507,204,666</w:t>
            </w:r>
          </w:p>
        </w:tc>
        <w:tc>
          <w:tcPr>
            <w:tcW w:w="1800" w:type="dxa"/>
            <w:tcBorders>
              <w:bottom w:val="single" w:sz="2"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484,551,790</w:t>
            </w:r>
          </w:p>
        </w:tc>
      </w:tr>
      <w:tr>
        <w:tc>
          <w:tcPr>
            <w:tcW w:w="5040" w:type="dxa"/>
            <w:tcBorders>
              <w:top w:val="single" w:sz="2" w:space="0" w:color="auto"/>
            </w:tcBorders>
            <w:shd w:val="clear" w:color="auto" w:fill="auto"/>
            <w:vAlign w:val="bottom"/>
          </w:tcPr>
          <w:p>
            <w:pPr>
              <w:widowControl w:val="0"/>
              <w:ind w:left="342" w:hanging="342"/>
              <w:rPr>
                <w:rFonts w:ascii="Arial" w:hAnsi="Arial" w:cs="Arial"/>
                <w:sz w:val="22"/>
                <w:szCs w:val="22"/>
              </w:rPr>
            </w:pPr>
          </w:p>
        </w:tc>
        <w:tc>
          <w:tcPr>
            <w:tcW w:w="1800" w:type="dxa"/>
            <w:tcBorders>
              <w:top w:val="single" w:sz="2"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613,362,806</w:t>
            </w:r>
          </w:p>
        </w:tc>
        <w:tc>
          <w:tcPr>
            <w:tcW w:w="1800" w:type="dxa"/>
            <w:tcBorders>
              <w:top w:val="single" w:sz="2"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589,401,791</w:t>
            </w:r>
          </w:p>
        </w:tc>
      </w:tr>
      <w:tr>
        <w:trPr>
          <w:trHeight w:val="80"/>
        </w:trPr>
        <w:tc>
          <w:tcPr>
            <w:tcW w:w="5040" w:type="dxa"/>
            <w:tcBorders>
              <w:bottom w:val="single" w:sz="2" w:space="0" w:color="auto"/>
            </w:tcBorders>
            <w:shd w:val="clear" w:color="auto" w:fill="auto"/>
            <w:vAlign w:val="bottom"/>
          </w:tcPr>
          <w:p>
            <w:pPr>
              <w:widowControl w:val="0"/>
              <w:ind w:left="342" w:hanging="342"/>
              <w:rPr>
                <w:rFonts w:ascii="Arial" w:hAnsi="Arial" w:cs="Arial"/>
                <w:sz w:val="22"/>
                <w:szCs w:val="22"/>
              </w:rPr>
            </w:pPr>
            <w:r>
              <w:rPr>
                <w:rFonts w:ascii="Arial" w:hAnsi="Arial" w:cs="Arial"/>
                <w:sz w:val="22"/>
                <w:szCs w:val="22"/>
              </w:rPr>
              <w:t>Allowance for doubtful accounts</w:t>
            </w:r>
          </w:p>
        </w:tc>
        <w:tc>
          <w:tcPr>
            <w:tcW w:w="1800" w:type="dxa"/>
            <w:tcBorders>
              <w:bottom w:val="single" w:sz="2" w:space="0" w:color="auto"/>
            </w:tcBorders>
            <w:shd w:val="clear" w:color="auto" w:fill="auto"/>
            <w:tcMar>
              <w:left w:w="115" w:type="dxa"/>
              <w:right w:w="43" w:type="dxa"/>
            </w:tcMar>
            <w:vAlign w:val="bottom"/>
          </w:tcPr>
          <w:p>
            <w:pPr>
              <w:widowControl w:val="0"/>
              <w:ind w:left="0" w:right="47" w:firstLine="0"/>
              <w:jc w:val="right"/>
              <w:rPr>
                <w:rFonts w:ascii="Arial" w:hAnsi="Arial" w:cs="Arial"/>
                <w:b/>
                <w:sz w:val="22"/>
                <w:szCs w:val="22"/>
              </w:rPr>
            </w:pPr>
            <w:r>
              <w:rPr>
                <w:rFonts w:ascii="Arial" w:hAnsi="Arial" w:cs="Arial"/>
                <w:b/>
                <w:sz w:val="22"/>
                <w:szCs w:val="22"/>
              </w:rPr>
              <w:t>(73,879,623)</w:t>
            </w:r>
          </w:p>
        </w:tc>
        <w:tc>
          <w:tcPr>
            <w:tcW w:w="1800" w:type="dxa"/>
            <w:tcBorders>
              <w:bottom w:val="single" w:sz="2" w:space="0" w:color="auto"/>
            </w:tcBorders>
            <w:tcMar>
              <w:left w:w="115" w:type="dxa"/>
              <w:right w:w="43" w:type="dxa"/>
            </w:tcMar>
            <w:vAlign w:val="bottom"/>
          </w:tcPr>
          <w:p>
            <w:pPr>
              <w:widowControl w:val="0"/>
              <w:ind w:left="0" w:right="47" w:firstLine="0"/>
              <w:jc w:val="right"/>
              <w:rPr>
                <w:rFonts w:ascii="Arial" w:hAnsi="Arial" w:cs="Arial"/>
                <w:sz w:val="22"/>
                <w:szCs w:val="22"/>
              </w:rPr>
            </w:pPr>
            <w:r>
              <w:rPr>
                <w:rFonts w:ascii="Arial" w:hAnsi="Arial" w:cs="Arial"/>
                <w:sz w:val="22"/>
                <w:szCs w:val="22"/>
              </w:rPr>
              <w:t>(73,879,623)</w:t>
            </w:r>
          </w:p>
        </w:tc>
      </w:tr>
      <w:tr>
        <w:trPr>
          <w:trHeight w:val="360"/>
        </w:trPr>
        <w:tc>
          <w:tcPr>
            <w:tcW w:w="5040" w:type="dxa"/>
            <w:tcBorders>
              <w:bottom w:val="double" w:sz="4" w:space="0" w:color="auto"/>
            </w:tcBorders>
            <w:shd w:val="clear" w:color="auto" w:fill="auto"/>
            <w:vAlign w:val="bottom"/>
          </w:tcPr>
          <w:p>
            <w:pPr>
              <w:widowControl w:val="0"/>
              <w:ind w:left="342" w:hanging="342"/>
              <w:rPr>
                <w:rFonts w:ascii="Arial" w:hAnsi="Arial" w:cs="Arial"/>
                <w:b/>
                <w:bCs/>
                <w:sz w:val="22"/>
                <w:szCs w:val="22"/>
              </w:rPr>
            </w:pPr>
          </w:p>
        </w:tc>
        <w:tc>
          <w:tcPr>
            <w:tcW w:w="1800" w:type="dxa"/>
            <w:tcBorders>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539,483,183</w:t>
            </w:r>
          </w:p>
        </w:tc>
        <w:tc>
          <w:tcPr>
            <w:tcW w:w="1800" w:type="dxa"/>
            <w:tcBorders>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515,522,168</w:t>
            </w:r>
          </w:p>
        </w:tc>
      </w:tr>
    </w:tbl>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Receivable from JV partner includes collections made by various JV partners and the regrouping of Installment contracts receivable (ICR) – current to ICR Past due particularly Village East III accounts totaling to P21.698 million and Eastridge accounts totaling to P9.342 million.</w:t>
      </w:r>
    </w:p>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Other receivables include receivables from Industrial Park lessees and advances to employees and suppliers.  The increase in the account pertains to the System’s setting up of the receivable from the persons liable amounting to P266.589 million resulting in the audit disallowance and charge which have become final and executory under Supreme Court (SC) Decision in GR No. 217948 dated January 12, 2016. Accordingly, a Notice of Finality of Decision and COA Order of Execution were issued. As of 31 December 2017, the remaining receivable has a balance of P249.982 million or a decrease of P335,991 from the original amount.</w:t>
      </w:r>
    </w:p>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The above also includes interests that were accrued on various commercial papers whose interests are payable, quarterly, annually, or upon maturity.</w:t>
      </w:r>
    </w:p>
    <w:p>
      <w:pPr>
        <w:widowControl w:val="0"/>
        <w:numPr>
          <w:ilvl w:val="12"/>
          <w:numId w:val="0"/>
        </w:numPr>
        <w:jc w:val="both"/>
        <w:rPr>
          <w:rFonts w:ascii="Arial" w:hAnsi="Arial" w:cs="Arial"/>
          <w:sz w:val="22"/>
          <w:szCs w:val="22"/>
        </w:rPr>
      </w:pPr>
    </w:p>
    <w:p>
      <w:pPr>
        <w:pStyle w:val="BodyText2"/>
        <w:widowControl w:val="0"/>
        <w:tabs>
          <w:tab w:val="clear" w:pos="432"/>
          <w:tab w:val="clear" w:pos="864"/>
          <w:tab w:val="left" w:pos="720"/>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 xml:space="preserve">LOANS RECEIVABLE – NET </w:t>
      </w:r>
    </w:p>
    <w:p>
      <w:pPr>
        <w:pStyle w:val="EndnoteText"/>
        <w:widowControl w:val="0"/>
        <w:numPr>
          <w:ilvl w:val="12"/>
          <w:numId w:val="0"/>
        </w:numPr>
        <w:rPr>
          <w:rFonts w:ascii="Arial" w:hAnsi="Arial" w:cs="Arial"/>
          <w:szCs w:val="22"/>
        </w:rPr>
      </w:pPr>
    </w:p>
    <w:p>
      <w:pPr>
        <w:pStyle w:val="BodyTextIndent3"/>
        <w:widowControl w:val="0"/>
        <w:numPr>
          <w:ilvl w:val="12"/>
          <w:numId w:val="0"/>
        </w:numPr>
        <w:tabs>
          <w:tab w:val="clear" w:pos="360"/>
          <w:tab w:val="clear" w:pos="864"/>
        </w:tabs>
        <w:rPr>
          <w:rFonts w:ascii="Arial" w:hAnsi="Arial" w:cs="Arial"/>
          <w:szCs w:val="22"/>
        </w:rPr>
      </w:pPr>
      <w:r>
        <w:rPr>
          <w:rFonts w:ascii="Arial" w:hAnsi="Arial" w:cs="Arial"/>
          <w:bCs/>
          <w:szCs w:val="22"/>
        </w:rPr>
        <w:t xml:space="preserve">This account </w:t>
      </w:r>
      <w:r>
        <w:rPr>
          <w:rFonts w:ascii="Arial" w:hAnsi="Arial" w:cs="Arial"/>
          <w:szCs w:val="22"/>
        </w:rPr>
        <w:t>consists of the following:</w:t>
      </w:r>
    </w:p>
    <w:p>
      <w:pPr>
        <w:pStyle w:val="BodyTextIndent3"/>
        <w:widowControl w:val="0"/>
        <w:numPr>
          <w:ilvl w:val="12"/>
          <w:numId w:val="0"/>
        </w:numPr>
        <w:tabs>
          <w:tab w:val="clear" w:pos="360"/>
          <w:tab w:val="clear" w:pos="864"/>
        </w:tabs>
        <w:rPr>
          <w:szCs w:val="22"/>
        </w:rPr>
      </w:pPr>
    </w:p>
    <w:tbl>
      <w:tblPr>
        <w:tblW w:w="8640" w:type="dxa"/>
        <w:tblInd w:w="108" w:type="dxa"/>
        <w:tblLayout w:type="fixed"/>
        <w:tblLook w:val="0000" w:firstRow="0" w:lastRow="0" w:firstColumn="0" w:lastColumn="0" w:noHBand="0" w:noVBand="0"/>
      </w:tblPr>
      <w:tblGrid>
        <w:gridCol w:w="5040"/>
        <w:gridCol w:w="1800"/>
        <w:gridCol w:w="1800"/>
      </w:tblGrid>
      <w:tr>
        <w:trPr>
          <w:trHeight w:val="346"/>
          <w:tblHeader/>
        </w:trPr>
        <w:tc>
          <w:tcPr>
            <w:tcW w:w="504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c>
          <w:tcPr>
            <w:tcW w:w="5040" w:type="dxa"/>
            <w:shd w:val="clear" w:color="auto" w:fill="auto"/>
            <w:vAlign w:val="bottom"/>
          </w:tcPr>
          <w:p>
            <w:pPr>
              <w:widowControl w:val="0"/>
              <w:ind w:left="252" w:hanging="252"/>
              <w:rPr>
                <w:rFonts w:ascii="Arial" w:hAnsi="Arial" w:cs="Arial"/>
                <w:sz w:val="22"/>
                <w:szCs w:val="22"/>
              </w:rPr>
            </w:pPr>
            <w:r>
              <w:rPr>
                <w:rFonts w:ascii="Arial" w:hAnsi="Arial" w:cs="Arial"/>
                <w:sz w:val="22"/>
                <w:szCs w:val="22"/>
              </w:rPr>
              <w:t xml:space="preserve">Short-term loans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270,659,657</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333,837,197</w:t>
            </w:r>
          </w:p>
        </w:tc>
      </w:tr>
      <w:tr>
        <w:tc>
          <w:tcPr>
            <w:tcW w:w="5040" w:type="dxa"/>
            <w:shd w:val="clear" w:color="auto" w:fill="auto"/>
            <w:vAlign w:val="bottom"/>
          </w:tcPr>
          <w:p>
            <w:pPr>
              <w:widowControl w:val="0"/>
              <w:ind w:left="252" w:hanging="252"/>
              <w:rPr>
                <w:rFonts w:ascii="Arial" w:hAnsi="Arial" w:cs="Arial"/>
                <w:sz w:val="22"/>
                <w:szCs w:val="22"/>
              </w:rPr>
            </w:pPr>
            <w:r>
              <w:rPr>
                <w:rFonts w:ascii="Arial" w:hAnsi="Arial" w:cs="Arial"/>
                <w:sz w:val="22"/>
                <w:szCs w:val="22"/>
              </w:rPr>
              <w:t xml:space="preserve">Medium-term loans </w:t>
            </w:r>
            <w:r>
              <w:rPr>
                <w:rFonts w:ascii="Arial" w:hAnsi="Arial" w:cs="Arial"/>
                <w:i/>
                <w:sz w:val="22"/>
                <w:szCs w:val="22"/>
              </w:rPr>
              <w:t>(See Note 28)</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61,918,478</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49,624,818</w:t>
            </w:r>
          </w:p>
        </w:tc>
      </w:tr>
      <w:tr>
        <w:tc>
          <w:tcPr>
            <w:tcW w:w="5040" w:type="dxa"/>
            <w:shd w:val="clear" w:color="auto" w:fill="auto"/>
            <w:vAlign w:val="bottom"/>
          </w:tcPr>
          <w:p>
            <w:pPr>
              <w:widowControl w:val="0"/>
              <w:ind w:left="252" w:hanging="252"/>
              <w:rPr>
                <w:rFonts w:ascii="Arial" w:hAnsi="Arial" w:cs="Arial"/>
                <w:sz w:val="22"/>
                <w:szCs w:val="22"/>
              </w:rPr>
            </w:pPr>
            <w:r>
              <w:rPr>
                <w:rFonts w:ascii="Arial" w:hAnsi="Arial" w:cs="Arial"/>
                <w:sz w:val="22"/>
                <w:szCs w:val="22"/>
              </w:rPr>
              <w:t>Past due loans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126,520,837</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127,006,747</w:t>
            </w:r>
          </w:p>
        </w:tc>
      </w:tr>
      <w:tr>
        <w:tc>
          <w:tcPr>
            <w:tcW w:w="5040" w:type="dxa"/>
            <w:tcBorders>
              <w:bottom w:val="single" w:sz="4" w:space="0" w:color="auto"/>
            </w:tcBorders>
            <w:shd w:val="clear" w:color="auto" w:fill="auto"/>
            <w:vAlign w:val="bottom"/>
          </w:tcPr>
          <w:p>
            <w:pPr>
              <w:widowControl w:val="0"/>
              <w:ind w:left="252" w:hanging="252"/>
              <w:rPr>
                <w:rFonts w:ascii="Arial" w:hAnsi="Arial" w:cs="Arial"/>
                <w:sz w:val="22"/>
                <w:szCs w:val="22"/>
              </w:rPr>
            </w:pPr>
            <w:r>
              <w:rPr>
                <w:rFonts w:ascii="Arial" w:hAnsi="Arial" w:cs="Arial"/>
                <w:sz w:val="22"/>
                <w:szCs w:val="22"/>
              </w:rPr>
              <w:t>Accounts under litigation</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526,007,874</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526,062,169</w:t>
            </w:r>
          </w:p>
        </w:tc>
      </w:tr>
      <w:tr>
        <w:trPr>
          <w:trHeight w:val="144"/>
        </w:trPr>
        <w:tc>
          <w:tcPr>
            <w:tcW w:w="5040" w:type="dxa"/>
            <w:tcBorders>
              <w:top w:val="single" w:sz="4" w:space="0" w:color="auto"/>
            </w:tcBorders>
            <w:shd w:val="clear" w:color="auto" w:fill="auto"/>
            <w:vAlign w:val="bottom"/>
          </w:tcPr>
          <w:p>
            <w:pPr>
              <w:widowControl w:val="0"/>
              <w:ind w:left="252" w:hanging="252"/>
              <w:rPr>
                <w:rFonts w:ascii="Arial" w:hAnsi="Arial" w:cs="Arial"/>
                <w:sz w:val="22"/>
                <w:szCs w:val="22"/>
              </w:rPr>
            </w:pPr>
          </w:p>
        </w:tc>
        <w:tc>
          <w:tcPr>
            <w:tcW w:w="1800" w:type="dxa"/>
            <w:tcBorders>
              <w:top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985,106,846</w:t>
            </w:r>
          </w:p>
        </w:tc>
        <w:tc>
          <w:tcPr>
            <w:tcW w:w="1800" w:type="dxa"/>
            <w:tcBorders>
              <w:top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1,036,530,931</w:t>
            </w:r>
          </w:p>
        </w:tc>
      </w:tr>
      <w:tr>
        <w:tc>
          <w:tcPr>
            <w:tcW w:w="5040" w:type="dxa"/>
            <w:shd w:val="clear" w:color="auto" w:fill="auto"/>
            <w:vAlign w:val="bottom"/>
          </w:tcPr>
          <w:p>
            <w:pPr>
              <w:widowControl w:val="0"/>
              <w:ind w:left="252" w:hanging="252"/>
              <w:rPr>
                <w:rFonts w:ascii="Arial" w:hAnsi="Arial" w:cs="Arial"/>
                <w:sz w:val="22"/>
                <w:szCs w:val="22"/>
              </w:rPr>
            </w:pPr>
            <w:r>
              <w:rPr>
                <w:rFonts w:ascii="Arial" w:hAnsi="Arial" w:cs="Arial"/>
                <w:sz w:val="22"/>
                <w:szCs w:val="22"/>
              </w:rPr>
              <w:t>Allowance for doubtful accounts</w:t>
            </w:r>
          </w:p>
        </w:tc>
        <w:tc>
          <w:tcPr>
            <w:tcW w:w="1800" w:type="dxa"/>
            <w:shd w:val="clear" w:color="auto" w:fill="auto"/>
            <w:tcMar>
              <w:left w:w="115" w:type="dxa"/>
              <w:right w:w="43" w:type="dxa"/>
            </w:tcMar>
            <w:vAlign w:val="bottom"/>
          </w:tcPr>
          <w:p>
            <w:pPr>
              <w:widowControl w:val="0"/>
              <w:ind w:left="0" w:firstLine="0"/>
              <w:jc w:val="right"/>
              <w:rPr>
                <w:rFonts w:ascii="Arial" w:hAnsi="Arial" w:cs="Arial"/>
                <w:b/>
                <w:sz w:val="22"/>
                <w:szCs w:val="22"/>
              </w:rPr>
            </w:pPr>
            <w:r>
              <w:rPr>
                <w:rFonts w:ascii="Arial" w:hAnsi="Arial" w:cs="Arial"/>
                <w:b/>
                <w:sz w:val="22"/>
                <w:szCs w:val="22"/>
              </w:rPr>
              <w:t>(349,323,950)</w:t>
            </w:r>
          </w:p>
        </w:tc>
        <w:tc>
          <w:tcPr>
            <w:tcW w:w="1800" w:type="dxa"/>
            <w:tcMar>
              <w:left w:w="115" w:type="dxa"/>
              <w:right w:w="43" w:type="dxa"/>
            </w:tcMar>
            <w:vAlign w:val="bottom"/>
          </w:tcPr>
          <w:p>
            <w:pPr>
              <w:widowControl w:val="0"/>
              <w:ind w:left="0" w:firstLine="0"/>
              <w:jc w:val="right"/>
              <w:rPr>
                <w:rFonts w:ascii="Arial" w:hAnsi="Arial" w:cs="Arial"/>
                <w:sz w:val="22"/>
                <w:szCs w:val="22"/>
              </w:rPr>
            </w:pPr>
            <w:r>
              <w:rPr>
                <w:rFonts w:ascii="Arial" w:hAnsi="Arial" w:cs="Arial"/>
                <w:sz w:val="22"/>
                <w:szCs w:val="22"/>
              </w:rPr>
              <w:t>(349,823,950)</w:t>
            </w:r>
          </w:p>
        </w:tc>
      </w:tr>
      <w:tr>
        <w:tc>
          <w:tcPr>
            <w:tcW w:w="5040" w:type="dxa"/>
            <w:tcBorders>
              <w:bottom w:val="single" w:sz="2" w:space="0" w:color="auto"/>
            </w:tcBorders>
            <w:shd w:val="clear" w:color="auto" w:fill="auto"/>
            <w:vAlign w:val="bottom"/>
          </w:tcPr>
          <w:p>
            <w:pPr>
              <w:widowControl w:val="0"/>
              <w:ind w:left="252" w:hanging="252"/>
              <w:rPr>
                <w:rFonts w:ascii="Arial" w:hAnsi="Arial" w:cs="Arial"/>
                <w:sz w:val="22"/>
                <w:szCs w:val="22"/>
              </w:rPr>
            </w:pPr>
            <w:r>
              <w:rPr>
                <w:rFonts w:ascii="Arial" w:hAnsi="Arial" w:cs="Arial"/>
                <w:sz w:val="22"/>
                <w:szCs w:val="22"/>
              </w:rPr>
              <w:lastRenderedPageBreak/>
              <w:t>Unearned interest income</w:t>
            </w:r>
          </w:p>
        </w:tc>
        <w:tc>
          <w:tcPr>
            <w:tcW w:w="1800" w:type="dxa"/>
            <w:tcBorders>
              <w:bottom w:val="single" w:sz="2" w:space="0" w:color="auto"/>
            </w:tcBorders>
            <w:shd w:val="clear" w:color="auto" w:fill="auto"/>
            <w:tcMar>
              <w:left w:w="115" w:type="dxa"/>
              <w:right w:w="43" w:type="dxa"/>
            </w:tcMar>
            <w:vAlign w:val="bottom"/>
          </w:tcPr>
          <w:p>
            <w:pPr>
              <w:widowControl w:val="0"/>
              <w:ind w:left="0" w:firstLine="0"/>
              <w:jc w:val="right"/>
              <w:rPr>
                <w:rFonts w:ascii="Arial" w:hAnsi="Arial" w:cs="Arial"/>
                <w:b/>
                <w:sz w:val="22"/>
                <w:szCs w:val="22"/>
              </w:rPr>
            </w:pPr>
            <w:r>
              <w:rPr>
                <w:rFonts w:ascii="Arial" w:hAnsi="Arial" w:cs="Arial"/>
                <w:b/>
                <w:sz w:val="22"/>
                <w:szCs w:val="22"/>
              </w:rPr>
              <w:t>(117,267,326)</w:t>
            </w:r>
          </w:p>
        </w:tc>
        <w:tc>
          <w:tcPr>
            <w:tcW w:w="1800" w:type="dxa"/>
            <w:tcBorders>
              <w:bottom w:val="single" w:sz="2" w:space="0" w:color="auto"/>
            </w:tcBorders>
            <w:tcMar>
              <w:left w:w="115" w:type="dxa"/>
              <w:right w:w="43" w:type="dxa"/>
            </w:tcMar>
            <w:vAlign w:val="bottom"/>
          </w:tcPr>
          <w:p>
            <w:pPr>
              <w:widowControl w:val="0"/>
              <w:ind w:left="0" w:firstLine="0"/>
              <w:jc w:val="right"/>
              <w:rPr>
                <w:rFonts w:ascii="Arial" w:hAnsi="Arial" w:cs="Arial"/>
                <w:sz w:val="22"/>
                <w:szCs w:val="22"/>
              </w:rPr>
            </w:pPr>
            <w:r>
              <w:rPr>
                <w:rFonts w:ascii="Arial" w:hAnsi="Arial" w:cs="Arial"/>
                <w:sz w:val="22"/>
                <w:szCs w:val="22"/>
              </w:rPr>
              <w:t>(117,267,326)</w:t>
            </w:r>
          </w:p>
        </w:tc>
      </w:tr>
      <w:tr>
        <w:tc>
          <w:tcPr>
            <w:tcW w:w="5040" w:type="dxa"/>
            <w:tcBorders>
              <w:top w:val="single" w:sz="2" w:space="0" w:color="auto"/>
            </w:tcBorders>
            <w:shd w:val="clear" w:color="auto" w:fill="auto"/>
            <w:vAlign w:val="bottom"/>
          </w:tcPr>
          <w:p>
            <w:pPr>
              <w:widowControl w:val="0"/>
              <w:ind w:left="252" w:hanging="252"/>
              <w:rPr>
                <w:rFonts w:ascii="Arial" w:hAnsi="Arial" w:cs="Arial"/>
                <w:sz w:val="22"/>
                <w:szCs w:val="22"/>
              </w:rPr>
            </w:pPr>
          </w:p>
        </w:tc>
        <w:tc>
          <w:tcPr>
            <w:tcW w:w="1800" w:type="dxa"/>
            <w:tcBorders>
              <w:top w:val="single" w:sz="2"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518,515,570</w:t>
            </w:r>
          </w:p>
        </w:tc>
        <w:tc>
          <w:tcPr>
            <w:tcW w:w="1800" w:type="dxa"/>
            <w:tcBorders>
              <w:top w:val="single" w:sz="2"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569,439,655</w:t>
            </w:r>
          </w:p>
        </w:tc>
      </w:tr>
      <w:tr>
        <w:tc>
          <w:tcPr>
            <w:tcW w:w="5040" w:type="dxa"/>
            <w:tcBorders>
              <w:bottom w:val="single" w:sz="4" w:space="0" w:color="auto"/>
            </w:tcBorders>
            <w:shd w:val="clear" w:color="auto" w:fill="auto"/>
            <w:vAlign w:val="bottom"/>
          </w:tcPr>
          <w:p>
            <w:pPr>
              <w:widowControl w:val="0"/>
              <w:ind w:left="252" w:hanging="252"/>
              <w:rPr>
                <w:rFonts w:ascii="Arial" w:hAnsi="Arial" w:cs="Arial"/>
                <w:sz w:val="22"/>
                <w:szCs w:val="22"/>
              </w:rPr>
            </w:pPr>
            <w:r>
              <w:rPr>
                <w:rFonts w:ascii="Arial" w:hAnsi="Arial" w:cs="Arial"/>
                <w:sz w:val="22"/>
                <w:szCs w:val="22"/>
              </w:rPr>
              <w:t>Current portion of short-term and medium-term loans</w:t>
            </w:r>
          </w:p>
        </w:tc>
        <w:tc>
          <w:tcPr>
            <w:tcW w:w="1800" w:type="dxa"/>
            <w:tcBorders>
              <w:bottom w:val="single" w:sz="4" w:space="0" w:color="auto"/>
            </w:tcBorders>
            <w:shd w:val="clear" w:color="auto" w:fill="auto"/>
            <w:tcMar>
              <w:left w:w="115" w:type="dxa"/>
              <w:right w:w="43" w:type="dxa"/>
            </w:tcMar>
            <w:vAlign w:val="bottom"/>
          </w:tcPr>
          <w:p>
            <w:pPr>
              <w:widowControl w:val="0"/>
              <w:ind w:left="0" w:firstLine="0"/>
              <w:jc w:val="right"/>
              <w:rPr>
                <w:rFonts w:ascii="Arial" w:hAnsi="Arial" w:cs="Arial"/>
                <w:b/>
                <w:sz w:val="22"/>
                <w:szCs w:val="22"/>
              </w:rPr>
            </w:pPr>
            <w:r>
              <w:rPr>
                <w:rFonts w:ascii="Arial" w:hAnsi="Arial" w:cs="Arial"/>
                <w:b/>
                <w:sz w:val="22"/>
                <w:szCs w:val="22"/>
              </w:rPr>
              <w:t>(332,578,135)</w:t>
            </w:r>
          </w:p>
        </w:tc>
        <w:tc>
          <w:tcPr>
            <w:tcW w:w="1800" w:type="dxa"/>
            <w:tcBorders>
              <w:bottom w:val="single" w:sz="4" w:space="0" w:color="auto"/>
            </w:tcBorders>
            <w:tcMar>
              <w:left w:w="115" w:type="dxa"/>
              <w:right w:w="43" w:type="dxa"/>
            </w:tcMar>
            <w:vAlign w:val="bottom"/>
          </w:tcPr>
          <w:p>
            <w:pPr>
              <w:widowControl w:val="0"/>
              <w:ind w:left="0" w:firstLine="0"/>
              <w:jc w:val="right"/>
              <w:rPr>
                <w:rFonts w:ascii="Arial" w:hAnsi="Arial" w:cs="Arial"/>
                <w:sz w:val="22"/>
                <w:szCs w:val="22"/>
              </w:rPr>
            </w:pPr>
            <w:r>
              <w:rPr>
                <w:rFonts w:ascii="Arial" w:hAnsi="Arial" w:cs="Arial"/>
                <w:sz w:val="22"/>
                <w:szCs w:val="22"/>
              </w:rPr>
              <w:t>(383,462,015)</w:t>
            </w:r>
          </w:p>
        </w:tc>
      </w:tr>
      <w:tr>
        <w:trPr>
          <w:trHeight w:val="360"/>
        </w:trPr>
        <w:tc>
          <w:tcPr>
            <w:tcW w:w="5040" w:type="dxa"/>
            <w:tcBorders>
              <w:bottom w:val="double" w:sz="4" w:space="0" w:color="auto"/>
            </w:tcBorders>
            <w:shd w:val="clear" w:color="auto" w:fill="auto"/>
            <w:vAlign w:val="center"/>
          </w:tcPr>
          <w:p>
            <w:pPr>
              <w:widowControl w:val="0"/>
              <w:ind w:left="0" w:firstLine="0"/>
              <w:jc w:val="right"/>
              <w:rPr>
                <w:rFonts w:ascii="Arial" w:hAnsi="Arial" w:cs="Arial"/>
                <w:b/>
                <w:bCs/>
                <w:sz w:val="22"/>
                <w:szCs w:val="22"/>
              </w:rPr>
            </w:pPr>
          </w:p>
        </w:tc>
        <w:tc>
          <w:tcPr>
            <w:tcW w:w="1800" w:type="dxa"/>
            <w:tcBorders>
              <w:bottom w:val="double" w:sz="4" w:space="0" w:color="auto"/>
            </w:tcBorders>
            <w:shd w:val="clear" w:color="auto" w:fill="auto"/>
            <w:vAlign w:val="center"/>
          </w:tcPr>
          <w:p>
            <w:pPr>
              <w:widowControl w:val="0"/>
              <w:ind w:left="0" w:firstLine="0"/>
              <w:jc w:val="right"/>
              <w:rPr>
                <w:rFonts w:ascii="Arial" w:hAnsi="Arial" w:cs="Arial"/>
                <w:b/>
                <w:bCs/>
                <w:sz w:val="22"/>
                <w:szCs w:val="22"/>
              </w:rPr>
            </w:pPr>
            <w:r>
              <w:rPr>
                <w:rFonts w:ascii="Arial" w:hAnsi="Arial" w:cs="Arial"/>
                <w:b/>
                <w:bCs/>
                <w:sz w:val="22"/>
                <w:szCs w:val="22"/>
              </w:rPr>
              <w:t>185,937,435</w:t>
            </w:r>
          </w:p>
        </w:tc>
        <w:tc>
          <w:tcPr>
            <w:tcW w:w="1800" w:type="dxa"/>
            <w:tcBorders>
              <w:bottom w:val="double" w:sz="4" w:space="0" w:color="auto"/>
            </w:tcBorders>
            <w:vAlign w:val="center"/>
          </w:tcPr>
          <w:p>
            <w:pPr>
              <w:widowControl w:val="0"/>
              <w:ind w:left="0" w:firstLine="0"/>
              <w:jc w:val="right"/>
              <w:rPr>
                <w:rFonts w:ascii="Arial" w:hAnsi="Arial" w:cs="Arial"/>
                <w:b/>
                <w:bCs/>
                <w:sz w:val="22"/>
                <w:szCs w:val="22"/>
              </w:rPr>
            </w:pPr>
            <w:r>
              <w:rPr>
                <w:rFonts w:ascii="Arial" w:hAnsi="Arial" w:cs="Arial"/>
                <w:b/>
                <w:bCs/>
                <w:sz w:val="22"/>
                <w:szCs w:val="22"/>
              </w:rPr>
              <w:t>185,977,640</w:t>
            </w:r>
          </w:p>
        </w:tc>
      </w:tr>
    </w:tbl>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 xml:space="preserve">Short-term loans represent the various types of loans extended by the System to its members like the advance refunds and the multi-purpose loans. These loans bear interest rates comparable to the prevailing market rates.  After the issuance of MO No. 90 on April 8, 2016, the System stopped the granting of all loans to members except the advance refunds.  </w:t>
      </w:r>
    </w:p>
    <w:p>
      <w:pPr>
        <w:widowControl w:val="0"/>
        <w:numPr>
          <w:ilvl w:val="12"/>
          <w:numId w:val="0"/>
        </w:numPr>
        <w:jc w:val="both"/>
        <w:rPr>
          <w:rFonts w:ascii="Arial" w:hAnsi="Arial" w:cs="Arial"/>
          <w:sz w:val="22"/>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Medium-term loans represent outstanding balances of loans granted by the System to its members and employees and some private companies.</w:t>
      </w:r>
    </w:p>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r>
        <w:rPr>
          <w:rFonts w:ascii="Arial" w:hAnsi="Arial" w:cs="Arial"/>
          <w:sz w:val="22"/>
          <w:szCs w:val="22"/>
        </w:rPr>
        <w:t>Past due loans represent uncollected balances of loans that remained unpaid for more than 180 days. These loans, including accounts under litigation, are secured by mortgages on real estate, except on a few accounts.</w:t>
      </w:r>
    </w:p>
    <w:p>
      <w:pPr>
        <w:widowControl w:val="0"/>
        <w:numPr>
          <w:ilvl w:val="12"/>
          <w:numId w:val="0"/>
        </w:numPr>
        <w:jc w:val="both"/>
        <w:rPr>
          <w:rFonts w:ascii="Arial" w:hAnsi="Arial" w:cs="Arial"/>
          <w:sz w:val="22"/>
          <w:szCs w:val="22"/>
        </w:rPr>
      </w:pPr>
    </w:p>
    <w:p>
      <w:pPr>
        <w:widowControl w:val="0"/>
        <w:numPr>
          <w:ilvl w:val="12"/>
          <w:numId w:val="0"/>
        </w:numPr>
        <w:jc w:val="both"/>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OTHER CURRENT ASSETS</w:t>
      </w:r>
    </w:p>
    <w:p>
      <w:pPr>
        <w:pStyle w:val="BodyText2"/>
        <w:widowControl w:val="0"/>
        <w:tabs>
          <w:tab w:val="clear" w:pos="432"/>
          <w:tab w:val="clear" w:pos="864"/>
          <w:tab w:val="left" w:pos="720"/>
        </w:tabs>
        <w:ind w:left="0" w:firstLine="0"/>
        <w:rPr>
          <w:rFonts w:ascii="Arial" w:hAnsi="Arial" w:cs="Arial"/>
          <w:b/>
          <w:szCs w:val="22"/>
        </w:rPr>
      </w:pPr>
    </w:p>
    <w:p>
      <w:pPr>
        <w:pStyle w:val="BodyText2"/>
        <w:widowControl w:val="0"/>
        <w:tabs>
          <w:tab w:val="clear" w:pos="432"/>
          <w:tab w:val="clear" w:pos="864"/>
          <w:tab w:val="left" w:pos="720"/>
        </w:tabs>
        <w:ind w:left="0" w:firstLine="0"/>
        <w:rPr>
          <w:rFonts w:ascii="Arial" w:hAnsi="Arial" w:cs="Arial"/>
          <w:szCs w:val="22"/>
        </w:rPr>
      </w:pPr>
      <w:r>
        <w:rPr>
          <w:rFonts w:ascii="Arial" w:hAnsi="Arial" w:cs="Arial"/>
          <w:szCs w:val="22"/>
        </w:rPr>
        <w:t>This account consists of the following:</w:t>
      </w:r>
    </w:p>
    <w:p>
      <w:pPr>
        <w:pStyle w:val="BodyText2"/>
        <w:widowControl w:val="0"/>
        <w:tabs>
          <w:tab w:val="clear" w:pos="432"/>
          <w:tab w:val="clear" w:pos="864"/>
          <w:tab w:val="left" w:pos="720"/>
        </w:tabs>
        <w:ind w:left="0" w:firstLine="0"/>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trPr>
          <w:trHeight w:val="346"/>
        </w:trPr>
        <w:tc>
          <w:tcPr>
            <w:tcW w:w="504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Prepaid commissions</w:t>
            </w:r>
          </w:p>
        </w:tc>
        <w:tc>
          <w:tcPr>
            <w:tcW w:w="1800" w:type="dxa"/>
            <w:vAlign w:val="center"/>
          </w:tcPr>
          <w:p>
            <w:pPr>
              <w:jc w:val="right"/>
              <w:rPr>
                <w:rFonts w:ascii="Arial" w:hAnsi="Arial" w:cs="Arial"/>
                <w:b/>
                <w:sz w:val="22"/>
                <w:szCs w:val="22"/>
              </w:rPr>
            </w:pPr>
            <w:r>
              <w:rPr>
                <w:rFonts w:ascii="Arial" w:hAnsi="Arial" w:cs="Arial"/>
                <w:b/>
                <w:sz w:val="22"/>
                <w:szCs w:val="22"/>
              </w:rPr>
              <w:t>17,377,977</w:t>
            </w:r>
          </w:p>
        </w:tc>
        <w:tc>
          <w:tcPr>
            <w:tcW w:w="1800" w:type="dxa"/>
            <w:vAlign w:val="center"/>
          </w:tcPr>
          <w:p>
            <w:pPr>
              <w:jc w:val="right"/>
              <w:rPr>
                <w:rFonts w:ascii="Arial" w:hAnsi="Arial" w:cs="Arial"/>
                <w:sz w:val="22"/>
                <w:szCs w:val="22"/>
              </w:rPr>
            </w:pPr>
            <w:r>
              <w:rPr>
                <w:rFonts w:ascii="Arial" w:hAnsi="Arial" w:cs="Arial"/>
                <w:sz w:val="22"/>
                <w:szCs w:val="22"/>
              </w:rPr>
              <w:t>17,711,048</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Prepaid tax</w:t>
            </w:r>
          </w:p>
        </w:tc>
        <w:tc>
          <w:tcPr>
            <w:tcW w:w="1800" w:type="dxa"/>
            <w:vAlign w:val="center"/>
          </w:tcPr>
          <w:p>
            <w:pPr>
              <w:jc w:val="right"/>
              <w:rPr>
                <w:rFonts w:ascii="Arial" w:hAnsi="Arial" w:cs="Arial"/>
                <w:b/>
                <w:sz w:val="22"/>
                <w:szCs w:val="22"/>
              </w:rPr>
            </w:pPr>
            <w:r>
              <w:rPr>
                <w:rFonts w:ascii="Arial" w:hAnsi="Arial" w:cs="Arial"/>
                <w:b/>
                <w:sz w:val="22"/>
                <w:szCs w:val="22"/>
              </w:rPr>
              <w:t>13,663,507</w:t>
            </w:r>
          </w:p>
        </w:tc>
        <w:tc>
          <w:tcPr>
            <w:tcW w:w="1800" w:type="dxa"/>
            <w:vAlign w:val="center"/>
          </w:tcPr>
          <w:p>
            <w:pPr>
              <w:jc w:val="right"/>
              <w:rPr>
                <w:rFonts w:ascii="Arial" w:hAnsi="Arial" w:cs="Arial"/>
                <w:sz w:val="22"/>
                <w:szCs w:val="22"/>
              </w:rPr>
            </w:pPr>
            <w:r>
              <w:rPr>
                <w:rFonts w:ascii="Arial" w:hAnsi="Arial" w:cs="Arial"/>
                <w:sz w:val="22"/>
                <w:szCs w:val="22"/>
              </w:rPr>
              <w:t>11,736,769</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Prepaid subscriptions/membership</w:t>
            </w:r>
          </w:p>
        </w:tc>
        <w:tc>
          <w:tcPr>
            <w:tcW w:w="1800" w:type="dxa"/>
            <w:vAlign w:val="center"/>
          </w:tcPr>
          <w:p>
            <w:pPr>
              <w:jc w:val="right"/>
              <w:rPr>
                <w:rFonts w:ascii="Arial" w:hAnsi="Arial" w:cs="Arial"/>
                <w:b/>
                <w:sz w:val="22"/>
                <w:szCs w:val="22"/>
              </w:rPr>
            </w:pPr>
            <w:r>
              <w:rPr>
                <w:rFonts w:ascii="Arial" w:hAnsi="Arial" w:cs="Arial"/>
                <w:b/>
                <w:sz w:val="22"/>
                <w:szCs w:val="22"/>
              </w:rPr>
              <w:t>1,689,680</w:t>
            </w:r>
          </w:p>
        </w:tc>
        <w:tc>
          <w:tcPr>
            <w:tcW w:w="1800" w:type="dxa"/>
            <w:vAlign w:val="center"/>
          </w:tcPr>
          <w:p>
            <w:pPr>
              <w:jc w:val="right"/>
              <w:rPr>
                <w:rFonts w:ascii="Arial" w:hAnsi="Arial" w:cs="Arial"/>
                <w:sz w:val="22"/>
                <w:szCs w:val="22"/>
              </w:rPr>
            </w:pPr>
            <w:r>
              <w:rPr>
                <w:rFonts w:ascii="Arial" w:hAnsi="Arial" w:cs="Arial"/>
                <w:sz w:val="22"/>
                <w:szCs w:val="22"/>
              </w:rPr>
              <w:t>368,360</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Prepaid supplies and materials </w:t>
            </w:r>
          </w:p>
        </w:tc>
        <w:tc>
          <w:tcPr>
            <w:tcW w:w="1800" w:type="dxa"/>
          </w:tcPr>
          <w:p>
            <w:pPr>
              <w:widowControl w:val="0"/>
              <w:ind w:left="0" w:firstLine="0"/>
              <w:jc w:val="right"/>
              <w:rPr>
                <w:rFonts w:ascii="Arial" w:hAnsi="Arial" w:cs="Arial"/>
                <w:b/>
                <w:sz w:val="22"/>
                <w:szCs w:val="22"/>
              </w:rPr>
            </w:pPr>
            <w:r>
              <w:rPr>
                <w:rFonts w:ascii="Arial" w:hAnsi="Arial" w:cs="Arial"/>
                <w:b/>
                <w:sz w:val="22"/>
                <w:szCs w:val="22"/>
              </w:rPr>
              <w:t>1,239,717</w:t>
            </w:r>
          </w:p>
        </w:tc>
        <w:tc>
          <w:tcPr>
            <w:tcW w:w="1800" w:type="dxa"/>
          </w:tcPr>
          <w:p>
            <w:pPr>
              <w:widowControl w:val="0"/>
              <w:ind w:left="0" w:firstLine="0"/>
              <w:jc w:val="right"/>
              <w:rPr>
                <w:rFonts w:ascii="Arial" w:hAnsi="Arial" w:cs="Arial"/>
                <w:sz w:val="22"/>
                <w:szCs w:val="22"/>
              </w:rPr>
            </w:pPr>
            <w:r>
              <w:rPr>
                <w:rFonts w:ascii="Arial" w:hAnsi="Arial" w:cs="Arial"/>
                <w:sz w:val="22"/>
                <w:szCs w:val="22"/>
              </w:rPr>
              <w:t>916,508</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Prepaid insurance</w:t>
            </w:r>
          </w:p>
        </w:tc>
        <w:tc>
          <w:tcPr>
            <w:tcW w:w="1800" w:type="dxa"/>
          </w:tcPr>
          <w:p>
            <w:pPr>
              <w:widowControl w:val="0"/>
              <w:ind w:left="0" w:firstLine="0"/>
              <w:jc w:val="right"/>
              <w:rPr>
                <w:rFonts w:ascii="Arial" w:hAnsi="Arial" w:cs="Arial"/>
                <w:b/>
                <w:sz w:val="22"/>
                <w:szCs w:val="22"/>
              </w:rPr>
            </w:pPr>
            <w:r>
              <w:rPr>
                <w:rFonts w:ascii="Arial" w:hAnsi="Arial" w:cs="Arial"/>
                <w:b/>
                <w:sz w:val="22"/>
                <w:szCs w:val="22"/>
              </w:rPr>
              <w:t>420,271</w:t>
            </w:r>
          </w:p>
        </w:tc>
        <w:tc>
          <w:tcPr>
            <w:tcW w:w="1800" w:type="dxa"/>
          </w:tcPr>
          <w:p>
            <w:pPr>
              <w:widowControl w:val="0"/>
              <w:ind w:left="0" w:firstLine="0"/>
              <w:jc w:val="right"/>
              <w:rPr>
                <w:rFonts w:ascii="Arial" w:hAnsi="Arial" w:cs="Arial"/>
                <w:sz w:val="22"/>
                <w:szCs w:val="22"/>
              </w:rPr>
            </w:pPr>
            <w:r>
              <w:rPr>
                <w:rFonts w:ascii="Arial" w:hAnsi="Arial" w:cs="Arial"/>
                <w:sz w:val="22"/>
                <w:szCs w:val="22"/>
              </w:rPr>
              <w:t>485,876</w:t>
            </w:r>
          </w:p>
        </w:tc>
      </w:tr>
      <w:t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Prepaid repairs and maintenance</w:t>
            </w:r>
          </w:p>
        </w:tc>
        <w:tc>
          <w:tcPr>
            <w:tcW w:w="1800" w:type="dxa"/>
            <w:tcBorders>
              <w:bottom w:val="single" w:sz="4" w:space="0" w:color="auto"/>
            </w:tcBorders>
            <w:vAlign w:val="center"/>
          </w:tcPr>
          <w:p>
            <w:pPr>
              <w:jc w:val="right"/>
              <w:rPr>
                <w:rFonts w:ascii="Arial" w:hAnsi="Arial" w:cs="Arial"/>
                <w:b/>
                <w:sz w:val="22"/>
                <w:szCs w:val="22"/>
              </w:rPr>
            </w:pPr>
            <w:r>
              <w:rPr>
                <w:rFonts w:ascii="Arial" w:hAnsi="Arial" w:cs="Arial"/>
                <w:b/>
                <w:sz w:val="22"/>
                <w:szCs w:val="22"/>
              </w:rPr>
              <w:t>213,167</w:t>
            </w:r>
          </w:p>
        </w:tc>
        <w:tc>
          <w:tcPr>
            <w:tcW w:w="1800" w:type="dxa"/>
            <w:tcBorders>
              <w:bottom w:val="single" w:sz="4" w:space="0" w:color="auto"/>
            </w:tcBorders>
            <w:vAlign w:val="center"/>
          </w:tcPr>
          <w:p>
            <w:pPr>
              <w:jc w:val="right"/>
              <w:rPr>
                <w:rFonts w:ascii="Arial" w:hAnsi="Arial" w:cs="Arial"/>
                <w:sz w:val="22"/>
                <w:szCs w:val="22"/>
              </w:rPr>
            </w:pPr>
            <w:r>
              <w:rPr>
                <w:rFonts w:ascii="Arial" w:hAnsi="Arial" w:cs="Arial"/>
                <w:sz w:val="22"/>
                <w:szCs w:val="22"/>
              </w:rPr>
              <w:t>295,847</w:t>
            </w:r>
          </w:p>
        </w:tc>
      </w:tr>
      <w:tr>
        <w:trPr>
          <w:trHeight w:val="270"/>
        </w:trPr>
        <w:tc>
          <w:tcPr>
            <w:tcW w:w="5040" w:type="dxa"/>
            <w:tcBorders>
              <w:top w:val="single" w:sz="4" w:space="0" w:color="auto"/>
              <w:bottom w:val="double" w:sz="4" w:space="0" w:color="auto"/>
            </w:tcBorders>
            <w:shd w:val="clear" w:color="auto" w:fill="auto"/>
            <w:vAlign w:val="center"/>
          </w:tcPr>
          <w:p>
            <w:pPr>
              <w:widowControl w:val="0"/>
              <w:ind w:left="0" w:firstLine="0"/>
              <w:jc w:val="right"/>
              <w:rPr>
                <w:rFonts w:ascii="Arial" w:hAnsi="Arial" w:cs="Arial"/>
                <w:b/>
                <w:bCs/>
                <w:sz w:val="22"/>
                <w:szCs w:val="22"/>
              </w:rPr>
            </w:pPr>
          </w:p>
        </w:tc>
        <w:tc>
          <w:tcPr>
            <w:tcW w:w="1800" w:type="dxa"/>
            <w:tcBorders>
              <w:top w:val="single" w:sz="4" w:space="0" w:color="auto"/>
              <w:bottom w:val="double" w:sz="4" w:space="0" w:color="auto"/>
            </w:tcBorders>
            <w:vAlign w:val="center"/>
          </w:tcPr>
          <w:p>
            <w:pPr>
              <w:widowControl w:val="0"/>
              <w:ind w:left="0" w:firstLine="0"/>
              <w:jc w:val="right"/>
              <w:rPr>
                <w:rFonts w:ascii="Arial" w:hAnsi="Arial" w:cs="Arial"/>
                <w:b/>
                <w:sz w:val="22"/>
                <w:szCs w:val="22"/>
              </w:rPr>
            </w:pPr>
            <w:r>
              <w:rPr>
                <w:rFonts w:ascii="Arial" w:hAnsi="Arial" w:cs="Arial"/>
                <w:b/>
                <w:sz w:val="22"/>
                <w:szCs w:val="22"/>
              </w:rPr>
              <w:t>34,604,319</w:t>
            </w:r>
          </w:p>
        </w:tc>
        <w:tc>
          <w:tcPr>
            <w:tcW w:w="1800" w:type="dxa"/>
            <w:tcBorders>
              <w:top w:val="single" w:sz="4" w:space="0" w:color="auto"/>
              <w:bottom w:val="double" w:sz="4" w:space="0" w:color="auto"/>
            </w:tcBorders>
            <w:vAlign w:val="center"/>
          </w:tcPr>
          <w:p>
            <w:pPr>
              <w:widowControl w:val="0"/>
              <w:ind w:left="0" w:firstLine="0"/>
              <w:jc w:val="right"/>
              <w:rPr>
                <w:rFonts w:ascii="Arial" w:hAnsi="Arial" w:cs="Arial"/>
                <w:sz w:val="22"/>
                <w:szCs w:val="22"/>
              </w:rPr>
            </w:pPr>
            <w:r>
              <w:rPr>
                <w:rFonts w:ascii="Arial" w:hAnsi="Arial" w:cs="Arial"/>
                <w:sz w:val="22"/>
                <w:szCs w:val="22"/>
              </w:rPr>
              <w:t>31,514,408</w:t>
            </w:r>
          </w:p>
        </w:tc>
      </w:tr>
    </w:tbl>
    <w:p>
      <w:pPr>
        <w:widowControl w:val="0"/>
        <w:ind w:left="0" w:firstLine="0"/>
        <w:rPr>
          <w:rFonts w:ascii="Arial" w:hAnsi="Arial" w:cs="Arial"/>
          <w:b/>
          <w:sz w:val="22"/>
          <w:szCs w:val="22"/>
        </w:rPr>
      </w:pPr>
    </w:p>
    <w:p>
      <w:pPr>
        <w:widowControl w:val="0"/>
        <w:ind w:left="0" w:firstLine="0"/>
        <w:jc w:val="both"/>
        <w:rPr>
          <w:rFonts w:ascii="Arial" w:hAnsi="Arial" w:cs="Arial"/>
          <w:sz w:val="22"/>
          <w:szCs w:val="22"/>
        </w:rPr>
      </w:pPr>
      <w:r>
        <w:rPr>
          <w:rFonts w:ascii="Arial" w:hAnsi="Arial" w:cs="Arial"/>
          <w:sz w:val="22"/>
          <w:szCs w:val="22"/>
        </w:rPr>
        <w:t>Prepaid commissions pertain to the partial payments of commissions to brokers/ marketing agents relative to the sale of the System’s real estate inventories.</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 xml:space="preserve">Advance payments for real estate taxes for the various properties of RSBS were also included in this category classified as prepaid taxes. </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Prepaid insurance pertains to the payments made for insurance premium of the System’s properties which are being amortized over the covered period.</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 xml:space="preserve">Prepaid repairs and maintenance pertains to the remaining unamortized cost for maintenance support services with hardware upgrade for the System’s existing firewall/VPN Appliance and for the server maintenance service support for the existing </w:t>
      </w:r>
      <w:r>
        <w:rPr>
          <w:rFonts w:ascii="Arial" w:hAnsi="Arial" w:cs="Arial"/>
          <w:sz w:val="22"/>
          <w:szCs w:val="22"/>
        </w:rPr>
        <w:lastRenderedPageBreak/>
        <w:t>IBM System and Servers.</w:t>
      </w:r>
    </w:p>
    <w:p>
      <w:pPr>
        <w:pStyle w:val="BodyText2"/>
        <w:widowControl w:val="0"/>
        <w:tabs>
          <w:tab w:val="clear" w:pos="432"/>
          <w:tab w:val="clear" w:pos="864"/>
          <w:tab w:val="left" w:pos="720"/>
        </w:tabs>
        <w:ind w:left="0" w:firstLine="0"/>
        <w:rPr>
          <w:rFonts w:ascii="Arial" w:hAnsi="Arial" w:cs="Arial"/>
          <w:szCs w:val="22"/>
        </w:rPr>
      </w:pPr>
    </w:p>
    <w:p>
      <w:pPr>
        <w:widowControl w:val="0"/>
        <w:numPr>
          <w:ilvl w:val="12"/>
          <w:numId w:val="0"/>
        </w:numPr>
        <w:jc w:val="both"/>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NON-CURRENT INVESTMENTS – NET</w:t>
      </w:r>
    </w:p>
    <w:p>
      <w:pPr>
        <w:pStyle w:val="BodyText2"/>
        <w:widowControl w:val="0"/>
        <w:tabs>
          <w:tab w:val="clear" w:pos="432"/>
          <w:tab w:val="clear" w:pos="864"/>
          <w:tab w:val="left" w:pos="720"/>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This account consists of marketable securities in the amount of P18,027,197 and P21,919,222 for CYs 2017 and 2016, respectively. Included in this category is the restricted Money Market Placement with a bank in the amount of P2.991 million which was used as collateral in the pending case with Department of Labor and Employment (DOLE).  The System is a respondent to the labor case filed by the employees of a security agency which contracted its services with the System</w:t>
      </w:r>
      <w:r>
        <w:rPr>
          <w:rFonts w:ascii="Arial" w:hAnsi="Arial" w:cs="Arial"/>
          <w:color w:val="FF0000"/>
          <w:szCs w:val="22"/>
        </w:rPr>
        <w:t xml:space="preserve">.  </w:t>
      </w:r>
      <w:r>
        <w:rPr>
          <w:rFonts w:ascii="Arial" w:hAnsi="Arial" w:cs="Arial"/>
          <w:szCs w:val="22"/>
        </w:rPr>
        <w:t>As of to date, the System is still awaiting resolution of the appeal before the DOLE.</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account also includes the Available For Sale financial assets in the total amount of P15.036 million which is inclusive of the cumulative unrealized gain on financial assets in the amount of P13.058 million.  The cumulative unrealized gain is also presented in the SCI.</w:t>
      </w:r>
    </w:p>
    <w:p>
      <w:pPr>
        <w:pStyle w:val="BodyText2"/>
        <w:widowControl w:val="0"/>
        <w:tabs>
          <w:tab w:val="clear" w:pos="432"/>
          <w:tab w:val="clear" w:pos="864"/>
          <w:tab w:val="left" w:pos="720"/>
        </w:tabs>
        <w:ind w:left="0" w:firstLine="0"/>
        <w:rPr>
          <w:rFonts w:ascii="Arial" w:hAnsi="Arial" w:cs="Arial"/>
          <w:b/>
          <w:szCs w:val="22"/>
        </w:rPr>
      </w:pPr>
    </w:p>
    <w:p>
      <w:pPr>
        <w:pStyle w:val="BodyText2"/>
        <w:widowControl w:val="0"/>
        <w:tabs>
          <w:tab w:val="clear" w:pos="432"/>
          <w:tab w:val="clear" w:pos="864"/>
          <w:tab w:val="left" w:pos="720"/>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 xml:space="preserve">INSTALLMENT CONTRACTS RECEIVABLE – NET </w:t>
      </w: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This account consists of the following:</w:t>
      </w:r>
    </w:p>
    <w:p>
      <w:pPr>
        <w:pStyle w:val="BodyText2"/>
        <w:widowControl w:val="0"/>
        <w:numPr>
          <w:ilvl w:val="12"/>
          <w:numId w:val="0"/>
        </w:numPr>
        <w:tabs>
          <w:tab w:val="clear" w:pos="432"/>
          <w:tab w:val="clear" w:pos="864"/>
        </w:tabs>
        <w:rPr>
          <w:rFonts w:ascii="Arial" w:hAnsi="Arial" w:cs="Arial"/>
          <w:szCs w:val="22"/>
        </w:rPr>
      </w:pPr>
    </w:p>
    <w:tbl>
      <w:tblPr>
        <w:tblW w:w="8640" w:type="dxa"/>
        <w:tblInd w:w="108" w:type="dxa"/>
        <w:tblLayout w:type="fixed"/>
        <w:tblLook w:val="0000" w:firstRow="0" w:lastRow="0" w:firstColumn="0" w:lastColumn="0" w:noHBand="0" w:noVBand="0"/>
      </w:tblPr>
      <w:tblGrid>
        <w:gridCol w:w="5040"/>
        <w:gridCol w:w="1800"/>
        <w:gridCol w:w="1800"/>
      </w:tblGrid>
      <w:tr>
        <w:trPr>
          <w:trHeight w:val="346"/>
        </w:trPr>
        <w:tc>
          <w:tcPr>
            <w:tcW w:w="504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rPr>
          <w:trHeight w:val="215"/>
        </w:trPr>
        <w:tc>
          <w:tcPr>
            <w:tcW w:w="5040" w:type="dxa"/>
            <w:shd w:val="clear" w:color="auto" w:fill="auto"/>
            <w:noWrap/>
            <w:vAlign w:val="bottom"/>
          </w:tcPr>
          <w:p>
            <w:pPr>
              <w:widowControl w:val="0"/>
              <w:ind w:left="0" w:firstLine="0"/>
              <w:rPr>
                <w:rFonts w:ascii="Arial" w:hAnsi="Arial" w:cs="Arial"/>
                <w:sz w:val="22"/>
                <w:szCs w:val="22"/>
              </w:rPr>
            </w:pPr>
          </w:p>
          <w:p>
            <w:pPr>
              <w:widowControl w:val="0"/>
              <w:ind w:left="0" w:firstLine="0"/>
              <w:rPr>
                <w:rFonts w:ascii="Arial" w:hAnsi="Arial" w:cs="Arial"/>
                <w:sz w:val="22"/>
                <w:szCs w:val="22"/>
              </w:rPr>
            </w:pPr>
            <w:r>
              <w:rPr>
                <w:rFonts w:ascii="Arial" w:hAnsi="Arial" w:cs="Arial"/>
                <w:sz w:val="22"/>
                <w:szCs w:val="22"/>
              </w:rPr>
              <w:t>ICR from sale of real estate inventory</w:t>
            </w:r>
          </w:p>
        </w:tc>
        <w:tc>
          <w:tcPr>
            <w:tcW w:w="1800" w:type="dxa"/>
            <w:shd w:val="clear" w:color="auto" w:fill="auto"/>
            <w:vAlign w:val="bottom"/>
          </w:tcPr>
          <w:p>
            <w:pPr>
              <w:widowControl w:val="0"/>
              <w:ind w:left="0" w:right="72" w:firstLine="0"/>
              <w:jc w:val="right"/>
              <w:rPr>
                <w:rFonts w:ascii="Arial" w:hAnsi="Arial" w:cs="Arial"/>
                <w:sz w:val="22"/>
                <w:szCs w:val="22"/>
              </w:rPr>
            </w:pPr>
            <w:r>
              <w:rPr>
                <w:rFonts w:ascii="Arial" w:hAnsi="Arial" w:cs="Arial"/>
                <w:sz w:val="22"/>
                <w:szCs w:val="22"/>
              </w:rPr>
              <w:t>459,225,123</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518,485,272</w:t>
            </w:r>
          </w:p>
        </w:tc>
      </w:tr>
      <w:tr>
        <w:tc>
          <w:tcPr>
            <w:tcW w:w="5040" w:type="dxa"/>
            <w:shd w:val="clear" w:color="auto" w:fill="auto"/>
            <w:noWrap/>
            <w:vAlign w:val="bottom"/>
          </w:tcPr>
          <w:p>
            <w:pPr>
              <w:widowControl w:val="0"/>
              <w:ind w:left="0" w:firstLine="0"/>
              <w:rPr>
                <w:rFonts w:ascii="Arial" w:hAnsi="Arial" w:cs="Arial"/>
                <w:sz w:val="22"/>
                <w:szCs w:val="22"/>
              </w:rPr>
            </w:pPr>
            <w:r>
              <w:rPr>
                <w:rFonts w:ascii="Arial" w:hAnsi="Arial" w:cs="Arial"/>
                <w:sz w:val="22"/>
                <w:szCs w:val="22"/>
              </w:rPr>
              <w:t>ICR from sale of acquired assets</w:t>
            </w:r>
          </w:p>
        </w:tc>
        <w:tc>
          <w:tcPr>
            <w:tcW w:w="1800" w:type="dxa"/>
            <w:shd w:val="clear" w:color="auto" w:fill="auto"/>
            <w:noWrap/>
            <w:vAlign w:val="bottom"/>
          </w:tcPr>
          <w:p>
            <w:pPr>
              <w:widowControl w:val="0"/>
              <w:ind w:left="0" w:right="72" w:firstLine="0"/>
              <w:jc w:val="right"/>
              <w:rPr>
                <w:rFonts w:ascii="Arial" w:hAnsi="Arial" w:cs="Arial"/>
                <w:sz w:val="22"/>
                <w:szCs w:val="22"/>
              </w:rPr>
            </w:pPr>
            <w:r>
              <w:rPr>
                <w:rFonts w:ascii="Arial" w:hAnsi="Arial" w:cs="Arial"/>
                <w:sz w:val="22"/>
                <w:szCs w:val="22"/>
              </w:rPr>
              <w:t>4,143,600</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4,148,591</w:t>
            </w:r>
          </w:p>
        </w:tc>
      </w:tr>
      <w:tr>
        <w:tc>
          <w:tcPr>
            <w:tcW w:w="5040" w:type="dxa"/>
            <w:tcBorders>
              <w:bottom w:val="single" w:sz="4" w:space="0" w:color="auto"/>
            </w:tcBorders>
            <w:shd w:val="clear" w:color="auto" w:fill="auto"/>
            <w:noWrap/>
            <w:vAlign w:val="bottom"/>
          </w:tcPr>
          <w:p>
            <w:pPr>
              <w:widowControl w:val="0"/>
              <w:ind w:left="0" w:firstLine="0"/>
              <w:rPr>
                <w:rFonts w:ascii="Arial" w:hAnsi="Arial" w:cs="Arial"/>
                <w:sz w:val="22"/>
                <w:szCs w:val="22"/>
              </w:rPr>
            </w:pPr>
            <w:r>
              <w:rPr>
                <w:rFonts w:ascii="Arial" w:hAnsi="Arial" w:cs="Arial"/>
                <w:sz w:val="22"/>
                <w:szCs w:val="22"/>
              </w:rPr>
              <w:t>Past due ICR</w:t>
            </w:r>
          </w:p>
        </w:tc>
        <w:tc>
          <w:tcPr>
            <w:tcW w:w="1800" w:type="dxa"/>
            <w:tcBorders>
              <w:bottom w:val="single" w:sz="4" w:space="0" w:color="auto"/>
            </w:tcBorders>
            <w:shd w:val="clear" w:color="auto" w:fill="auto"/>
            <w:noWrap/>
            <w:vAlign w:val="bottom"/>
          </w:tcPr>
          <w:p>
            <w:pPr>
              <w:widowControl w:val="0"/>
              <w:ind w:left="0" w:right="72" w:firstLine="0"/>
              <w:jc w:val="right"/>
              <w:rPr>
                <w:rFonts w:ascii="Arial" w:hAnsi="Arial" w:cs="Arial"/>
                <w:sz w:val="22"/>
                <w:szCs w:val="22"/>
              </w:rPr>
            </w:pPr>
            <w:r>
              <w:rPr>
                <w:rFonts w:ascii="Arial" w:hAnsi="Arial" w:cs="Arial"/>
                <w:sz w:val="22"/>
                <w:szCs w:val="22"/>
              </w:rPr>
              <w:t>165,256,339</w:t>
            </w:r>
          </w:p>
        </w:tc>
        <w:tc>
          <w:tcPr>
            <w:tcW w:w="1800" w:type="dxa"/>
            <w:tcBorders>
              <w:bottom w:val="single" w:sz="4"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166,321,928</w:t>
            </w:r>
          </w:p>
        </w:tc>
      </w:tr>
      <w:tr>
        <w:tc>
          <w:tcPr>
            <w:tcW w:w="5040" w:type="dxa"/>
            <w:tcBorders>
              <w:top w:val="single" w:sz="4" w:space="0" w:color="auto"/>
            </w:tcBorders>
            <w:shd w:val="clear" w:color="auto" w:fill="auto"/>
            <w:noWrap/>
            <w:vAlign w:val="bottom"/>
          </w:tcPr>
          <w:p>
            <w:pPr>
              <w:widowControl w:val="0"/>
              <w:ind w:left="0" w:firstLine="0"/>
              <w:rPr>
                <w:rFonts w:ascii="Arial" w:hAnsi="Arial" w:cs="Arial"/>
                <w:sz w:val="22"/>
                <w:szCs w:val="22"/>
              </w:rPr>
            </w:pPr>
          </w:p>
        </w:tc>
        <w:tc>
          <w:tcPr>
            <w:tcW w:w="1800" w:type="dxa"/>
            <w:tcBorders>
              <w:top w:val="single" w:sz="4" w:space="0" w:color="auto"/>
            </w:tcBorders>
            <w:shd w:val="clear" w:color="auto" w:fill="auto"/>
            <w:noWrap/>
            <w:vAlign w:val="bottom"/>
          </w:tcPr>
          <w:p>
            <w:pPr>
              <w:widowControl w:val="0"/>
              <w:ind w:left="0" w:right="72" w:firstLine="0"/>
              <w:jc w:val="right"/>
              <w:rPr>
                <w:rFonts w:ascii="Arial" w:hAnsi="Arial" w:cs="Arial"/>
                <w:sz w:val="22"/>
                <w:szCs w:val="22"/>
              </w:rPr>
            </w:pPr>
            <w:r>
              <w:rPr>
                <w:rFonts w:ascii="Arial" w:hAnsi="Arial" w:cs="Arial"/>
                <w:sz w:val="22"/>
                <w:szCs w:val="22"/>
              </w:rPr>
              <w:t>628,625,062</w:t>
            </w:r>
          </w:p>
        </w:tc>
        <w:tc>
          <w:tcPr>
            <w:tcW w:w="1800" w:type="dxa"/>
            <w:tcBorders>
              <w:top w:val="single" w:sz="4"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688,955,791</w:t>
            </w:r>
          </w:p>
        </w:tc>
      </w:tr>
      <w:tr>
        <w:tc>
          <w:tcPr>
            <w:tcW w:w="5040" w:type="dxa"/>
            <w:tcBorders>
              <w:bottom w:val="single" w:sz="4" w:space="0" w:color="auto"/>
            </w:tcBorders>
            <w:shd w:val="clear" w:color="auto" w:fill="auto"/>
            <w:noWrap/>
            <w:vAlign w:val="bottom"/>
          </w:tcPr>
          <w:p>
            <w:pPr>
              <w:widowControl w:val="0"/>
              <w:ind w:left="0" w:firstLine="0"/>
              <w:rPr>
                <w:rFonts w:ascii="Arial" w:hAnsi="Arial" w:cs="Arial"/>
                <w:sz w:val="22"/>
                <w:szCs w:val="22"/>
              </w:rPr>
            </w:pPr>
            <w:r>
              <w:rPr>
                <w:rFonts w:ascii="Arial" w:hAnsi="Arial" w:cs="Arial"/>
                <w:sz w:val="22"/>
                <w:szCs w:val="22"/>
              </w:rPr>
              <w:t>Allowance for doubtful accounts</w:t>
            </w:r>
          </w:p>
        </w:tc>
        <w:tc>
          <w:tcPr>
            <w:tcW w:w="1800" w:type="dxa"/>
            <w:tcBorders>
              <w:bottom w:val="single" w:sz="4" w:space="0" w:color="auto"/>
            </w:tcBorders>
            <w:shd w:val="clear" w:color="auto" w:fill="auto"/>
            <w:noWrap/>
            <w:tcMar>
              <w:left w:w="115" w:type="dxa"/>
              <w:right w:w="43" w:type="dxa"/>
            </w:tcMar>
            <w:vAlign w:val="bottom"/>
          </w:tcPr>
          <w:p>
            <w:pPr>
              <w:widowControl w:val="0"/>
              <w:ind w:left="0" w:right="72" w:firstLine="0"/>
              <w:jc w:val="right"/>
              <w:rPr>
                <w:rFonts w:ascii="Arial" w:hAnsi="Arial" w:cs="Arial"/>
                <w:sz w:val="22"/>
                <w:szCs w:val="22"/>
              </w:rPr>
            </w:pPr>
            <w:r>
              <w:rPr>
                <w:rFonts w:ascii="Arial" w:hAnsi="Arial" w:cs="Arial"/>
                <w:sz w:val="22"/>
                <w:szCs w:val="22"/>
              </w:rPr>
              <w:t>(165,323,009)</w:t>
            </w:r>
          </w:p>
        </w:tc>
        <w:tc>
          <w:tcPr>
            <w:tcW w:w="1800" w:type="dxa"/>
            <w:tcBorders>
              <w:bottom w:val="single" w:sz="4" w:space="0" w:color="auto"/>
            </w:tcBorders>
            <w:tcMar>
              <w:left w:w="115" w:type="dxa"/>
              <w:right w:w="43" w:type="dxa"/>
            </w:tcMar>
            <w:vAlign w:val="bottom"/>
          </w:tcPr>
          <w:p>
            <w:pPr>
              <w:widowControl w:val="0"/>
              <w:ind w:left="0" w:firstLine="0"/>
              <w:jc w:val="right"/>
              <w:rPr>
                <w:rFonts w:ascii="Arial" w:hAnsi="Arial" w:cs="Arial"/>
                <w:bCs/>
                <w:sz w:val="22"/>
                <w:szCs w:val="22"/>
              </w:rPr>
            </w:pPr>
            <w:r>
              <w:rPr>
                <w:rFonts w:ascii="Arial" w:hAnsi="Arial" w:cs="Arial"/>
                <w:bCs/>
                <w:sz w:val="22"/>
                <w:szCs w:val="22"/>
              </w:rPr>
              <w:t>(165,323,009)</w:t>
            </w:r>
          </w:p>
        </w:tc>
      </w:tr>
      <w:tr>
        <w:tc>
          <w:tcPr>
            <w:tcW w:w="5040" w:type="dxa"/>
            <w:tcBorders>
              <w:top w:val="single" w:sz="4" w:space="0" w:color="auto"/>
              <w:bottom w:val="double" w:sz="4" w:space="0" w:color="auto"/>
            </w:tcBorders>
            <w:shd w:val="clear" w:color="auto" w:fill="auto"/>
            <w:noWrap/>
            <w:vAlign w:val="bottom"/>
          </w:tcPr>
          <w:p>
            <w:pPr>
              <w:widowControl w:val="0"/>
              <w:ind w:left="0" w:firstLine="0"/>
              <w:rPr>
                <w:rFonts w:ascii="Arial" w:hAnsi="Arial" w:cs="Arial"/>
                <w:b/>
                <w:sz w:val="22"/>
                <w:szCs w:val="22"/>
              </w:rPr>
            </w:pPr>
          </w:p>
        </w:tc>
        <w:tc>
          <w:tcPr>
            <w:tcW w:w="1800" w:type="dxa"/>
            <w:tcBorders>
              <w:top w:val="single" w:sz="4" w:space="0" w:color="auto"/>
              <w:bottom w:val="double" w:sz="4" w:space="0" w:color="auto"/>
            </w:tcBorders>
            <w:shd w:val="clear" w:color="auto" w:fill="auto"/>
            <w:noWrap/>
            <w:tcMar>
              <w:left w:w="115" w:type="dxa"/>
              <w:right w:w="43" w:type="dxa"/>
            </w:tcMar>
            <w:vAlign w:val="bottom"/>
          </w:tcPr>
          <w:p>
            <w:pPr>
              <w:widowControl w:val="0"/>
              <w:ind w:left="0" w:right="72" w:firstLine="0"/>
              <w:jc w:val="right"/>
              <w:rPr>
                <w:rFonts w:ascii="Arial" w:hAnsi="Arial" w:cs="Arial"/>
                <w:b/>
                <w:sz w:val="22"/>
                <w:szCs w:val="22"/>
              </w:rPr>
            </w:pPr>
            <w:r>
              <w:rPr>
                <w:rFonts w:ascii="Arial" w:hAnsi="Arial" w:cs="Arial"/>
                <w:b/>
                <w:sz w:val="22"/>
                <w:szCs w:val="22"/>
              </w:rPr>
              <w:t>463,302,053</w:t>
            </w:r>
          </w:p>
        </w:tc>
        <w:tc>
          <w:tcPr>
            <w:tcW w:w="1800" w:type="dxa"/>
            <w:tcBorders>
              <w:top w:val="single" w:sz="4" w:space="0" w:color="auto"/>
              <w:bottom w:val="double" w:sz="4" w:space="0" w:color="auto"/>
            </w:tcBorders>
            <w:tcMar>
              <w:left w:w="115" w:type="dxa"/>
              <w:right w:w="43" w:type="dxa"/>
            </w:tcMar>
            <w:vAlign w:val="bottom"/>
          </w:tcPr>
          <w:p>
            <w:pPr>
              <w:widowControl w:val="0"/>
              <w:ind w:left="0" w:firstLine="0"/>
              <w:jc w:val="right"/>
              <w:rPr>
                <w:rFonts w:ascii="Arial" w:hAnsi="Arial" w:cs="Arial"/>
                <w:b/>
                <w:bCs/>
                <w:sz w:val="22"/>
                <w:szCs w:val="22"/>
              </w:rPr>
            </w:pPr>
            <w:r>
              <w:rPr>
                <w:rFonts w:ascii="Arial" w:hAnsi="Arial" w:cs="Arial"/>
                <w:b/>
                <w:bCs/>
                <w:sz w:val="22"/>
                <w:szCs w:val="22"/>
              </w:rPr>
              <w:t>523,632,782</w:t>
            </w:r>
          </w:p>
        </w:tc>
      </w:tr>
    </w:tbl>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 xml:space="preserve">ICR accounts represent the balances of contract receivables arising from the sale of real estate inventories and acquired assets which were financed by the System through in-house financing scheme. The receivables are collectible within a period of one to 15 years with interest at prevailing market rates. The transactions are covered by contracts to sell. Corresponding titles to the real estate sold are transferred to the buyers only upon full payment of the contract price.  </w:t>
      </w: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Past due ICRs represent the uncollected balance that remained unpaid for more than 180 days.</w:t>
      </w: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lastRenderedPageBreak/>
        <w:t>ADVANCES TO SUBSIDIARIES AND ASSOCIATES – NET</w:t>
      </w: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This account consists of non-interest bearing cash advances to the following subsidiaries of the System:</w:t>
      </w:r>
    </w:p>
    <w:p>
      <w:pPr>
        <w:pStyle w:val="BodyText2"/>
        <w:widowControl w:val="0"/>
        <w:tabs>
          <w:tab w:val="clear" w:pos="432"/>
          <w:tab w:val="clear" w:pos="864"/>
        </w:tabs>
        <w:ind w:left="0" w:firstLine="0"/>
        <w:rPr>
          <w:rFonts w:ascii="Arial" w:hAnsi="Arial" w:cs="Arial"/>
          <w:szCs w:val="22"/>
        </w:rPr>
      </w:pPr>
    </w:p>
    <w:tbl>
      <w:tblPr>
        <w:tblW w:w="8640" w:type="dxa"/>
        <w:tblInd w:w="108" w:type="dxa"/>
        <w:tblLook w:val="0000" w:firstRow="0" w:lastRow="0" w:firstColumn="0" w:lastColumn="0" w:noHBand="0" w:noVBand="0"/>
      </w:tblPr>
      <w:tblGrid>
        <w:gridCol w:w="5040"/>
        <w:gridCol w:w="1800"/>
        <w:gridCol w:w="1800"/>
      </w:tblGrid>
      <w:tr>
        <w:trPr>
          <w:trHeight w:val="346"/>
          <w:tblHeader/>
        </w:trPr>
        <w:tc>
          <w:tcPr>
            <w:tcW w:w="5040"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widowControl w:val="0"/>
              <w:ind w:left="0" w:right="72" w:firstLine="0"/>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right="72" w:firstLine="0"/>
              <w:jc w:val="center"/>
              <w:rPr>
                <w:rFonts w:ascii="Arial" w:hAnsi="Arial" w:cs="Arial"/>
                <w:sz w:val="22"/>
                <w:szCs w:val="22"/>
              </w:rPr>
            </w:pPr>
            <w:r>
              <w:rPr>
                <w:rFonts w:ascii="Arial" w:hAnsi="Arial" w:cs="Arial"/>
                <w:sz w:val="22"/>
                <w:szCs w:val="22"/>
              </w:rPr>
              <w:t>2016</w:t>
            </w:r>
          </w:p>
        </w:tc>
      </w:tr>
      <w:tr>
        <w:tc>
          <w:tcPr>
            <w:tcW w:w="5040" w:type="dxa"/>
            <w:shd w:val="clear" w:color="auto" w:fill="auto"/>
            <w:vAlign w:val="bottom"/>
          </w:tcPr>
          <w:p>
            <w:pPr>
              <w:widowControl w:val="0"/>
              <w:tabs>
                <w:tab w:val="left" w:pos="4572"/>
              </w:tabs>
              <w:ind w:left="342" w:right="252" w:hanging="342"/>
              <w:jc w:val="both"/>
              <w:rPr>
                <w:rFonts w:ascii="Arial" w:hAnsi="Arial" w:cs="Arial"/>
                <w:sz w:val="22"/>
                <w:szCs w:val="22"/>
              </w:rPr>
            </w:pPr>
            <w:r>
              <w:rPr>
                <w:rFonts w:ascii="Arial" w:hAnsi="Arial" w:cs="Arial"/>
                <w:sz w:val="22"/>
                <w:szCs w:val="22"/>
              </w:rPr>
              <w:t xml:space="preserve">Bay Resources Development Corporation </w:t>
            </w:r>
          </w:p>
        </w:tc>
        <w:tc>
          <w:tcPr>
            <w:tcW w:w="1800" w:type="dxa"/>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13,191,805</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13,191,805</w:t>
            </w:r>
          </w:p>
        </w:tc>
      </w:tr>
      <w:tr>
        <w:tc>
          <w:tcPr>
            <w:tcW w:w="5040" w:type="dxa"/>
            <w:shd w:val="clear" w:color="auto" w:fill="auto"/>
            <w:vAlign w:val="bottom"/>
          </w:tcPr>
          <w:p>
            <w:pPr>
              <w:widowControl w:val="0"/>
              <w:ind w:left="342" w:right="162" w:hanging="342"/>
              <w:jc w:val="both"/>
              <w:rPr>
                <w:rFonts w:ascii="Arial" w:hAnsi="Arial" w:cs="Arial"/>
                <w:sz w:val="22"/>
                <w:szCs w:val="22"/>
              </w:rPr>
            </w:pPr>
            <w:r>
              <w:rPr>
                <w:rFonts w:ascii="Arial" w:hAnsi="Arial" w:cs="Arial"/>
                <w:sz w:val="22"/>
                <w:szCs w:val="22"/>
              </w:rPr>
              <w:t xml:space="preserve">Monterrosa Development Corporation </w:t>
            </w:r>
          </w:p>
        </w:tc>
        <w:tc>
          <w:tcPr>
            <w:tcW w:w="1800" w:type="dxa"/>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12,406,245</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12,136,245</w:t>
            </w:r>
          </w:p>
        </w:tc>
      </w:tr>
      <w:tr>
        <w:tc>
          <w:tcPr>
            <w:tcW w:w="5040" w:type="dxa"/>
            <w:shd w:val="clear" w:color="auto" w:fill="auto"/>
            <w:vAlign w:val="bottom"/>
          </w:tcPr>
          <w:p>
            <w:pPr>
              <w:widowControl w:val="0"/>
              <w:ind w:left="342" w:right="162" w:hanging="342"/>
              <w:jc w:val="both"/>
              <w:rPr>
                <w:rFonts w:ascii="Arial" w:hAnsi="Arial" w:cs="Arial"/>
                <w:sz w:val="22"/>
                <w:szCs w:val="22"/>
              </w:rPr>
            </w:pPr>
            <w:r>
              <w:rPr>
                <w:rFonts w:ascii="Arial" w:hAnsi="Arial" w:cs="Arial"/>
                <w:sz w:val="22"/>
                <w:szCs w:val="22"/>
              </w:rPr>
              <w:t xml:space="preserve">Matrix Realty and Development Corporation </w:t>
            </w:r>
          </w:p>
        </w:tc>
        <w:tc>
          <w:tcPr>
            <w:tcW w:w="1800" w:type="dxa"/>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5,894,093</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5,894,093</w:t>
            </w:r>
          </w:p>
        </w:tc>
      </w:tr>
      <w:tr>
        <w:tc>
          <w:tcPr>
            <w:tcW w:w="5040" w:type="dxa"/>
            <w:shd w:val="clear" w:color="auto" w:fill="auto"/>
            <w:vAlign w:val="bottom"/>
          </w:tcPr>
          <w:p>
            <w:pPr>
              <w:widowControl w:val="0"/>
              <w:ind w:left="342" w:right="252" w:hanging="342"/>
              <w:jc w:val="both"/>
              <w:rPr>
                <w:rFonts w:ascii="Arial" w:hAnsi="Arial" w:cs="Arial"/>
                <w:sz w:val="22"/>
                <w:szCs w:val="22"/>
              </w:rPr>
            </w:pPr>
            <w:r>
              <w:rPr>
                <w:rFonts w:ascii="Arial" w:hAnsi="Arial" w:cs="Arial"/>
                <w:sz w:val="22"/>
                <w:szCs w:val="22"/>
              </w:rPr>
              <w:t xml:space="preserve">Veterans Electronics Communications, Inc. </w:t>
            </w:r>
          </w:p>
        </w:tc>
        <w:tc>
          <w:tcPr>
            <w:tcW w:w="1800" w:type="dxa"/>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1,768,761</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1,768,761</w:t>
            </w:r>
          </w:p>
        </w:tc>
      </w:tr>
      <w:tr>
        <w:trPr>
          <w:trHeight w:val="162"/>
        </w:trPr>
        <w:tc>
          <w:tcPr>
            <w:tcW w:w="5040" w:type="dxa"/>
            <w:shd w:val="clear" w:color="auto" w:fill="auto"/>
            <w:vAlign w:val="bottom"/>
          </w:tcPr>
          <w:p>
            <w:pPr>
              <w:widowControl w:val="0"/>
              <w:ind w:left="0" w:right="162" w:firstLine="0"/>
              <w:jc w:val="both"/>
              <w:rPr>
                <w:rFonts w:ascii="Arial" w:hAnsi="Arial" w:cs="Arial"/>
                <w:sz w:val="22"/>
                <w:szCs w:val="22"/>
              </w:rPr>
            </w:pPr>
            <w:r>
              <w:rPr>
                <w:rFonts w:ascii="Arial" w:hAnsi="Arial" w:cs="Arial"/>
                <w:sz w:val="22"/>
                <w:szCs w:val="22"/>
              </w:rPr>
              <w:t>Public Securities Corporation</w:t>
            </w:r>
          </w:p>
        </w:tc>
        <w:tc>
          <w:tcPr>
            <w:tcW w:w="1800" w:type="dxa"/>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1,420,991</w:t>
            </w:r>
          </w:p>
        </w:tc>
        <w:tc>
          <w:tcPr>
            <w:tcW w:w="1800" w:type="dxa"/>
            <w:vAlign w:val="bottom"/>
          </w:tcPr>
          <w:p>
            <w:pPr>
              <w:widowControl w:val="0"/>
              <w:ind w:left="0" w:firstLine="0"/>
              <w:jc w:val="right"/>
              <w:rPr>
                <w:rFonts w:ascii="Arial" w:hAnsi="Arial" w:cs="Arial"/>
                <w:bCs/>
                <w:sz w:val="22"/>
                <w:szCs w:val="22"/>
              </w:rPr>
            </w:pPr>
            <w:r>
              <w:rPr>
                <w:rFonts w:ascii="Arial" w:hAnsi="Arial" w:cs="Arial"/>
                <w:bCs/>
                <w:sz w:val="22"/>
                <w:szCs w:val="22"/>
              </w:rPr>
              <w:t>1,420,991</w:t>
            </w:r>
          </w:p>
        </w:tc>
      </w:tr>
      <w:tr>
        <w:tc>
          <w:tcPr>
            <w:tcW w:w="5040" w:type="dxa"/>
            <w:tcBorders>
              <w:bottom w:val="single" w:sz="4" w:space="0" w:color="auto"/>
            </w:tcBorders>
            <w:shd w:val="clear" w:color="auto" w:fill="auto"/>
            <w:vAlign w:val="bottom"/>
          </w:tcPr>
          <w:p>
            <w:pPr>
              <w:widowControl w:val="0"/>
              <w:ind w:left="342" w:right="162" w:hanging="342"/>
              <w:jc w:val="both"/>
              <w:rPr>
                <w:rFonts w:ascii="Arial" w:hAnsi="Arial" w:cs="Arial"/>
                <w:sz w:val="22"/>
                <w:szCs w:val="22"/>
              </w:rPr>
            </w:pPr>
            <w:r>
              <w:rPr>
                <w:rFonts w:ascii="Arial" w:hAnsi="Arial" w:cs="Arial"/>
                <w:sz w:val="22"/>
                <w:szCs w:val="22"/>
              </w:rPr>
              <w:t>Others</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659,520</w:t>
            </w:r>
          </w:p>
        </w:tc>
        <w:tc>
          <w:tcPr>
            <w:tcW w:w="1800" w:type="dxa"/>
            <w:tcBorders>
              <w:bottom w:val="single" w:sz="4"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659,520</w:t>
            </w:r>
          </w:p>
        </w:tc>
      </w:tr>
      <w:tr>
        <w:tc>
          <w:tcPr>
            <w:tcW w:w="5040" w:type="dxa"/>
            <w:tcBorders>
              <w:top w:val="single" w:sz="4" w:space="0" w:color="auto"/>
            </w:tcBorders>
            <w:shd w:val="clear" w:color="auto" w:fill="auto"/>
            <w:vAlign w:val="bottom"/>
          </w:tcPr>
          <w:p>
            <w:pPr>
              <w:widowControl w:val="0"/>
              <w:ind w:left="0" w:right="162" w:firstLine="0"/>
              <w:jc w:val="both"/>
              <w:rPr>
                <w:rFonts w:ascii="Arial" w:hAnsi="Arial" w:cs="Arial"/>
                <w:sz w:val="22"/>
                <w:szCs w:val="22"/>
              </w:rPr>
            </w:pPr>
          </w:p>
        </w:tc>
        <w:tc>
          <w:tcPr>
            <w:tcW w:w="1800" w:type="dxa"/>
            <w:tcBorders>
              <w:top w:val="single" w:sz="4"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35,341,415</w:t>
            </w:r>
          </w:p>
        </w:tc>
        <w:tc>
          <w:tcPr>
            <w:tcW w:w="1800" w:type="dxa"/>
            <w:tcBorders>
              <w:top w:val="single" w:sz="4"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35,071,415</w:t>
            </w:r>
          </w:p>
        </w:tc>
      </w:tr>
      <w:tr>
        <w:tc>
          <w:tcPr>
            <w:tcW w:w="5040" w:type="dxa"/>
            <w:tcBorders>
              <w:bottom w:val="single" w:sz="2" w:space="0" w:color="auto"/>
            </w:tcBorders>
            <w:shd w:val="clear" w:color="auto" w:fill="auto"/>
            <w:vAlign w:val="bottom"/>
          </w:tcPr>
          <w:p>
            <w:pPr>
              <w:widowControl w:val="0"/>
              <w:ind w:left="0" w:right="162" w:firstLine="0"/>
              <w:jc w:val="both"/>
              <w:rPr>
                <w:rFonts w:ascii="Arial" w:hAnsi="Arial" w:cs="Arial"/>
                <w:sz w:val="22"/>
                <w:szCs w:val="22"/>
              </w:rPr>
            </w:pPr>
            <w:r>
              <w:rPr>
                <w:rFonts w:ascii="Arial" w:hAnsi="Arial" w:cs="Arial"/>
                <w:sz w:val="22"/>
                <w:szCs w:val="22"/>
              </w:rPr>
              <w:t>Allowance for doubtful accounts</w:t>
            </w:r>
          </w:p>
        </w:tc>
        <w:tc>
          <w:tcPr>
            <w:tcW w:w="1800" w:type="dxa"/>
            <w:tcBorders>
              <w:bottom w:val="single" w:sz="2" w:space="0" w:color="auto"/>
            </w:tcBorders>
            <w:shd w:val="clear" w:color="auto" w:fill="auto"/>
            <w:tcMar>
              <w:left w:w="115" w:type="dxa"/>
              <w:right w:w="43" w:type="dxa"/>
            </w:tcMar>
            <w:vAlign w:val="bottom"/>
          </w:tcPr>
          <w:p>
            <w:pPr>
              <w:widowControl w:val="0"/>
              <w:ind w:left="0" w:right="47" w:firstLine="0"/>
              <w:jc w:val="right"/>
              <w:rPr>
                <w:rFonts w:ascii="Arial" w:hAnsi="Arial" w:cs="Arial"/>
                <w:b/>
                <w:bCs/>
                <w:sz w:val="22"/>
                <w:szCs w:val="22"/>
              </w:rPr>
            </w:pPr>
            <w:r>
              <w:rPr>
                <w:rFonts w:ascii="Arial" w:hAnsi="Arial" w:cs="Arial"/>
                <w:b/>
                <w:bCs/>
                <w:sz w:val="22"/>
                <w:szCs w:val="22"/>
              </w:rPr>
              <w:t>(17,837,110)</w:t>
            </w:r>
          </w:p>
        </w:tc>
        <w:tc>
          <w:tcPr>
            <w:tcW w:w="1800" w:type="dxa"/>
            <w:tcBorders>
              <w:bottom w:val="single" w:sz="2" w:space="0" w:color="auto"/>
            </w:tcBorders>
            <w:tcMar>
              <w:left w:w="115" w:type="dxa"/>
              <w:right w:w="43" w:type="dxa"/>
            </w:tcMar>
            <w:vAlign w:val="bottom"/>
          </w:tcPr>
          <w:p>
            <w:pPr>
              <w:widowControl w:val="0"/>
              <w:ind w:left="0" w:right="47" w:firstLine="0"/>
              <w:jc w:val="right"/>
              <w:rPr>
                <w:rFonts w:ascii="Arial" w:hAnsi="Arial" w:cs="Arial"/>
                <w:bCs/>
                <w:sz w:val="22"/>
                <w:szCs w:val="22"/>
              </w:rPr>
            </w:pPr>
            <w:r>
              <w:rPr>
                <w:rFonts w:ascii="Arial" w:hAnsi="Arial" w:cs="Arial"/>
                <w:bCs/>
                <w:sz w:val="22"/>
                <w:szCs w:val="22"/>
              </w:rPr>
              <w:t>(17,837,110)</w:t>
            </w:r>
          </w:p>
        </w:tc>
      </w:tr>
      <w:tr>
        <w:trPr>
          <w:trHeight w:val="346"/>
        </w:trPr>
        <w:tc>
          <w:tcPr>
            <w:tcW w:w="5040" w:type="dxa"/>
            <w:tcBorders>
              <w:bottom w:val="double" w:sz="4" w:space="0" w:color="auto"/>
            </w:tcBorders>
            <w:shd w:val="clear" w:color="auto" w:fill="auto"/>
            <w:vAlign w:val="center"/>
          </w:tcPr>
          <w:p>
            <w:pPr>
              <w:widowControl w:val="0"/>
              <w:ind w:left="0" w:right="-108" w:firstLine="0"/>
              <w:jc w:val="both"/>
              <w:rPr>
                <w:rFonts w:ascii="Arial" w:hAnsi="Arial" w:cs="Arial"/>
                <w:b/>
                <w:bCs/>
                <w:sz w:val="22"/>
                <w:szCs w:val="22"/>
              </w:rPr>
            </w:pPr>
          </w:p>
        </w:tc>
        <w:tc>
          <w:tcPr>
            <w:tcW w:w="1800" w:type="dxa"/>
            <w:tcBorders>
              <w:bottom w:val="double" w:sz="4"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17,504,305</w:t>
            </w:r>
          </w:p>
        </w:tc>
        <w:tc>
          <w:tcPr>
            <w:tcW w:w="1800" w:type="dxa"/>
            <w:tcBorders>
              <w:bottom w:val="double" w:sz="4"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17,234,305</w:t>
            </w:r>
          </w:p>
        </w:tc>
      </w:tr>
    </w:tbl>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A 100 per cent allowance was already provided for advances to subsidiaries which have closed and ceased operations, such as the VECI and the MRDC.  Allowances were also provided for advances that remained uncollected for more than a year.</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On the other hand, the audited financial Statements of BRDC as of December 31, 2013 reflected a liability to the System representing interest amounting to P10.211 million for the advances that it acquired from the System in previous years.  The amount is in addition to the amount reflected as advances in the System’s books.  The same were not reflected yet in the books of the System pending submission of the relevant supporting documents. </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INVESTMENTS IN SHARES OF STOCK – NET</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Investments in shares of stock which are booked under the equity method, consist of the following:</w:t>
      </w:r>
    </w:p>
    <w:p>
      <w:pPr>
        <w:widowControl w:val="0"/>
        <w:numPr>
          <w:ilvl w:val="12"/>
          <w:numId w:val="0"/>
        </w:numPr>
        <w:ind w:right="-360"/>
        <w:rPr>
          <w:rFonts w:ascii="Arial" w:hAnsi="Arial" w:cs="Arial"/>
          <w:sz w:val="19"/>
          <w:szCs w:val="19"/>
        </w:rPr>
      </w:pPr>
    </w:p>
    <w:tbl>
      <w:tblPr>
        <w:tblW w:w="8658" w:type="dxa"/>
        <w:jc w:val="center"/>
        <w:tblLayout w:type="fixed"/>
        <w:tblLook w:val="0000" w:firstRow="0" w:lastRow="0" w:firstColumn="0" w:lastColumn="0" w:noHBand="0" w:noVBand="0"/>
      </w:tblPr>
      <w:tblGrid>
        <w:gridCol w:w="4230"/>
        <w:gridCol w:w="108"/>
        <w:gridCol w:w="162"/>
        <w:gridCol w:w="990"/>
        <w:gridCol w:w="1584"/>
        <w:gridCol w:w="1584"/>
      </w:tblGrid>
      <w:tr>
        <w:trPr>
          <w:trHeight w:val="576"/>
          <w:tblHeader/>
          <w:jc w:val="center"/>
        </w:trPr>
        <w:tc>
          <w:tcPr>
            <w:tcW w:w="4230" w:type="dxa"/>
            <w:tcBorders>
              <w:top w:val="single" w:sz="4" w:space="0" w:color="auto"/>
              <w:bottom w:val="single" w:sz="4" w:space="0" w:color="auto"/>
            </w:tcBorders>
            <w:shd w:val="clear" w:color="auto" w:fill="auto"/>
            <w:vAlign w:val="bottom"/>
          </w:tcPr>
          <w:p>
            <w:pPr>
              <w:widowControl w:val="0"/>
              <w:ind w:left="0" w:right="-108" w:firstLine="0"/>
              <w:rPr>
                <w:rFonts w:ascii="Arial" w:hAnsi="Arial" w:cs="Arial"/>
                <w:b/>
                <w:bCs/>
                <w:sz w:val="18"/>
                <w:szCs w:val="18"/>
              </w:rPr>
            </w:pPr>
          </w:p>
        </w:tc>
        <w:tc>
          <w:tcPr>
            <w:tcW w:w="1260" w:type="dxa"/>
            <w:gridSpan w:val="3"/>
            <w:tcBorders>
              <w:top w:val="single" w:sz="4" w:space="0" w:color="auto"/>
              <w:bottom w:val="single" w:sz="4" w:space="0" w:color="auto"/>
            </w:tcBorders>
            <w:shd w:val="clear" w:color="auto" w:fill="auto"/>
            <w:vAlign w:val="bottom"/>
          </w:tcPr>
          <w:p>
            <w:pPr>
              <w:widowControl w:val="0"/>
              <w:tabs>
                <w:tab w:val="left" w:pos="1044"/>
              </w:tabs>
              <w:ind w:left="0" w:right="-18" w:firstLine="0"/>
              <w:jc w:val="center"/>
              <w:rPr>
                <w:rFonts w:ascii="Arial" w:hAnsi="Arial" w:cs="Arial"/>
                <w:b/>
                <w:sz w:val="18"/>
                <w:szCs w:val="18"/>
              </w:rPr>
            </w:pPr>
            <w:r>
              <w:rPr>
                <w:rFonts w:ascii="Arial" w:hAnsi="Arial" w:cs="Arial"/>
                <w:b/>
                <w:sz w:val="16"/>
                <w:szCs w:val="18"/>
              </w:rPr>
              <w:t>Percentage of Ownership</w:t>
            </w:r>
          </w:p>
        </w:tc>
        <w:tc>
          <w:tcPr>
            <w:tcW w:w="1584" w:type="dxa"/>
            <w:tcBorders>
              <w:top w:val="single" w:sz="4" w:space="0" w:color="auto"/>
              <w:bottom w:val="single" w:sz="4" w:space="0" w:color="auto"/>
            </w:tcBorders>
            <w:vAlign w:val="bottom"/>
          </w:tcPr>
          <w:p>
            <w:pPr>
              <w:pStyle w:val="NoSpacing"/>
              <w:jc w:val="center"/>
              <w:rPr>
                <w:rFonts w:ascii="Arial" w:hAnsi="Arial" w:cs="Arial"/>
                <w:b/>
                <w:sz w:val="16"/>
                <w:szCs w:val="16"/>
              </w:rPr>
            </w:pPr>
            <w:r>
              <w:rPr>
                <w:rFonts w:ascii="Arial" w:hAnsi="Arial" w:cs="Arial"/>
                <w:b/>
                <w:sz w:val="16"/>
                <w:szCs w:val="16"/>
              </w:rPr>
              <w:t>2017</w:t>
            </w:r>
          </w:p>
        </w:tc>
        <w:tc>
          <w:tcPr>
            <w:tcW w:w="1584" w:type="dxa"/>
            <w:tcBorders>
              <w:top w:val="single" w:sz="4" w:space="0" w:color="auto"/>
              <w:bottom w:val="single" w:sz="4" w:space="0" w:color="auto"/>
            </w:tcBorders>
            <w:vAlign w:val="bottom"/>
          </w:tcPr>
          <w:p>
            <w:pPr>
              <w:widowControl w:val="0"/>
              <w:ind w:left="0" w:firstLine="0"/>
              <w:jc w:val="center"/>
              <w:rPr>
                <w:rFonts w:ascii="Arial" w:hAnsi="Arial" w:cs="Arial"/>
                <w:sz w:val="16"/>
                <w:szCs w:val="16"/>
              </w:rPr>
            </w:pPr>
            <w:r>
              <w:rPr>
                <w:rFonts w:ascii="Arial" w:hAnsi="Arial" w:cs="Arial"/>
                <w:sz w:val="16"/>
                <w:szCs w:val="16"/>
              </w:rPr>
              <w:t>2016</w:t>
            </w:r>
          </w:p>
          <w:p>
            <w:pPr>
              <w:widowControl w:val="0"/>
              <w:ind w:left="0" w:firstLine="0"/>
              <w:jc w:val="center"/>
              <w:rPr>
                <w:rFonts w:ascii="Arial" w:hAnsi="Arial" w:cs="Arial"/>
                <w:sz w:val="16"/>
                <w:szCs w:val="16"/>
              </w:rPr>
            </w:pPr>
            <w:r>
              <w:rPr>
                <w:rFonts w:ascii="Arial" w:hAnsi="Arial" w:cs="Arial"/>
                <w:sz w:val="16"/>
                <w:szCs w:val="16"/>
              </w:rPr>
              <w:t>(As restated)</w:t>
            </w:r>
          </w:p>
        </w:tc>
      </w:tr>
      <w:tr>
        <w:trPr>
          <w:trHeight w:val="259"/>
          <w:jc w:val="center"/>
        </w:trPr>
        <w:tc>
          <w:tcPr>
            <w:tcW w:w="4230" w:type="dxa"/>
            <w:tcBorders>
              <w:top w:val="single" w:sz="4" w:space="0" w:color="auto"/>
            </w:tcBorders>
            <w:shd w:val="clear" w:color="auto" w:fill="auto"/>
            <w:vAlign w:val="bottom"/>
          </w:tcPr>
          <w:p>
            <w:pPr>
              <w:widowControl w:val="0"/>
              <w:ind w:left="0" w:right="-108" w:firstLine="0"/>
              <w:rPr>
                <w:rFonts w:ascii="Arial" w:hAnsi="Arial" w:cs="Arial"/>
                <w:b/>
                <w:bCs/>
                <w:sz w:val="18"/>
                <w:szCs w:val="18"/>
              </w:rPr>
            </w:pPr>
            <w:r>
              <w:rPr>
                <w:rFonts w:ascii="Arial" w:hAnsi="Arial" w:cs="Arial"/>
                <w:b/>
                <w:bCs/>
                <w:sz w:val="18"/>
                <w:szCs w:val="18"/>
              </w:rPr>
              <w:t>Acquisition cost</w:t>
            </w:r>
          </w:p>
        </w:tc>
        <w:tc>
          <w:tcPr>
            <w:tcW w:w="1260" w:type="dxa"/>
            <w:gridSpan w:val="3"/>
            <w:tcBorders>
              <w:top w:val="single" w:sz="4" w:space="0" w:color="auto"/>
            </w:tcBorders>
            <w:shd w:val="clear" w:color="auto" w:fill="auto"/>
            <w:vAlign w:val="bottom"/>
          </w:tcPr>
          <w:p>
            <w:pPr>
              <w:widowControl w:val="0"/>
              <w:ind w:left="0" w:right="-108" w:firstLine="0"/>
              <w:jc w:val="center"/>
              <w:rPr>
                <w:rFonts w:ascii="Arial" w:hAnsi="Arial" w:cs="Arial"/>
                <w:sz w:val="18"/>
                <w:szCs w:val="18"/>
              </w:rPr>
            </w:pPr>
          </w:p>
        </w:tc>
        <w:tc>
          <w:tcPr>
            <w:tcW w:w="1584" w:type="dxa"/>
            <w:tcBorders>
              <w:top w:val="single" w:sz="4" w:space="0" w:color="auto"/>
            </w:tcBorders>
          </w:tcPr>
          <w:p>
            <w:pPr>
              <w:widowControl w:val="0"/>
              <w:ind w:left="0" w:right="-108" w:firstLine="0"/>
              <w:jc w:val="right"/>
              <w:rPr>
                <w:rFonts w:ascii="Arial" w:hAnsi="Arial" w:cs="Arial"/>
                <w:b/>
                <w:sz w:val="18"/>
                <w:szCs w:val="18"/>
              </w:rPr>
            </w:pPr>
          </w:p>
        </w:tc>
        <w:tc>
          <w:tcPr>
            <w:tcW w:w="1584" w:type="dxa"/>
            <w:tcBorders>
              <w:top w:val="single" w:sz="4" w:space="0" w:color="auto"/>
            </w:tcBorders>
          </w:tcPr>
          <w:p>
            <w:pPr>
              <w:widowControl w:val="0"/>
              <w:ind w:left="0" w:right="-108" w:firstLine="0"/>
              <w:jc w:val="right"/>
              <w:rPr>
                <w:rFonts w:ascii="Arial" w:hAnsi="Arial" w:cs="Arial"/>
                <w:sz w:val="18"/>
                <w:szCs w:val="18"/>
              </w:rPr>
            </w:pP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Monterrosa Development Corporation (MDC)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873,927,445</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873,927,445</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Marilaque Land, Inc. (MLI)</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40.00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609,000,000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609,000,000</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Bay Resources Development Corporation (BRDC)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50.00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402,000,000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402,000,000</w:t>
            </w:r>
          </w:p>
        </w:tc>
      </w:tr>
      <w:tr>
        <w:trPr>
          <w:trHeight w:val="80"/>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Philippine Airlines (PAL)</w:t>
            </w:r>
          </w:p>
        </w:tc>
        <w:tc>
          <w:tcPr>
            <w:tcW w:w="1260" w:type="dxa"/>
            <w:gridSpan w:val="3"/>
            <w:shd w:val="clear" w:color="auto" w:fill="auto"/>
          </w:tcPr>
          <w:p>
            <w:pPr>
              <w:pStyle w:val="BodyTextIndent3"/>
              <w:widowControl w:val="0"/>
              <w:numPr>
                <w:ilvl w:val="12"/>
                <w:numId w:val="0"/>
              </w:numPr>
              <w:tabs>
                <w:tab w:val="clear" w:pos="360"/>
                <w:tab w:val="clear" w:pos="864"/>
              </w:tabs>
              <w:ind w:right="-36"/>
              <w:jc w:val="right"/>
              <w:rPr>
                <w:rFonts w:ascii="Arial" w:hAnsi="Arial" w:cs="Arial"/>
                <w:sz w:val="18"/>
                <w:szCs w:val="18"/>
              </w:rPr>
            </w:pPr>
            <w:r>
              <w:rPr>
                <w:rFonts w:ascii="Arial" w:hAnsi="Arial" w:cs="Arial"/>
                <w:sz w:val="18"/>
                <w:szCs w:val="18"/>
              </w:rPr>
              <w:t>00.31</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500,000,000</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500,000,000</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 xml:space="preserve">Amtrust Holdings, Inc. </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10.92</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127,000,000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127,000,000</w:t>
            </w: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Resources Investment House</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102,123,549</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102,123,549</w:t>
            </w:r>
          </w:p>
        </w:tc>
      </w:tr>
      <w:tr>
        <w:trPr>
          <w:trHeight w:val="80"/>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Advent Capital and Finance Corporation</w:t>
            </w:r>
          </w:p>
        </w:tc>
        <w:tc>
          <w:tcPr>
            <w:tcW w:w="1260" w:type="dxa"/>
            <w:gridSpan w:val="3"/>
            <w:shd w:val="clear" w:color="auto" w:fill="auto"/>
          </w:tcPr>
          <w:p>
            <w:pPr>
              <w:pStyle w:val="BodyTextIndent3"/>
              <w:widowControl w:val="0"/>
              <w:numPr>
                <w:ilvl w:val="12"/>
                <w:numId w:val="0"/>
              </w:numPr>
              <w:tabs>
                <w:tab w:val="clear" w:pos="360"/>
                <w:tab w:val="clear" w:pos="864"/>
              </w:tabs>
              <w:ind w:right="-36"/>
              <w:jc w:val="right"/>
              <w:rPr>
                <w:rFonts w:ascii="Arial" w:hAnsi="Arial" w:cs="Arial"/>
                <w:sz w:val="18"/>
                <w:szCs w:val="18"/>
              </w:rPr>
            </w:pPr>
            <w:r>
              <w:rPr>
                <w:rFonts w:ascii="Arial" w:hAnsi="Arial" w:cs="Arial"/>
                <w:sz w:val="18"/>
                <w:szCs w:val="18"/>
              </w:rPr>
              <w:t>14.02</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71,183,811</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71,183,811</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RSBS Land, Inc. (RLI)</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994,170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994,170</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Aguinaldo Theater Enterprises, Inc.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50.00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120,000,000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120,000,000</w:t>
            </w: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Veterans Electronics Communications, Inc.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90.65</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126,738,598</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126,738,598</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Matrix Realty Development Corporation</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35,931,250</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35,931,250</w:t>
            </w: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Goodfit Manufacturing Corporation (GMC)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79.99</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25,556,920</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25,556,920</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Fashion Link Corporation (FLC)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20,100,000</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20,100,000</w:t>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First Dominion Prime Holdings, Inc.</w:t>
            </w:r>
          </w:p>
        </w:tc>
        <w:tc>
          <w:tcPr>
            <w:tcW w:w="1260" w:type="dxa"/>
            <w:gridSpan w:val="3"/>
            <w:shd w:val="clear" w:color="auto" w:fill="auto"/>
          </w:tcPr>
          <w:p>
            <w:pPr>
              <w:pStyle w:val="BodyTextIndent3"/>
              <w:widowControl w:val="0"/>
              <w:numPr>
                <w:ilvl w:val="12"/>
                <w:numId w:val="0"/>
              </w:numPr>
              <w:tabs>
                <w:tab w:val="clear" w:pos="360"/>
                <w:tab w:val="clear" w:pos="864"/>
              </w:tabs>
              <w:ind w:right="-36"/>
              <w:jc w:val="right"/>
              <w:rPr>
                <w:rFonts w:ascii="Arial" w:hAnsi="Arial" w:cs="Arial"/>
                <w:sz w:val="18"/>
                <w:szCs w:val="18"/>
              </w:rPr>
            </w:pPr>
            <w:r>
              <w:rPr>
                <w:rFonts w:ascii="Arial" w:hAnsi="Arial" w:cs="Arial"/>
                <w:sz w:val="18"/>
                <w:szCs w:val="18"/>
              </w:rPr>
              <w:t>00.93</w:t>
            </w:r>
          </w:p>
        </w:tc>
        <w:tc>
          <w:tcPr>
            <w:tcW w:w="1584" w:type="dxa"/>
          </w:tcPr>
          <w:p>
            <w:pPr>
              <w:widowControl w:val="0"/>
              <w:ind w:left="0" w:right="-18" w:firstLine="0"/>
              <w:jc w:val="right"/>
              <w:rPr>
                <w:rFonts w:ascii="Arial" w:hAnsi="Arial" w:cs="Arial"/>
                <w:b/>
                <w:sz w:val="18"/>
                <w:szCs w:val="18"/>
              </w:rPr>
            </w:pPr>
            <w:r>
              <w:rPr>
                <w:rFonts w:ascii="Arial" w:hAnsi="Arial" w:cs="Arial"/>
                <w:b/>
                <w:sz w:val="18"/>
                <w:szCs w:val="18"/>
              </w:rPr>
              <w:t>15,418,269</w:t>
            </w:r>
          </w:p>
        </w:tc>
        <w:tc>
          <w:tcPr>
            <w:tcW w:w="1584" w:type="dxa"/>
          </w:tcPr>
          <w:p>
            <w:pPr>
              <w:widowControl w:val="0"/>
              <w:ind w:left="0" w:right="-18" w:firstLine="0"/>
              <w:jc w:val="right"/>
              <w:rPr>
                <w:rFonts w:ascii="Arial" w:hAnsi="Arial" w:cs="Arial"/>
                <w:sz w:val="18"/>
                <w:szCs w:val="18"/>
              </w:rPr>
            </w:pPr>
            <w:r>
              <w:rPr>
                <w:rFonts w:ascii="Arial" w:hAnsi="Arial" w:cs="Arial"/>
                <w:sz w:val="18"/>
                <w:szCs w:val="18"/>
              </w:rPr>
              <w:t>15,418,269</w:t>
            </w:r>
          </w:p>
        </w:tc>
      </w:tr>
      <w:tr>
        <w:trPr>
          <w:trHeight w:val="80"/>
          <w:jc w:val="center"/>
        </w:trPr>
        <w:tc>
          <w:tcPr>
            <w:tcW w:w="4338" w:type="dxa"/>
            <w:gridSpan w:val="2"/>
            <w:shd w:val="clear" w:color="auto" w:fill="auto"/>
            <w:vAlign w:val="bottom"/>
          </w:tcPr>
          <w:p>
            <w:pPr>
              <w:widowControl w:val="0"/>
              <w:ind w:left="0" w:right="-108" w:firstLine="0"/>
              <w:rPr>
                <w:rFonts w:ascii="Arial" w:hAnsi="Arial" w:cs="Arial"/>
                <w:sz w:val="18"/>
                <w:szCs w:val="18"/>
                <w:lang w:val="fr-FR"/>
              </w:rPr>
            </w:pPr>
            <w:r>
              <w:rPr>
                <w:rFonts w:ascii="Arial" w:hAnsi="Arial" w:cs="Arial"/>
                <w:sz w:val="18"/>
                <w:szCs w:val="18"/>
                <w:lang w:val="fr-FR"/>
              </w:rPr>
              <w:t>Globan Fruits and Development Corporation (GFDC)</w:t>
            </w:r>
          </w:p>
        </w:tc>
        <w:tc>
          <w:tcPr>
            <w:tcW w:w="1152" w:type="dxa"/>
            <w:gridSpan w:val="2"/>
            <w:shd w:val="clear" w:color="auto" w:fill="auto"/>
            <w:vAlign w:val="bottom"/>
          </w:tcPr>
          <w:p>
            <w:pPr>
              <w:widowControl w:val="0"/>
              <w:ind w:left="0" w:right="-36" w:firstLine="0"/>
              <w:jc w:val="right"/>
              <w:rPr>
                <w:rFonts w:ascii="Arial" w:hAnsi="Arial" w:cs="Arial"/>
                <w:sz w:val="18"/>
                <w:szCs w:val="18"/>
                <w:lang w:val="fr-FR"/>
              </w:rPr>
            </w:pPr>
            <w:r>
              <w:rPr>
                <w:rFonts w:ascii="Arial" w:hAnsi="Arial" w:cs="Arial"/>
                <w:sz w:val="18"/>
                <w:szCs w:val="18"/>
                <w:lang w:val="fr-FR"/>
              </w:rPr>
              <w:t>100.00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10,000,000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10,000,000</w:t>
            </w:r>
          </w:p>
        </w:tc>
      </w:tr>
      <w:tr>
        <w:trPr>
          <w:trHeight w:val="216"/>
          <w:jc w:val="center"/>
        </w:trPr>
        <w:tc>
          <w:tcPr>
            <w:tcW w:w="4500" w:type="dxa"/>
            <w:gridSpan w:val="3"/>
            <w:shd w:val="clear" w:color="auto" w:fill="auto"/>
            <w:vAlign w:val="bottom"/>
          </w:tcPr>
          <w:p>
            <w:pPr>
              <w:widowControl w:val="0"/>
              <w:ind w:left="0" w:right="-108" w:firstLine="0"/>
              <w:rPr>
                <w:rFonts w:ascii="Arial" w:hAnsi="Arial" w:cs="Arial"/>
                <w:sz w:val="18"/>
                <w:szCs w:val="18"/>
                <w:lang w:val="fr-FR"/>
              </w:rPr>
            </w:pPr>
            <w:r>
              <w:rPr>
                <w:rFonts w:ascii="Arial" w:hAnsi="Arial" w:cs="Arial"/>
                <w:sz w:val="18"/>
                <w:szCs w:val="18"/>
                <w:lang w:val="fr-FR"/>
              </w:rPr>
              <w:lastRenderedPageBreak/>
              <w:t>Southern Utility Management and Services, Inc.</w:t>
            </w:r>
          </w:p>
        </w:tc>
        <w:tc>
          <w:tcPr>
            <w:tcW w:w="990" w:type="dxa"/>
            <w:shd w:val="clear" w:color="auto" w:fill="auto"/>
            <w:vAlign w:val="bottom"/>
          </w:tcPr>
          <w:p>
            <w:pPr>
              <w:widowControl w:val="0"/>
              <w:ind w:left="0" w:right="-36" w:firstLine="0"/>
              <w:jc w:val="right"/>
              <w:rPr>
                <w:rFonts w:ascii="Arial" w:hAnsi="Arial" w:cs="Arial"/>
                <w:sz w:val="18"/>
                <w:szCs w:val="18"/>
                <w:lang w:val="fr-FR"/>
              </w:rPr>
            </w:pPr>
            <w:r>
              <w:rPr>
                <w:rFonts w:ascii="Arial" w:hAnsi="Arial" w:cs="Arial"/>
                <w:sz w:val="18"/>
                <w:szCs w:val="18"/>
                <w:lang w:val="fr-FR"/>
              </w:rPr>
              <w:t>100.00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10,000,000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10,000,000</w:t>
            </w:r>
          </w:p>
        </w:tc>
      </w:tr>
      <w:tr>
        <w:trPr>
          <w:trHeight w:val="80"/>
          <w:jc w:val="center"/>
        </w:trPr>
        <w:tc>
          <w:tcPr>
            <w:tcW w:w="4230" w:type="dxa"/>
            <w:shd w:val="clear" w:color="auto" w:fill="auto"/>
            <w:vAlign w:val="bottom"/>
          </w:tcPr>
          <w:p>
            <w:pPr>
              <w:widowControl w:val="0"/>
              <w:ind w:left="0" w:right="-108" w:firstLine="0"/>
              <w:rPr>
                <w:rFonts w:ascii="Arial" w:hAnsi="Arial" w:cs="Arial"/>
                <w:sz w:val="18"/>
                <w:szCs w:val="18"/>
                <w:lang w:val="fr-FR"/>
              </w:rPr>
            </w:pPr>
            <w:r>
              <w:rPr>
                <w:rFonts w:ascii="Arial" w:hAnsi="Arial" w:cs="Arial"/>
                <w:sz w:val="18"/>
                <w:szCs w:val="18"/>
                <w:lang w:val="fr-FR"/>
              </w:rPr>
              <w:t>CEMX, Inc.</w:t>
            </w:r>
          </w:p>
        </w:tc>
        <w:tc>
          <w:tcPr>
            <w:tcW w:w="1260" w:type="dxa"/>
            <w:gridSpan w:val="3"/>
            <w:shd w:val="clear" w:color="auto" w:fill="auto"/>
            <w:vAlign w:val="bottom"/>
          </w:tcPr>
          <w:p>
            <w:pPr>
              <w:widowControl w:val="0"/>
              <w:ind w:left="0" w:right="-36" w:firstLine="0"/>
              <w:jc w:val="right"/>
              <w:rPr>
                <w:rFonts w:ascii="Arial" w:hAnsi="Arial" w:cs="Arial"/>
                <w:sz w:val="18"/>
                <w:szCs w:val="18"/>
                <w:lang w:val="fr-FR"/>
              </w:rPr>
            </w:pPr>
            <w:r>
              <w:rPr>
                <w:rFonts w:ascii="Arial" w:hAnsi="Arial" w:cs="Arial"/>
                <w:sz w:val="18"/>
                <w:szCs w:val="18"/>
                <w:lang w:val="fr-FR"/>
              </w:rPr>
              <w:t>24.00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6,000,000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6,000,000</w:t>
            </w: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General Satellite Communications, Inc. (GSC)</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62.00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2,906,238</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2,906,238</w:t>
            </w:r>
          </w:p>
        </w:tc>
      </w:tr>
      <w:tr>
        <w:trPr>
          <w:trHeight w:val="216"/>
          <w:jc w:val="center"/>
        </w:trPr>
        <w:tc>
          <w:tcPr>
            <w:tcW w:w="4230" w:type="dxa"/>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RSBS Enterprises, Inc. (REI)</w:t>
            </w:r>
          </w:p>
        </w:tc>
        <w:tc>
          <w:tcPr>
            <w:tcW w:w="1260" w:type="dxa"/>
            <w:gridSpan w:val="3"/>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100.00</w:t>
            </w:r>
          </w:p>
        </w:tc>
        <w:tc>
          <w:tcPr>
            <w:tcW w:w="1584" w:type="dxa"/>
            <w:vAlign w:val="bottom"/>
          </w:tcPr>
          <w:p>
            <w:pPr>
              <w:widowControl w:val="0"/>
              <w:ind w:left="0" w:right="-18" w:firstLine="0"/>
              <w:jc w:val="right"/>
              <w:rPr>
                <w:rFonts w:ascii="Arial" w:hAnsi="Arial" w:cs="Arial"/>
                <w:b/>
                <w:sz w:val="18"/>
                <w:szCs w:val="18"/>
              </w:rPr>
            </w:pPr>
            <w:r>
              <w:rPr>
                <w:rFonts w:ascii="Arial" w:hAnsi="Arial" w:cs="Arial"/>
                <w:b/>
                <w:sz w:val="18"/>
                <w:szCs w:val="18"/>
              </w:rPr>
              <w:t>2,500,000</w:t>
            </w:r>
          </w:p>
        </w:tc>
        <w:tc>
          <w:tcPr>
            <w:tcW w:w="1584" w:type="dxa"/>
            <w:vAlign w:val="bottom"/>
          </w:tcPr>
          <w:p>
            <w:pPr>
              <w:widowControl w:val="0"/>
              <w:ind w:left="0" w:right="-18" w:firstLine="0"/>
              <w:jc w:val="right"/>
              <w:rPr>
                <w:rFonts w:ascii="Arial" w:hAnsi="Arial" w:cs="Arial"/>
                <w:sz w:val="18"/>
                <w:szCs w:val="18"/>
              </w:rPr>
            </w:pPr>
            <w:r>
              <w:rPr>
                <w:rFonts w:ascii="Arial" w:hAnsi="Arial" w:cs="Arial"/>
                <w:sz w:val="18"/>
                <w:szCs w:val="18"/>
              </w:rPr>
              <w:t>2,500,000</w:t>
            </w:r>
          </w:p>
        </w:tc>
      </w:tr>
      <w:tr>
        <w:trPr>
          <w:trHeight w:val="216"/>
          <w:jc w:val="center"/>
        </w:trPr>
        <w:tc>
          <w:tcPr>
            <w:tcW w:w="4230" w:type="dxa"/>
            <w:tcBorders>
              <w:bottom w:val="single" w:sz="4" w:space="0" w:color="auto"/>
            </w:tcBorders>
            <w:shd w:val="clear" w:color="auto" w:fill="auto"/>
            <w:vAlign w:val="bottom"/>
          </w:tcPr>
          <w:p>
            <w:pPr>
              <w:widowControl w:val="0"/>
              <w:ind w:left="0" w:right="-108" w:firstLine="0"/>
              <w:rPr>
                <w:rFonts w:ascii="Arial" w:hAnsi="Arial" w:cs="Arial"/>
                <w:sz w:val="18"/>
                <w:szCs w:val="18"/>
              </w:rPr>
            </w:pPr>
            <w:r>
              <w:rPr>
                <w:rFonts w:ascii="Arial" w:hAnsi="Arial" w:cs="Arial"/>
                <w:sz w:val="18"/>
                <w:szCs w:val="18"/>
              </w:rPr>
              <w:t>Cyquest, Inc.</w:t>
            </w:r>
          </w:p>
        </w:tc>
        <w:tc>
          <w:tcPr>
            <w:tcW w:w="1260" w:type="dxa"/>
            <w:gridSpan w:val="3"/>
            <w:tcBorders>
              <w:bottom w:val="single" w:sz="4" w:space="0" w:color="auto"/>
            </w:tcBorders>
            <w:shd w:val="clear" w:color="auto" w:fill="auto"/>
            <w:vAlign w:val="bottom"/>
          </w:tcPr>
          <w:p>
            <w:pPr>
              <w:widowControl w:val="0"/>
              <w:ind w:left="0" w:right="-36" w:firstLine="0"/>
              <w:jc w:val="right"/>
              <w:rPr>
                <w:rFonts w:ascii="Arial" w:hAnsi="Arial" w:cs="Arial"/>
                <w:sz w:val="18"/>
                <w:szCs w:val="18"/>
              </w:rPr>
            </w:pPr>
            <w:r>
              <w:rPr>
                <w:rFonts w:ascii="Arial" w:hAnsi="Arial" w:cs="Arial"/>
                <w:sz w:val="18"/>
                <w:szCs w:val="18"/>
              </w:rPr>
              <w:t>40.00</w:t>
            </w:r>
          </w:p>
        </w:tc>
        <w:tc>
          <w:tcPr>
            <w:tcW w:w="1584" w:type="dxa"/>
            <w:tcBorders>
              <w:bottom w:val="single" w:sz="4" w:space="0" w:color="auto"/>
            </w:tcBorders>
            <w:vAlign w:val="bottom"/>
          </w:tcPr>
          <w:p>
            <w:pPr>
              <w:widowControl w:val="0"/>
              <w:ind w:left="0" w:right="-18" w:firstLine="0"/>
              <w:jc w:val="right"/>
              <w:rPr>
                <w:rFonts w:ascii="Arial" w:hAnsi="Arial" w:cs="Arial"/>
                <w:b/>
                <w:sz w:val="18"/>
                <w:szCs w:val="18"/>
              </w:rPr>
            </w:pPr>
            <w:r>
              <w:rPr>
                <w:rFonts w:ascii="Arial" w:hAnsi="Arial" w:cs="Arial"/>
                <w:b/>
                <w:sz w:val="18"/>
                <w:szCs w:val="18"/>
              </w:rPr>
              <w:t>2,000,000</w:t>
            </w:r>
          </w:p>
        </w:tc>
        <w:tc>
          <w:tcPr>
            <w:tcW w:w="1584" w:type="dxa"/>
            <w:tcBorders>
              <w:bottom w:val="single" w:sz="4" w:space="0" w:color="auto"/>
            </w:tcBorders>
            <w:vAlign w:val="bottom"/>
          </w:tcPr>
          <w:p>
            <w:pPr>
              <w:widowControl w:val="0"/>
              <w:ind w:left="0" w:right="-18" w:firstLine="0"/>
              <w:jc w:val="right"/>
              <w:rPr>
                <w:rFonts w:ascii="Arial" w:hAnsi="Arial" w:cs="Arial"/>
                <w:sz w:val="18"/>
                <w:szCs w:val="18"/>
              </w:rPr>
            </w:pPr>
            <w:r>
              <w:rPr>
                <w:rFonts w:ascii="Arial" w:hAnsi="Arial" w:cs="Arial"/>
                <w:sz w:val="18"/>
                <w:szCs w:val="18"/>
              </w:rPr>
              <w:t>2,000,000</w:t>
            </w:r>
          </w:p>
        </w:tc>
      </w:tr>
      <w:tr>
        <w:trPr>
          <w:trHeight w:val="288"/>
          <w:jc w:val="center"/>
        </w:trPr>
        <w:tc>
          <w:tcPr>
            <w:tcW w:w="4230" w:type="dxa"/>
            <w:tcBorders>
              <w:top w:val="single" w:sz="4" w:space="0" w:color="auto"/>
              <w:bottom w:val="single" w:sz="4" w:space="0" w:color="auto"/>
            </w:tcBorders>
            <w:shd w:val="clear" w:color="auto" w:fill="auto"/>
            <w:vAlign w:val="bottom"/>
          </w:tcPr>
          <w:p>
            <w:pPr>
              <w:widowControl w:val="0"/>
              <w:ind w:left="0" w:right="-108" w:firstLine="0"/>
              <w:rPr>
                <w:rFonts w:ascii="Arial" w:hAnsi="Arial" w:cs="Arial"/>
                <w:sz w:val="18"/>
                <w:szCs w:val="18"/>
              </w:rPr>
            </w:pPr>
          </w:p>
        </w:tc>
        <w:tc>
          <w:tcPr>
            <w:tcW w:w="1260" w:type="dxa"/>
            <w:gridSpan w:val="3"/>
            <w:tcBorders>
              <w:top w:val="single" w:sz="4" w:space="0" w:color="auto"/>
              <w:bottom w:val="single" w:sz="4" w:space="0" w:color="auto"/>
            </w:tcBorders>
            <w:shd w:val="clear" w:color="auto" w:fill="auto"/>
            <w:vAlign w:val="bottom"/>
          </w:tcPr>
          <w:p>
            <w:pPr>
              <w:widowControl w:val="0"/>
              <w:ind w:left="0" w:right="-108" w:firstLine="0"/>
              <w:jc w:val="center"/>
              <w:rPr>
                <w:rFonts w:ascii="Arial" w:hAnsi="Arial" w:cs="Arial"/>
                <w:sz w:val="18"/>
                <w:szCs w:val="18"/>
              </w:rPr>
            </w:pPr>
          </w:p>
        </w:tc>
        <w:tc>
          <w:tcPr>
            <w:tcW w:w="1584" w:type="dxa"/>
            <w:tcBorders>
              <w:top w:val="single" w:sz="4" w:space="0" w:color="auto"/>
              <w:bottom w:val="single" w:sz="4" w:space="0" w:color="auto"/>
            </w:tcBorders>
            <w:vAlign w:val="bottom"/>
          </w:tcPr>
          <w:p>
            <w:pPr>
              <w:widowControl w:val="0"/>
              <w:ind w:left="0" w:right="-18" w:firstLine="0"/>
              <w:jc w:val="right"/>
              <w:rPr>
                <w:rFonts w:ascii="Arial" w:hAnsi="Arial" w:cs="Arial"/>
                <w:b/>
                <w:sz w:val="18"/>
                <w:szCs w:val="18"/>
              </w:rPr>
            </w:pPr>
            <w:r>
              <w:rPr>
                <w:rFonts w:ascii="Arial" w:hAnsi="Arial" w:cs="Arial"/>
                <w:b/>
                <w:sz w:val="18"/>
                <w:szCs w:val="18"/>
              </w:rPr>
              <w:t>3,063,380,250</w:t>
            </w:r>
          </w:p>
        </w:tc>
        <w:tc>
          <w:tcPr>
            <w:tcW w:w="1584" w:type="dxa"/>
            <w:tcBorders>
              <w:top w:val="single" w:sz="4" w:space="0" w:color="auto"/>
              <w:bottom w:val="single" w:sz="4" w:space="0" w:color="auto"/>
            </w:tcBorders>
            <w:vAlign w:val="bottom"/>
          </w:tcPr>
          <w:p>
            <w:pPr>
              <w:widowControl w:val="0"/>
              <w:ind w:left="0" w:right="-18" w:firstLine="0"/>
              <w:jc w:val="right"/>
              <w:rPr>
                <w:rFonts w:ascii="Arial" w:hAnsi="Arial" w:cs="Arial"/>
                <w:sz w:val="18"/>
                <w:szCs w:val="18"/>
              </w:rPr>
            </w:pPr>
            <w:r>
              <w:rPr>
                <w:rFonts w:ascii="Arial" w:hAnsi="Arial" w:cs="Arial"/>
                <w:sz w:val="18"/>
                <w:szCs w:val="18"/>
              </w:rPr>
              <w:t>3,063,380,250</w:t>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b/>
                <w:sz w:val="18"/>
                <w:szCs w:val="18"/>
              </w:rPr>
            </w:pPr>
            <w:r>
              <w:rPr>
                <w:rFonts w:ascii="Arial" w:hAnsi="Arial" w:cs="Arial"/>
                <w:b/>
                <w:sz w:val="18"/>
                <w:szCs w:val="18"/>
              </w:rPr>
              <w:t>Net adjustments</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tcPr>
          <w:p>
            <w:pPr>
              <w:pStyle w:val="BodyTextIndent3"/>
              <w:widowControl w:val="0"/>
              <w:numPr>
                <w:ilvl w:val="12"/>
                <w:numId w:val="0"/>
              </w:numPr>
              <w:tabs>
                <w:tab w:val="clear" w:pos="360"/>
                <w:tab w:val="clear" w:pos="864"/>
              </w:tabs>
              <w:jc w:val="right"/>
              <w:rPr>
                <w:rFonts w:ascii="Arial" w:hAnsi="Arial" w:cs="Arial"/>
                <w:b/>
                <w:sz w:val="18"/>
                <w:szCs w:val="18"/>
              </w:rPr>
            </w:pPr>
          </w:p>
        </w:tc>
        <w:tc>
          <w:tcPr>
            <w:tcW w:w="1584" w:type="dxa"/>
          </w:tcPr>
          <w:p>
            <w:pPr>
              <w:pStyle w:val="BodyTextIndent3"/>
              <w:widowControl w:val="0"/>
              <w:numPr>
                <w:ilvl w:val="12"/>
                <w:numId w:val="0"/>
              </w:numPr>
              <w:tabs>
                <w:tab w:val="clear" w:pos="360"/>
                <w:tab w:val="clear" w:pos="864"/>
              </w:tabs>
              <w:jc w:val="right"/>
              <w:rPr>
                <w:rFonts w:ascii="Arial" w:hAnsi="Arial" w:cs="Arial"/>
                <w:sz w:val="18"/>
                <w:szCs w:val="18"/>
              </w:rPr>
            </w:pP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Accumulated equity in net losses, beginning</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=d6 </w:instrText>
            </w:r>
            <w:r>
              <w:rPr>
                <w:rFonts w:ascii="Arial" w:hAnsi="Arial" w:cs="Arial"/>
                <w:b/>
                <w:sz w:val="18"/>
                <w:szCs w:val="18"/>
              </w:rPr>
              <w:fldChar w:fldCharType="separate"/>
            </w:r>
            <w:r>
              <w:rPr>
                <w:rFonts w:ascii="Arial" w:hAnsi="Arial" w:cs="Arial"/>
                <w:b/>
                <w:noProof/>
                <w:sz w:val="18"/>
                <w:szCs w:val="18"/>
              </w:rPr>
              <w:t>(528,555,100)</w:t>
            </w:r>
            <w:r>
              <w:rPr>
                <w:rFonts w:ascii="Arial" w:hAnsi="Arial" w:cs="Arial"/>
                <w:b/>
                <w:sz w:val="18"/>
                <w:szCs w:val="18"/>
              </w:rPr>
              <w:fldChar w:fldCharType="end"/>
            </w: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=d6 </w:instrText>
            </w:r>
            <w:r>
              <w:rPr>
                <w:rFonts w:ascii="Arial" w:hAnsi="Arial" w:cs="Arial"/>
                <w:sz w:val="18"/>
                <w:szCs w:val="18"/>
              </w:rPr>
              <w:fldChar w:fldCharType="separate"/>
            </w:r>
            <w:r>
              <w:rPr>
                <w:rFonts w:ascii="Arial" w:hAnsi="Arial" w:cs="Arial"/>
                <w:noProof/>
                <w:sz w:val="18"/>
                <w:szCs w:val="18"/>
              </w:rPr>
              <w:t>(530,303,822)</w:t>
            </w:r>
            <w:r>
              <w:rPr>
                <w:rFonts w:ascii="Arial" w:hAnsi="Arial" w:cs="Arial"/>
                <w:sz w:val="18"/>
                <w:szCs w:val="18"/>
              </w:rPr>
              <w:fldChar w:fldCharType="end"/>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Adjustment of prior year share in Net Earnings</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w:t>
            </w: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(503,397)</w:t>
            </w:r>
          </w:p>
        </w:tc>
      </w:tr>
      <w:tr>
        <w:trPr>
          <w:trHeight w:val="279"/>
          <w:jc w:val="center"/>
        </w:trPr>
        <w:tc>
          <w:tcPr>
            <w:tcW w:w="4230" w:type="dxa"/>
            <w:tcBorders>
              <w:bottom w:val="single" w:sz="4" w:space="0" w:color="auto"/>
            </w:tcBorders>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Equity in net earnings (losses) for the year</w:t>
            </w:r>
          </w:p>
        </w:tc>
        <w:tc>
          <w:tcPr>
            <w:tcW w:w="1260" w:type="dxa"/>
            <w:gridSpan w:val="3"/>
            <w:tcBorders>
              <w:bottom w:val="single" w:sz="4" w:space="0" w:color="auto"/>
            </w:tcBorders>
            <w:shd w:val="clear" w:color="auto" w:fill="auto"/>
          </w:tcPr>
          <w:p>
            <w:pPr>
              <w:pStyle w:val="BodyTextIndent3"/>
              <w:widowControl w:val="0"/>
              <w:numPr>
                <w:ilvl w:val="12"/>
                <w:numId w:val="0"/>
              </w:numPr>
              <w:tabs>
                <w:tab w:val="clear" w:pos="360"/>
                <w:tab w:val="clear" w:pos="864"/>
              </w:tabs>
              <w:jc w:val="center"/>
              <w:rPr>
                <w:rFonts w:ascii="Arial" w:hAnsi="Arial" w:cs="Arial"/>
                <w:sz w:val="18"/>
                <w:szCs w:val="18"/>
              </w:rPr>
            </w:pPr>
          </w:p>
        </w:tc>
        <w:tc>
          <w:tcPr>
            <w:tcW w:w="1584" w:type="dxa"/>
            <w:tcBorders>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4,909,295</w:t>
            </w:r>
          </w:p>
        </w:tc>
        <w:tc>
          <w:tcPr>
            <w:tcW w:w="1584" w:type="dxa"/>
            <w:tcBorders>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2,252,119</w:t>
            </w:r>
          </w:p>
        </w:tc>
      </w:tr>
      <w:tr>
        <w:trPr>
          <w:trHeight w:val="216"/>
          <w:jc w:val="center"/>
        </w:trPr>
        <w:tc>
          <w:tcPr>
            <w:tcW w:w="4230" w:type="dxa"/>
            <w:tcBorders>
              <w:top w:val="single" w:sz="4" w:space="0" w:color="auto"/>
            </w:tcBorders>
            <w:shd w:val="clear" w:color="auto" w:fill="auto"/>
            <w:vAlign w:val="bottom"/>
          </w:tcPr>
          <w:p>
            <w:pPr>
              <w:pStyle w:val="BodyTextIndent3"/>
              <w:widowControl w:val="0"/>
              <w:numPr>
                <w:ilvl w:val="12"/>
                <w:numId w:val="0"/>
              </w:numPr>
              <w:tabs>
                <w:tab w:val="clear" w:pos="360"/>
                <w:tab w:val="clear" w:pos="864"/>
              </w:tabs>
              <w:rPr>
                <w:rFonts w:ascii="Arial" w:hAnsi="Arial" w:cs="Arial"/>
                <w:sz w:val="18"/>
                <w:szCs w:val="18"/>
              </w:rPr>
            </w:pPr>
            <w:r>
              <w:rPr>
                <w:rFonts w:ascii="Arial" w:hAnsi="Arial" w:cs="Arial"/>
                <w:sz w:val="18"/>
                <w:szCs w:val="18"/>
              </w:rPr>
              <w:t>Accumulated equity in net losses, ending</w:t>
            </w:r>
          </w:p>
        </w:tc>
        <w:tc>
          <w:tcPr>
            <w:tcW w:w="1260" w:type="dxa"/>
            <w:gridSpan w:val="3"/>
            <w:tcBorders>
              <w:top w:val="single" w:sz="4" w:space="0" w:color="auto"/>
            </w:tcBorders>
            <w:shd w:val="clear" w:color="auto" w:fill="auto"/>
          </w:tcPr>
          <w:p>
            <w:pPr>
              <w:pStyle w:val="BodyTextIndent3"/>
              <w:widowControl w:val="0"/>
              <w:numPr>
                <w:ilvl w:val="12"/>
                <w:numId w:val="0"/>
              </w:numPr>
              <w:tabs>
                <w:tab w:val="clear" w:pos="360"/>
                <w:tab w:val="clear" w:pos="864"/>
              </w:tabs>
              <w:jc w:val="center"/>
              <w:rPr>
                <w:rFonts w:ascii="Arial" w:hAnsi="Arial" w:cs="Arial"/>
                <w:sz w:val="18"/>
                <w:szCs w:val="18"/>
              </w:rPr>
            </w:pPr>
          </w:p>
        </w:tc>
        <w:tc>
          <w:tcPr>
            <w:tcW w:w="1584" w:type="dxa"/>
            <w:tcBorders>
              <w:top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 xml:space="preserve">    (523,645,805)</w:t>
            </w:r>
          </w:p>
        </w:tc>
        <w:tc>
          <w:tcPr>
            <w:tcW w:w="1584" w:type="dxa"/>
            <w:tcBorders>
              <w:top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fldChar w:fldCharType="begin"/>
            </w:r>
            <w:r>
              <w:rPr>
                <w:rFonts w:ascii="Arial" w:hAnsi="Arial" w:cs="Arial"/>
                <w:noProof/>
                <w:sz w:val="18"/>
                <w:szCs w:val="18"/>
              </w:rPr>
              <w:instrText xml:space="preserve"> =SUM(c3:c5) </w:instrText>
            </w:r>
            <w:r>
              <w:rPr>
                <w:rFonts w:ascii="Arial" w:hAnsi="Arial" w:cs="Arial"/>
                <w:noProof/>
                <w:sz w:val="18"/>
                <w:szCs w:val="18"/>
              </w:rPr>
              <w:fldChar w:fldCharType="separate"/>
            </w:r>
            <w:r>
              <w:rPr>
                <w:rFonts w:ascii="Arial" w:hAnsi="Arial" w:cs="Arial"/>
                <w:noProof/>
                <w:sz w:val="18"/>
                <w:szCs w:val="18"/>
              </w:rPr>
              <w:t>(528,555,100)</w:t>
            </w:r>
            <w:r>
              <w:rPr>
                <w:rFonts w:ascii="Arial" w:hAnsi="Arial" w:cs="Arial"/>
                <w:noProof/>
                <w:sz w:val="18"/>
                <w:szCs w:val="18"/>
              </w:rPr>
              <w:fldChar w:fldCharType="end"/>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Cumulative liquidating dividends – SUMSI</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(18,000,000)</w:t>
            </w: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(11,500,000)</w:t>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Liquidating Dividend – RICH</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(3,151,447)</w:t>
            </w: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w:t>
            </w:r>
          </w:p>
        </w:tc>
      </w:tr>
      <w:tr>
        <w:trPr>
          <w:trHeight w:val="216"/>
          <w:jc w:val="center"/>
        </w:trPr>
        <w:tc>
          <w:tcPr>
            <w:tcW w:w="4230" w:type="dxa"/>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Deferred income</w:t>
            </w:r>
          </w:p>
        </w:tc>
        <w:tc>
          <w:tcPr>
            <w:tcW w:w="1260" w:type="dxa"/>
            <w:gridSpan w:val="3"/>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(196,508,125)</w:t>
            </w:r>
          </w:p>
        </w:tc>
        <w:tc>
          <w:tcPr>
            <w:tcW w:w="1584" w:type="dxa"/>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(196,508,125)</w:t>
            </w:r>
          </w:p>
        </w:tc>
      </w:tr>
      <w:tr>
        <w:trPr>
          <w:trHeight w:val="216"/>
          <w:jc w:val="center"/>
        </w:trPr>
        <w:tc>
          <w:tcPr>
            <w:tcW w:w="4230" w:type="dxa"/>
            <w:tcBorders>
              <w:bottom w:val="single" w:sz="4" w:space="0" w:color="auto"/>
            </w:tcBorders>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r>
              <w:rPr>
                <w:rFonts w:ascii="Arial" w:hAnsi="Arial" w:cs="Arial"/>
                <w:sz w:val="18"/>
                <w:szCs w:val="18"/>
              </w:rPr>
              <w:t>Allowance for decline in value</w:t>
            </w:r>
          </w:p>
        </w:tc>
        <w:tc>
          <w:tcPr>
            <w:tcW w:w="1260" w:type="dxa"/>
            <w:gridSpan w:val="3"/>
            <w:tcBorders>
              <w:bottom w:val="single" w:sz="4" w:space="0" w:color="auto"/>
            </w:tcBorders>
            <w:shd w:val="clear" w:color="auto" w:fill="auto"/>
          </w:tcPr>
          <w:p>
            <w:pPr>
              <w:pStyle w:val="BodyTextIndent3"/>
              <w:widowControl w:val="0"/>
              <w:numPr>
                <w:ilvl w:val="12"/>
                <w:numId w:val="0"/>
              </w:numPr>
              <w:tabs>
                <w:tab w:val="clear" w:pos="360"/>
                <w:tab w:val="clear" w:pos="864"/>
              </w:tabs>
              <w:jc w:val="right"/>
              <w:rPr>
                <w:rFonts w:ascii="Arial" w:hAnsi="Arial" w:cs="Arial"/>
                <w:sz w:val="18"/>
                <w:szCs w:val="18"/>
              </w:rPr>
            </w:pPr>
          </w:p>
        </w:tc>
        <w:tc>
          <w:tcPr>
            <w:tcW w:w="1584" w:type="dxa"/>
            <w:tcBorders>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(946,616,466)</w:t>
            </w:r>
          </w:p>
        </w:tc>
        <w:tc>
          <w:tcPr>
            <w:tcW w:w="1584" w:type="dxa"/>
            <w:tcBorders>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t>(946,616,466)</w:t>
            </w:r>
          </w:p>
        </w:tc>
      </w:tr>
      <w:tr>
        <w:trPr>
          <w:trHeight w:val="288"/>
          <w:jc w:val="center"/>
        </w:trPr>
        <w:tc>
          <w:tcPr>
            <w:tcW w:w="4230" w:type="dxa"/>
            <w:tcBorders>
              <w:top w:val="single" w:sz="4" w:space="0" w:color="auto"/>
              <w:bottom w:val="single" w:sz="4" w:space="0" w:color="auto"/>
            </w:tcBorders>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p>
        </w:tc>
        <w:tc>
          <w:tcPr>
            <w:tcW w:w="1260" w:type="dxa"/>
            <w:gridSpan w:val="3"/>
            <w:tcBorders>
              <w:top w:val="single" w:sz="4" w:space="0" w:color="auto"/>
              <w:bottom w:val="single" w:sz="4" w:space="0" w:color="auto"/>
            </w:tcBorders>
            <w:shd w:val="clear" w:color="auto" w:fill="auto"/>
          </w:tcPr>
          <w:p>
            <w:pPr>
              <w:pStyle w:val="BodyTextIndent3"/>
              <w:widowControl w:val="0"/>
              <w:numPr>
                <w:ilvl w:val="12"/>
                <w:numId w:val="0"/>
              </w:numPr>
              <w:tabs>
                <w:tab w:val="clear" w:pos="360"/>
                <w:tab w:val="clear" w:pos="864"/>
              </w:tabs>
              <w:jc w:val="right"/>
              <w:rPr>
                <w:rFonts w:ascii="Arial" w:hAnsi="Arial" w:cs="Arial"/>
                <w:b/>
                <w:sz w:val="18"/>
                <w:szCs w:val="18"/>
              </w:rPr>
            </w:pPr>
          </w:p>
        </w:tc>
        <w:tc>
          <w:tcPr>
            <w:tcW w:w="1584" w:type="dxa"/>
            <w:tcBorders>
              <w:top w:val="single" w:sz="4" w:space="0" w:color="auto"/>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t xml:space="preserve"> (1,687,921,843)</w:t>
            </w:r>
          </w:p>
        </w:tc>
        <w:tc>
          <w:tcPr>
            <w:tcW w:w="1584" w:type="dxa"/>
            <w:tcBorders>
              <w:top w:val="single" w:sz="4" w:space="0" w:color="auto"/>
              <w:bottom w:val="single" w:sz="4" w:space="0" w:color="auto"/>
            </w:tcBorders>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fldChar w:fldCharType="begin"/>
            </w:r>
            <w:r>
              <w:rPr>
                <w:rFonts w:ascii="Arial" w:hAnsi="Arial" w:cs="Arial"/>
                <w:noProof/>
                <w:sz w:val="18"/>
                <w:szCs w:val="18"/>
              </w:rPr>
              <w:instrText xml:space="preserve"> =SUM(c6:c9) </w:instrText>
            </w:r>
            <w:r>
              <w:rPr>
                <w:rFonts w:ascii="Arial" w:hAnsi="Arial" w:cs="Arial"/>
                <w:noProof/>
                <w:sz w:val="18"/>
                <w:szCs w:val="18"/>
              </w:rPr>
              <w:fldChar w:fldCharType="separate"/>
            </w:r>
            <w:r>
              <w:rPr>
                <w:rFonts w:ascii="Arial" w:hAnsi="Arial" w:cs="Arial"/>
                <w:noProof/>
                <w:sz w:val="18"/>
                <w:szCs w:val="18"/>
              </w:rPr>
              <w:t>(1,683,179,691)</w:t>
            </w:r>
            <w:r>
              <w:rPr>
                <w:rFonts w:ascii="Arial" w:hAnsi="Arial" w:cs="Arial"/>
                <w:noProof/>
                <w:sz w:val="18"/>
                <w:szCs w:val="18"/>
              </w:rPr>
              <w:fldChar w:fldCharType="end"/>
            </w:r>
          </w:p>
        </w:tc>
      </w:tr>
      <w:tr>
        <w:trPr>
          <w:trHeight w:val="317"/>
          <w:jc w:val="center"/>
        </w:trPr>
        <w:tc>
          <w:tcPr>
            <w:tcW w:w="4230" w:type="dxa"/>
            <w:tcBorders>
              <w:top w:val="single" w:sz="4" w:space="0" w:color="auto"/>
              <w:bottom w:val="double" w:sz="4" w:space="0" w:color="auto"/>
            </w:tcBorders>
            <w:shd w:val="clear" w:color="auto" w:fill="auto"/>
          </w:tcPr>
          <w:p>
            <w:pPr>
              <w:pStyle w:val="BodyTextIndent3"/>
              <w:widowControl w:val="0"/>
              <w:numPr>
                <w:ilvl w:val="12"/>
                <w:numId w:val="0"/>
              </w:numPr>
              <w:tabs>
                <w:tab w:val="clear" w:pos="360"/>
                <w:tab w:val="clear" w:pos="864"/>
              </w:tabs>
              <w:jc w:val="both"/>
              <w:rPr>
                <w:rFonts w:ascii="Arial" w:hAnsi="Arial" w:cs="Arial"/>
                <w:sz w:val="18"/>
                <w:szCs w:val="18"/>
              </w:rPr>
            </w:pPr>
          </w:p>
        </w:tc>
        <w:tc>
          <w:tcPr>
            <w:tcW w:w="1260" w:type="dxa"/>
            <w:gridSpan w:val="3"/>
            <w:tcBorders>
              <w:top w:val="single" w:sz="4" w:space="0" w:color="auto"/>
              <w:bottom w:val="double" w:sz="4" w:space="0" w:color="auto"/>
            </w:tcBorders>
            <w:shd w:val="clear" w:color="auto" w:fill="auto"/>
          </w:tcPr>
          <w:p>
            <w:pPr>
              <w:pStyle w:val="BodyTextIndent3"/>
              <w:widowControl w:val="0"/>
              <w:numPr>
                <w:ilvl w:val="12"/>
                <w:numId w:val="0"/>
              </w:numPr>
              <w:tabs>
                <w:tab w:val="clear" w:pos="360"/>
                <w:tab w:val="clear" w:pos="864"/>
              </w:tabs>
              <w:jc w:val="right"/>
              <w:rPr>
                <w:rFonts w:ascii="Arial" w:hAnsi="Arial" w:cs="Arial"/>
                <w:b/>
                <w:sz w:val="18"/>
                <w:szCs w:val="18"/>
              </w:rPr>
            </w:pPr>
          </w:p>
        </w:tc>
        <w:tc>
          <w:tcPr>
            <w:tcW w:w="1584" w:type="dxa"/>
            <w:tcBorders>
              <w:top w:val="single" w:sz="4" w:space="0" w:color="auto"/>
              <w:bottom w:val="double" w:sz="4" w:space="0" w:color="auto"/>
            </w:tcBorders>
            <w:vAlign w:val="bottom"/>
          </w:tcPr>
          <w:p>
            <w:pPr>
              <w:pStyle w:val="BodyTextIndent3"/>
              <w:widowControl w:val="0"/>
              <w:numPr>
                <w:ilvl w:val="12"/>
                <w:numId w:val="0"/>
              </w:numPr>
              <w:tabs>
                <w:tab w:val="clear" w:pos="360"/>
                <w:tab w:val="clear" w:pos="864"/>
              </w:tabs>
              <w:jc w:val="right"/>
              <w:rPr>
                <w:rFonts w:ascii="Arial" w:hAnsi="Arial" w:cs="Arial"/>
                <w:b/>
                <w:noProof/>
                <w:sz w:val="18"/>
                <w:szCs w:val="18"/>
              </w:rPr>
            </w:pPr>
            <w:r>
              <w:rPr>
                <w:rFonts w:ascii="Arial" w:hAnsi="Arial" w:cs="Arial"/>
                <w:b/>
                <w:noProof/>
                <w:sz w:val="18"/>
                <w:szCs w:val="18"/>
              </w:rPr>
              <w:fldChar w:fldCharType="begin"/>
            </w:r>
            <w:r>
              <w:rPr>
                <w:rFonts w:ascii="Arial" w:hAnsi="Arial" w:cs="Arial"/>
                <w:b/>
                <w:noProof/>
                <w:sz w:val="18"/>
                <w:szCs w:val="18"/>
              </w:rPr>
              <w:instrText xml:space="preserve"> =3,063,380,250+c10 </w:instrText>
            </w:r>
            <w:r>
              <w:rPr>
                <w:rFonts w:ascii="Arial" w:hAnsi="Arial" w:cs="Arial"/>
                <w:b/>
                <w:noProof/>
                <w:sz w:val="18"/>
                <w:szCs w:val="18"/>
              </w:rPr>
              <w:fldChar w:fldCharType="separate"/>
            </w:r>
            <w:r>
              <w:rPr>
                <w:rFonts w:ascii="Arial" w:hAnsi="Arial" w:cs="Arial"/>
                <w:b/>
                <w:noProof/>
                <w:sz w:val="18"/>
                <w:szCs w:val="18"/>
              </w:rPr>
              <w:t>1,3</w:t>
            </w:r>
            <w:r>
              <w:rPr>
                <w:rFonts w:ascii="Arial" w:hAnsi="Arial" w:cs="Arial"/>
                <w:b/>
                <w:noProof/>
                <w:sz w:val="18"/>
                <w:szCs w:val="18"/>
              </w:rPr>
              <w:fldChar w:fldCharType="end"/>
            </w:r>
            <w:r>
              <w:rPr>
                <w:rFonts w:ascii="Arial" w:hAnsi="Arial" w:cs="Arial"/>
                <w:b/>
                <w:noProof/>
                <w:sz w:val="18"/>
                <w:szCs w:val="18"/>
              </w:rPr>
              <w:t>75,458,407</w:t>
            </w:r>
          </w:p>
        </w:tc>
        <w:tc>
          <w:tcPr>
            <w:tcW w:w="1584" w:type="dxa"/>
            <w:tcBorders>
              <w:top w:val="single" w:sz="4" w:space="0" w:color="auto"/>
              <w:bottom w:val="double" w:sz="4" w:space="0" w:color="auto"/>
            </w:tcBorders>
            <w:vAlign w:val="bottom"/>
          </w:tcPr>
          <w:p>
            <w:pPr>
              <w:pStyle w:val="BodyTextIndent3"/>
              <w:widowControl w:val="0"/>
              <w:numPr>
                <w:ilvl w:val="12"/>
                <w:numId w:val="0"/>
              </w:numPr>
              <w:tabs>
                <w:tab w:val="clear" w:pos="360"/>
                <w:tab w:val="clear" w:pos="864"/>
              </w:tabs>
              <w:jc w:val="right"/>
              <w:rPr>
                <w:rFonts w:ascii="Arial" w:hAnsi="Arial" w:cs="Arial"/>
                <w:noProof/>
                <w:sz w:val="18"/>
                <w:szCs w:val="18"/>
              </w:rPr>
            </w:pPr>
            <w:r>
              <w:rPr>
                <w:rFonts w:ascii="Arial" w:hAnsi="Arial" w:cs="Arial"/>
                <w:noProof/>
                <w:sz w:val="18"/>
                <w:szCs w:val="18"/>
              </w:rPr>
              <w:fldChar w:fldCharType="begin"/>
            </w:r>
            <w:r>
              <w:rPr>
                <w:rFonts w:ascii="Arial" w:hAnsi="Arial" w:cs="Arial"/>
                <w:noProof/>
                <w:sz w:val="18"/>
                <w:szCs w:val="18"/>
              </w:rPr>
              <w:instrText xml:space="preserve"> =3,063,380,250+c10 </w:instrText>
            </w:r>
            <w:r>
              <w:rPr>
                <w:rFonts w:ascii="Arial" w:hAnsi="Arial" w:cs="Arial"/>
                <w:noProof/>
                <w:sz w:val="18"/>
                <w:szCs w:val="18"/>
              </w:rPr>
              <w:fldChar w:fldCharType="separate"/>
            </w:r>
            <w:r>
              <w:rPr>
                <w:rFonts w:ascii="Arial" w:hAnsi="Arial" w:cs="Arial"/>
                <w:noProof/>
                <w:sz w:val="18"/>
                <w:szCs w:val="18"/>
              </w:rPr>
              <w:t>1,380,200,559</w:t>
            </w:r>
            <w:r>
              <w:rPr>
                <w:rFonts w:ascii="Arial" w:hAnsi="Arial" w:cs="Arial"/>
                <w:noProof/>
                <w:sz w:val="18"/>
                <w:szCs w:val="18"/>
              </w:rPr>
              <w:fldChar w:fldCharType="end"/>
            </w:r>
          </w:p>
        </w:tc>
      </w:tr>
    </w:tbl>
    <w:p>
      <w:pPr>
        <w:ind w:left="0" w:firstLine="0"/>
        <w:rPr>
          <w:sz w:val="20"/>
        </w:rPr>
      </w:pPr>
    </w:p>
    <w:p>
      <w:pPr>
        <w:pStyle w:val="BodyTextIndent3"/>
        <w:widowControl w:val="0"/>
        <w:numPr>
          <w:ilvl w:val="12"/>
          <w:numId w:val="0"/>
        </w:numPr>
        <w:tabs>
          <w:tab w:val="clear" w:pos="360"/>
          <w:tab w:val="clear" w:pos="864"/>
        </w:tabs>
        <w:jc w:val="both"/>
        <w:rPr>
          <w:rFonts w:ascii="Arial" w:hAnsi="Arial" w:cs="Arial"/>
          <w:szCs w:val="22"/>
        </w:rPr>
      </w:pPr>
      <w:r>
        <w:rPr>
          <w:rFonts w:ascii="Arial" w:hAnsi="Arial" w:cs="Arial"/>
          <w:szCs w:val="22"/>
        </w:rPr>
        <w:t>Deferred income represents the System’s 40 per cent share in the unrealized gain arising from the transfer in 1995 of certain real estate property of the System to MLI in exchange for the latter’s shares of stock.</w:t>
      </w:r>
    </w:p>
    <w:p>
      <w:pPr>
        <w:pStyle w:val="BodyTextIndent3"/>
        <w:widowControl w:val="0"/>
        <w:numPr>
          <w:ilvl w:val="12"/>
          <w:numId w:val="0"/>
        </w:numPr>
        <w:tabs>
          <w:tab w:val="clear" w:pos="360"/>
          <w:tab w:val="clear" w:pos="864"/>
          <w:tab w:val="left" w:pos="1080"/>
        </w:tabs>
        <w:jc w:val="both"/>
        <w:rPr>
          <w:rFonts w:ascii="Arial" w:hAnsi="Arial" w:cs="Arial"/>
          <w:szCs w:val="22"/>
        </w:rPr>
      </w:pPr>
    </w:p>
    <w:p>
      <w:pPr>
        <w:widowControl w:val="0"/>
        <w:numPr>
          <w:ilvl w:val="12"/>
          <w:numId w:val="0"/>
        </w:numPr>
        <w:jc w:val="both"/>
        <w:rPr>
          <w:rFonts w:ascii="Arial" w:hAnsi="Arial" w:cs="Arial"/>
          <w:sz w:val="22"/>
          <w:szCs w:val="22"/>
        </w:rPr>
      </w:pPr>
      <w:r>
        <w:rPr>
          <w:rFonts w:ascii="Arial" w:hAnsi="Arial" w:cs="Arial"/>
          <w:sz w:val="22"/>
          <w:szCs w:val="22"/>
        </w:rPr>
        <w:t>On October 22, 2014, RLI officially obtained an approval from the Securities and Exchange Commission (SEC) shortening the term of its existence thereby dissolving the corporation as of said date.  In July 2015, the Notes Payable by the System to RLI of P40.40 million and the corresponding accrued interest expense of P16.590 million in the System’s books were already closed to the balance of the investment recorded in the said subsidiary after Management approved the turnover/transfer of the receivables of the dissolved subsidiary to the System.  The System is already in the process of closing the remaining RLI investment in its books and the corresponding adjustment will be made upon approval by Management.</w:t>
      </w:r>
    </w:p>
    <w:p>
      <w:pPr>
        <w:pStyle w:val="BodyTextIndent3"/>
        <w:widowControl w:val="0"/>
        <w:numPr>
          <w:ilvl w:val="12"/>
          <w:numId w:val="0"/>
        </w:numPr>
        <w:tabs>
          <w:tab w:val="clear" w:pos="360"/>
          <w:tab w:val="clear" w:pos="864"/>
          <w:tab w:val="left" w:pos="1080"/>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r>
        <w:rPr>
          <w:rFonts w:ascii="Arial" w:hAnsi="Arial" w:cs="Arial"/>
          <w:szCs w:val="22"/>
        </w:rPr>
        <w:t>The other subsidiaries and associates which have closed and/or ceased operations are the GMC, FLC, GFDC, CEMX, Inc., GSC, REI and Cyquest, Inc.  Some of these companies have not been formally dissolved pending completion of certain documentary requirements of the SEC and the Bureau of Internal Revenue (BIR).</w:t>
      </w: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r>
        <w:rPr>
          <w:rFonts w:ascii="Arial" w:hAnsi="Arial" w:cs="Arial"/>
          <w:szCs w:val="22"/>
        </w:rPr>
        <w:t>In 2014, the System booked an additional allowance of P19.879 million as a result of the reduction in the par value of the PAL shares from P0.80 to P0.20 per share, bringing the net investment balance of PAL down to P6.626 million as of the end of 2014 and up to this date.</w:t>
      </w:r>
    </w:p>
    <w:p>
      <w:pPr>
        <w:pStyle w:val="BodyTextIndent3"/>
        <w:widowControl w:val="0"/>
        <w:numPr>
          <w:ilvl w:val="12"/>
          <w:numId w:val="0"/>
        </w:numPr>
        <w:tabs>
          <w:tab w:val="clear" w:pos="360"/>
          <w:tab w:val="clear" w:pos="864"/>
        </w:tabs>
        <w:jc w:val="both"/>
        <w:rPr>
          <w:rFonts w:ascii="Arial" w:hAnsi="Arial" w:cs="Arial"/>
          <w:szCs w:val="22"/>
        </w:rPr>
      </w:pPr>
    </w:p>
    <w:p>
      <w:pPr>
        <w:pStyle w:val="BodyTextIndent3"/>
        <w:widowControl w:val="0"/>
        <w:numPr>
          <w:ilvl w:val="12"/>
          <w:numId w:val="0"/>
        </w:numPr>
        <w:tabs>
          <w:tab w:val="clear" w:pos="360"/>
          <w:tab w:val="clear" w:pos="864"/>
        </w:tabs>
        <w:jc w:val="both"/>
        <w:rPr>
          <w:rFonts w:ascii="Arial" w:hAnsi="Arial" w:cs="Arial"/>
          <w:szCs w:val="22"/>
        </w:rPr>
      </w:pPr>
      <w:r>
        <w:rPr>
          <w:rFonts w:ascii="Arial" w:hAnsi="Arial" w:cs="Arial"/>
          <w:szCs w:val="22"/>
        </w:rPr>
        <w:t xml:space="preserve">In 2017, GCG approved the divestment of Monterrosa Development Corporation and Southern Utility Management Services, Inc. (SUMSI).  The Bidding Process for SUMSI has also started.  The minimum Bid Price at which the shares of SUMSI are to be sold is pegged at P30 million.  Further, the System’s shares in PAL and BRADCO were also approved for disposal by the AFPRSBS BOL on March 22, 2018.  </w:t>
      </w:r>
    </w:p>
    <w:p>
      <w:pPr>
        <w:pStyle w:val="BodyTextIndent3"/>
        <w:widowControl w:val="0"/>
        <w:numPr>
          <w:ilvl w:val="12"/>
          <w:numId w:val="0"/>
        </w:numPr>
        <w:tabs>
          <w:tab w:val="clear" w:pos="360"/>
          <w:tab w:val="clear" w:pos="864"/>
        </w:tabs>
        <w:jc w:val="both"/>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lastRenderedPageBreak/>
        <w:t>INVESTMENTS IN REAL ESTATE - NET</w:t>
      </w:r>
    </w:p>
    <w:p>
      <w:pPr>
        <w:pStyle w:val="ListContinue"/>
        <w:widowControl w:val="0"/>
        <w:numPr>
          <w:ilvl w:val="12"/>
          <w:numId w:val="0"/>
        </w:numPr>
        <w:spacing w:after="0"/>
        <w:rPr>
          <w:rFonts w:ascii="Arial" w:hAnsi="Arial" w:cs="Arial"/>
          <w:szCs w:val="22"/>
        </w:rPr>
      </w:pPr>
    </w:p>
    <w:p>
      <w:pPr>
        <w:pStyle w:val="ListContinue"/>
        <w:widowControl w:val="0"/>
        <w:numPr>
          <w:ilvl w:val="12"/>
          <w:numId w:val="0"/>
        </w:numPr>
        <w:spacing w:after="0"/>
        <w:rPr>
          <w:rFonts w:ascii="Arial" w:hAnsi="Arial" w:cs="Arial"/>
          <w:szCs w:val="22"/>
        </w:rPr>
      </w:pPr>
      <w:r>
        <w:rPr>
          <w:rFonts w:ascii="Arial" w:hAnsi="Arial" w:cs="Arial"/>
          <w:szCs w:val="22"/>
        </w:rPr>
        <w:t>This account consists of the following:</w:t>
      </w:r>
    </w:p>
    <w:p>
      <w:pPr>
        <w:pStyle w:val="ListContinue"/>
        <w:widowControl w:val="0"/>
        <w:numPr>
          <w:ilvl w:val="12"/>
          <w:numId w:val="0"/>
        </w:numPr>
        <w:spacing w:after="0"/>
        <w:rPr>
          <w:rFonts w:ascii="Arial" w:hAnsi="Arial" w:cs="Arial"/>
          <w:szCs w:val="22"/>
        </w:rPr>
      </w:pPr>
    </w:p>
    <w:tbl>
      <w:tblPr>
        <w:tblW w:w="8640" w:type="dxa"/>
        <w:jc w:val="center"/>
        <w:tblLayout w:type="fixed"/>
        <w:tblLook w:val="0000" w:firstRow="0" w:lastRow="0" w:firstColumn="0" w:lastColumn="0" w:noHBand="0" w:noVBand="0"/>
      </w:tblPr>
      <w:tblGrid>
        <w:gridCol w:w="5040"/>
        <w:gridCol w:w="1800"/>
        <w:gridCol w:w="1800"/>
      </w:tblGrid>
      <w:tr>
        <w:trPr>
          <w:trHeight w:val="288"/>
          <w:jc w:val="center"/>
        </w:trPr>
        <w:tc>
          <w:tcPr>
            <w:tcW w:w="5040" w:type="dxa"/>
            <w:tcBorders>
              <w:top w:val="single" w:sz="4" w:space="0" w:color="auto"/>
              <w:bottom w:val="single" w:sz="4" w:space="0" w:color="auto"/>
            </w:tcBorders>
            <w:shd w:val="clear" w:color="auto" w:fill="auto"/>
            <w:vAlign w:val="bottom"/>
          </w:tcPr>
          <w:p>
            <w:pPr>
              <w:widowControl w:val="0"/>
              <w:ind w:left="0" w:right="-108" w:firstLine="0"/>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tc>
      </w:tr>
      <w:tr>
        <w:trPr>
          <w:trHeight w:val="288"/>
          <w:jc w:val="center"/>
        </w:trPr>
        <w:tc>
          <w:tcPr>
            <w:tcW w:w="504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 xml:space="preserve">Landbanking assets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3,294,836,290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3,286,794,884</w:t>
            </w:r>
          </w:p>
        </w:tc>
      </w:tr>
      <w:tr>
        <w:trPr>
          <w:trHeight w:val="80"/>
          <w:jc w:val="center"/>
        </w:trPr>
        <w:tc>
          <w:tcPr>
            <w:tcW w:w="5040" w:type="dxa"/>
            <w:shd w:val="clear" w:color="auto" w:fill="auto"/>
            <w:vAlign w:val="bottom"/>
          </w:tcPr>
          <w:p>
            <w:pPr>
              <w:widowControl w:val="0"/>
              <w:ind w:left="0" w:right="-108" w:firstLine="0"/>
              <w:jc w:val="both"/>
              <w:rPr>
                <w:rFonts w:ascii="Arial" w:hAnsi="Arial" w:cs="Arial"/>
                <w:sz w:val="22"/>
                <w:szCs w:val="22"/>
              </w:rPr>
            </w:pPr>
            <w:r>
              <w:rPr>
                <w:rFonts w:ascii="Arial" w:hAnsi="Arial" w:cs="Arial"/>
                <w:sz w:val="22"/>
                <w:szCs w:val="22"/>
              </w:rPr>
              <w:t xml:space="preserve">Commercial and residential subdivision projects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3,020,437,395</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3,060,350,209</w:t>
            </w:r>
          </w:p>
        </w:tc>
      </w:tr>
      <w:tr>
        <w:trPr>
          <w:trHeight w:val="207"/>
          <w:jc w:val="center"/>
        </w:trPr>
        <w:tc>
          <w:tcPr>
            <w:tcW w:w="504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Member-related housing projects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74,238,404</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74,238,404</w:t>
            </w:r>
          </w:p>
        </w:tc>
      </w:tr>
      <w:tr>
        <w:trPr>
          <w:trHeight w:val="270"/>
          <w:jc w:val="center"/>
        </w:trPr>
        <w:tc>
          <w:tcPr>
            <w:tcW w:w="504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Golf and country club shares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132,782,138</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133,318,138</w:t>
            </w:r>
          </w:p>
        </w:tc>
      </w:tr>
      <w:tr>
        <w:trPr>
          <w:trHeight w:val="70"/>
          <w:jc w:val="center"/>
        </w:trPr>
        <w:tc>
          <w:tcPr>
            <w:tcW w:w="5040" w:type="dxa"/>
            <w:tcBorders>
              <w:top w:val="single" w:sz="4" w:space="0" w:color="auto"/>
            </w:tcBorders>
            <w:shd w:val="clear" w:color="auto" w:fill="auto"/>
            <w:vAlign w:val="bottom"/>
          </w:tcPr>
          <w:p>
            <w:pPr>
              <w:widowControl w:val="0"/>
              <w:ind w:left="0" w:right="-108" w:firstLine="0"/>
              <w:rPr>
                <w:rFonts w:ascii="Arial" w:hAnsi="Arial" w:cs="Arial"/>
                <w:sz w:val="22"/>
                <w:szCs w:val="22"/>
              </w:rPr>
            </w:pPr>
          </w:p>
        </w:tc>
        <w:tc>
          <w:tcPr>
            <w:tcW w:w="1800" w:type="dxa"/>
            <w:tcBorders>
              <w:top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6,522,294,227</w:t>
            </w:r>
          </w:p>
        </w:tc>
        <w:tc>
          <w:tcPr>
            <w:tcW w:w="1800" w:type="dxa"/>
            <w:tcBorders>
              <w:top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6,554,701,635</w:t>
            </w:r>
          </w:p>
        </w:tc>
      </w:tr>
      <w:tr>
        <w:trPr>
          <w:trHeight w:val="234"/>
          <w:jc w:val="center"/>
        </w:trPr>
        <w:tc>
          <w:tcPr>
            <w:tcW w:w="5040" w:type="dxa"/>
            <w:tcBorders>
              <w:bottom w:val="single" w:sz="4" w:space="0" w:color="auto"/>
            </w:tcBorders>
            <w:shd w:val="clear" w:color="auto" w:fill="auto"/>
            <w:vAlign w:val="bottom"/>
          </w:tcPr>
          <w:p>
            <w:pPr>
              <w:widowControl w:val="0"/>
              <w:ind w:left="252" w:hanging="252"/>
              <w:jc w:val="both"/>
              <w:rPr>
                <w:rFonts w:ascii="Arial" w:hAnsi="Arial" w:cs="Arial"/>
                <w:sz w:val="22"/>
                <w:szCs w:val="22"/>
              </w:rPr>
            </w:pPr>
            <w:r>
              <w:rPr>
                <w:rFonts w:ascii="Arial" w:hAnsi="Arial" w:cs="Arial"/>
                <w:sz w:val="22"/>
                <w:szCs w:val="22"/>
              </w:rPr>
              <w:t>Allowance for decline in value of investment in real estate</w:t>
            </w:r>
          </w:p>
        </w:tc>
        <w:tc>
          <w:tcPr>
            <w:tcW w:w="1800" w:type="dxa"/>
            <w:tcBorders>
              <w:bottom w:val="single" w:sz="4" w:space="0" w:color="auto"/>
            </w:tcBorders>
            <w:shd w:val="clear" w:color="auto" w:fill="auto"/>
            <w:tcMar>
              <w:left w:w="115" w:type="dxa"/>
              <w:right w:w="43" w:type="dxa"/>
            </w:tcMar>
            <w:vAlign w:val="bottom"/>
          </w:tcPr>
          <w:p>
            <w:pPr>
              <w:widowControl w:val="0"/>
              <w:ind w:left="0" w:right="47" w:firstLine="0"/>
              <w:jc w:val="right"/>
              <w:rPr>
                <w:rFonts w:ascii="Arial" w:hAnsi="Arial" w:cs="Arial"/>
                <w:b/>
                <w:bCs/>
                <w:sz w:val="22"/>
                <w:szCs w:val="22"/>
              </w:rPr>
            </w:pPr>
            <w:r>
              <w:rPr>
                <w:rFonts w:ascii="Arial" w:hAnsi="Arial" w:cs="Arial"/>
                <w:b/>
                <w:bCs/>
                <w:sz w:val="22"/>
                <w:szCs w:val="22"/>
              </w:rPr>
              <w:t xml:space="preserve">   (115,062,687)</w:t>
            </w:r>
          </w:p>
        </w:tc>
        <w:tc>
          <w:tcPr>
            <w:tcW w:w="1800" w:type="dxa"/>
            <w:tcBorders>
              <w:bottom w:val="single" w:sz="4" w:space="0" w:color="auto"/>
            </w:tcBorders>
            <w:tcMar>
              <w:left w:w="115" w:type="dxa"/>
              <w:right w:w="43" w:type="dxa"/>
            </w:tcMar>
            <w:vAlign w:val="bottom"/>
          </w:tcPr>
          <w:p>
            <w:pPr>
              <w:widowControl w:val="0"/>
              <w:ind w:left="0" w:right="47" w:firstLine="0"/>
              <w:jc w:val="right"/>
              <w:rPr>
                <w:rFonts w:ascii="Arial" w:hAnsi="Arial" w:cs="Arial"/>
                <w:bCs/>
                <w:sz w:val="22"/>
                <w:szCs w:val="22"/>
              </w:rPr>
            </w:pPr>
            <w:r>
              <w:rPr>
                <w:rFonts w:ascii="Arial" w:hAnsi="Arial" w:cs="Arial"/>
                <w:bCs/>
                <w:sz w:val="22"/>
                <w:szCs w:val="22"/>
              </w:rPr>
              <w:t xml:space="preserve">   (112,362,251)</w:t>
            </w:r>
          </w:p>
        </w:tc>
      </w:tr>
      <w:tr>
        <w:trPr>
          <w:trHeight w:val="360"/>
          <w:jc w:val="center"/>
        </w:trPr>
        <w:tc>
          <w:tcPr>
            <w:tcW w:w="5040" w:type="dxa"/>
            <w:tcBorders>
              <w:top w:val="single" w:sz="4" w:space="0" w:color="auto"/>
              <w:bottom w:val="double" w:sz="2" w:space="0" w:color="auto"/>
            </w:tcBorders>
            <w:shd w:val="clear" w:color="auto" w:fill="auto"/>
            <w:vAlign w:val="bottom"/>
          </w:tcPr>
          <w:p>
            <w:pPr>
              <w:widowControl w:val="0"/>
              <w:ind w:left="0" w:right="-108" w:firstLineChars="200" w:firstLine="442"/>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6,407,231,540</w:t>
            </w:r>
          </w:p>
        </w:tc>
        <w:tc>
          <w:tcPr>
            <w:tcW w:w="1800" w:type="dxa"/>
            <w:tcBorders>
              <w:top w:val="single" w:sz="4" w:space="0" w:color="auto"/>
              <w:bottom w:val="double" w:sz="2"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6,442,339,384</w:t>
            </w:r>
          </w:p>
        </w:tc>
      </w:tr>
    </w:tbl>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Landbanking assets refer to undeveloped real estate properties of the System located in various parts of the country.  These assets are being offered for sale to the public.</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Commercial and residential subdivision projects represent the real estate projects which were developed either by the System or under a JV arrangement with reputable real estate developers.  These projects include residential estates, memorial parks, golf courses and commercial areas.  The System sells its inventories from these projects through accredited marketing companies and real estate brokers.</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Member-related housing projects represent the condominium and apartment units in various AFP camps which were built by the System.  These units are being leased by the AFP to qualified AFP officers and enlisted personnel whose quarters allowance are being used to pay for the monthly rentals.  The rental fees being remitted by the AFP to the System are being charged as income.</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Golf and country club shares represent the System’s shareholdings in golf clubs and sports and country clubs.  These clubs were built inside the premises of the System’s commercial and residential subdivision projects and serve as additional amenities of the project.  The System exercises the voting rights of the shares during the annual stockholder’s meeting of the club.</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As of December 2017, there are still possible remaining deliverables of the System to the Riviera Golf Club, Inc. and Riviera Sports and Country Club, Inc.</w:t>
      </w:r>
    </w:p>
    <w:p>
      <w:pPr>
        <w:pStyle w:val="BodyTextIndent"/>
        <w:widowControl w:val="0"/>
        <w:spacing w:line="240" w:lineRule="auto"/>
        <w:ind w:left="0" w:firstLine="0"/>
        <w:jc w:val="both"/>
        <w:rPr>
          <w:rFonts w:ascii="Arial" w:hAnsi="Arial" w:cs="Arial"/>
          <w:szCs w:val="22"/>
        </w:rPr>
      </w:pPr>
    </w:p>
    <w:p>
      <w:pPr>
        <w:pStyle w:val="BodyTextIndent"/>
        <w:widowControl w:val="0"/>
        <w:spacing w:line="240" w:lineRule="auto"/>
        <w:ind w:left="0" w:firstLine="0"/>
        <w:jc w:val="both"/>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INVESTMENT PROPERTY – NET</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This account consists of the following:</w:t>
      </w:r>
    </w:p>
    <w:p>
      <w:pPr>
        <w:pStyle w:val="BodyText2"/>
        <w:widowControl w:val="0"/>
        <w:tabs>
          <w:tab w:val="clear" w:pos="432"/>
          <w:tab w:val="clear" w:pos="864"/>
        </w:tabs>
        <w:ind w:left="0" w:firstLine="0"/>
        <w:rPr>
          <w:rFonts w:ascii="Arial" w:hAnsi="Arial" w:cs="Arial"/>
          <w:szCs w:val="22"/>
        </w:rPr>
      </w:pPr>
    </w:p>
    <w:tbl>
      <w:tblPr>
        <w:tblW w:w="8640" w:type="dxa"/>
        <w:jc w:val="center"/>
        <w:tblLayout w:type="fixed"/>
        <w:tblLook w:val="0000" w:firstRow="0" w:lastRow="0" w:firstColumn="0" w:lastColumn="0" w:noHBand="0" w:noVBand="0"/>
      </w:tblPr>
      <w:tblGrid>
        <w:gridCol w:w="5040"/>
        <w:gridCol w:w="1890"/>
        <w:gridCol w:w="1710"/>
      </w:tblGrid>
      <w:tr>
        <w:trPr>
          <w:trHeight w:val="346"/>
          <w:tblHeader/>
          <w:jc w:val="center"/>
        </w:trPr>
        <w:tc>
          <w:tcPr>
            <w:tcW w:w="504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sz w:val="22"/>
                <w:szCs w:val="22"/>
              </w:rPr>
            </w:pPr>
          </w:p>
        </w:tc>
        <w:tc>
          <w:tcPr>
            <w:tcW w:w="189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71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tc>
      </w:tr>
      <w:tr>
        <w:trPr>
          <w:trHeight w:val="288"/>
          <w:jc w:val="center"/>
        </w:trPr>
        <w:tc>
          <w:tcPr>
            <w:tcW w:w="5040" w:type="dxa"/>
            <w:shd w:val="clear" w:color="auto" w:fill="auto"/>
            <w:vAlign w:val="bottom"/>
          </w:tcPr>
          <w:p>
            <w:pPr>
              <w:widowControl w:val="0"/>
              <w:ind w:left="252" w:right="162" w:hanging="252"/>
              <w:jc w:val="both"/>
              <w:rPr>
                <w:rFonts w:ascii="Arial" w:hAnsi="Arial" w:cs="Arial"/>
                <w:sz w:val="22"/>
                <w:szCs w:val="22"/>
              </w:rPr>
            </w:pPr>
            <w:r>
              <w:rPr>
                <w:rFonts w:ascii="Arial" w:hAnsi="Arial" w:cs="Arial"/>
                <w:sz w:val="22"/>
                <w:szCs w:val="22"/>
              </w:rPr>
              <w:t>Building and building improvements at the Industrial Park</w:t>
            </w:r>
          </w:p>
        </w:tc>
        <w:tc>
          <w:tcPr>
            <w:tcW w:w="1890" w:type="dxa"/>
            <w:shd w:val="clear" w:color="auto" w:fill="auto"/>
            <w:vAlign w:val="bottom"/>
          </w:tcPr>
          <w:p>
            <w:pPr>
              <w:widowControl w:val="0"/>
              <w:ind w:left="0" w:firstLine="0"/>
              <w:jc w:val="right"/>
              <w:rPr>
                <w:rFonts w:ascii="Arial" w:hAnsi="Arial" w:cs="Arial"/>
                <w:b/>
                <w:sz w:val="22"/>
                <w:szCs w:val="22"/>
              </w:rPr>
            </w:pPr>
          </w:p>
          <w:p>
            <w:pPr>
              <w:widowControl w:val="0"/>
              <w:ind w:left="0" w:firstLine="0"/>
              <w:jc w:val="right"/>
              <w:rPr>
                <w:rFonts w:ascii="Arial" w:hAnsi="Arial" w:cs="Arial"/>
                <w:b/>
                <w:sz w:val="22"/>
                <w:szCs w:val="22"/>
              </w:rPr>
            </w:pPr>
            <w:r>
              <w:rPr>
                <w:rFonts w:ascii="Arial" w:hAnsi="Arial" w:cs="Arial"/>
                <w:b/>
                <w:sz w:val="22"/>
                <w:szCs w:val="22"/>
              </w:rPr>
              <w:t>122,661,551</w:t>
            </w:r>
          </w:p>
        </w:tc>
        <w:tc>
          <w:tcPr>
            <w:tcW w:w="1710" w:type="dxa"/>
            <w:vAlign w:val="bottom"/>
          </w:tcPr>
          <w:p>
            <w:pPr>
              <w:widowControl w:val="0"/>
              <w:ind w:left="0" w:firstLine="0"/>
              <w:jc w:val="right"/>
              <w:rPr>
                <w:rFonts w:ascii="Arial" w:hAnsi="Arial" w:cs="Arial"/>
                <w:sz w:val="22"/>
                <w:szCs w:val="22"/>
              </w:rPr>
            </w:pPr>
          </w:p>
          <w:p>
            <w:pPr>
              <w:widowControl w:val="0"/>
              <w:ind w:left="0" w:firstLine="0"/>
              <w:jc w:val="right"/>
              <w:rPr>
                <w:rFonts w:ascii="Arial" w:hAnsi="Arial" w:cs="Arial"/>
                <w:sz w:val="22"/>
                <w:szCs w:val="22"/>
              </w:rPr>
            </w:pPr>
            <w:r>
              <w:rPr>
                <w:rFonts w:ascii="Arial" w:hAnsi="Arial" w:cs="Arial"/>
                <w:sz w:val="22"/>
                <w:szCs w:val="22"/>
              </w:rPr>
              <w:t>122,661,551</w:t>
            </w:r>
          </w:p>
        </w:tc>
      </w:tr>
      <w:tr>
        <w:trPr>
          <w:trHeight w:val="225"/>
          <w:jc w:val="center"/>
        </w:trPr>
        <w:tc>
          <w:tcPr>
            <w:tcW w:w="5040" w:type="dxa"/>
            <w:shd w:val="clear" w:color="auto" w:fill="auto"/>
            <w:vAlign w:val="bottom"/>
          </w:tcPr>
          <w:p>
            <w:pPr>
              <w:widowControl w:val="0"/>
              <w:ind w:left="252" w:right="-18" w:hanging="252"/>
              <w:jc w:val="both"/>
              <w:rPr>
                <w:rFonts w:ascii="Arial" w:hAnsi="Arial" w:cs="Arial"/>
                <w:sz w:val="22"/>
                <w:szCs w:val="22"/>
              </w:rPr>
            </w:pPr>
            <w:r>
              <w:rPr>
                <w:rFonts w:ascii="Arial" w:hAnsi="Arial" w:cs="Arial"/>
                <w:sz w:val="22"/>
                <w:szCs w:val="22"/>
              </w:rPr>
              <w:t>Accumulated depreciation</w:t>
            </w:r>
          </w:p>
        </w:tc>
        <w:tc>
          <w:tcPr>
            <w:tcW w:w="1890" w:type="dxa"/>
            <w:shd w:val="clear" w:color="auto" w:fill="auto"/>
            <w:tcMar>
              <w:left w:w="115" w:type="dxa"/>
              <w:right w:w="43" w:type="dxa"/>
            </w:tcMar>
            <w:vAlign w:val="bottom"/>
          </w:tcPr>
          <w:p>
            <w:pPr>
              <w:widowControl w:val="0"/>
              <w:ind w:left="0" w:right="47" w:firstLine="0"/>
              <w:jc w:val="right"/>
              <w:rPr>
                <w:rFonts w:ascii="Arial" w:hAnsi="Arial" w:cs="Arial"/>
                <w:b/>
                <w:sz w:val="22"/>
                <w:szCs w:val="22"/>
              </w:rPr>
            </w:pPr>
            <w:r>
              <w:rPr>
                <w:rFonts w:ascii="Arial" w:hAnsi="Arial" w:cs="Arial"/>
                <w:b/>
                <w:sz w:val="22"/>
                <w:szCs w:val="22"/>
              </w:rPr>
              <w:t xml:space="preserve">(107,862,572)           </w:t>
            </w:r>
          </w:p>
        </w:tc>
        <w:tc>
          <w:tcPr>
            <w:tcW w:w="1710" w:type="dxa"/>
            <w:tcMar>
              <w:left w:w="115" w:type="dxa"/>
              <w:right w:w="43" w:type="dxa"/>
            </w:tcMar>
            <w:vAlign w:val="bottom"/>
          </w:tcPr>
          <w:p>
            <w:pPr>
              <w:widowControl w:val="0"/>
              <w:ind w:left="0" w:right="47" w:firstLine="0"/>
              <w:jc w:val="right"/>
              <w:rPr>
                <w:rFonts w:ascii="Arial" w:hAnsi="Arial" w:cs="Arial"/>
                <w:sz w:val="22"/>
                <w:szCs w:val="22"/>
              </w:rPr>
            </w:pPr>
            <w:r>
              <w:rPr>
                <w:rFonts w:ascii="Arial" w:hAnsi="Arial" w:cs="Arial"/>
                <w:sz w:val="22"/>
                <w:szCs w:val="22"/>
              </w:rPr>
              <w:t xml:space="preserve">(107,862,572)           </w:t>
            </w:r>
          </w:p>
        </w:tc>
      </w:tr>
      <w:tr>
        <w:trPr>
          <w:trHeight w:val="225"/>
          <w:jc w:val="center"/>
        </w:trPr>
        <w:tc>
          <w:tcPr>
            <w:tcW w:w="5040" w:type="dxa"/>
            <w:tcBorders>
              <w:bottom w:val="single" w:sz="4" w:space="0" w:color="auto"/>
            </w:tcBorders>
            <w:shd w:val="clear" w:color="auto" w:fill="auto"/>
            <w:vAlign w:val="bottom"/>
          </w:tcPr>
          <w:p>
            <w:pPr>
              <w:widowControl w:val="0"/>
              <w:ind w:left="252" w:right="-18" w:hanging="252"/>
              <w:jc w:val="both"/>
              <w:rPr>
                <w:rFonts w:ascii="Arial" w:hAnsi="Arial" w:cs="Arial"/>
                <w:sz w:val="22"/>
                <w:szCs w:val="22"/>
              </w:rPr>
            </w:pPr>
            <w:r>
              <w:rPr>
                <w:rFonts w:ascii="Arial" w:hAnsi="Arial" w:cs="Arial"/>
                <w:sz w:val="22"/>
                <w:szCs w:val="22"/>
              </w:rPr>
              <w:t>Direct cost, net of amortization</w:t>
            </w:r>
          </w:p>
        </w:tc>
        <w:tc>
          <w:tcPr>
            <w:tcW w:w="1890" w:type="dxa"/>
            <w:tcBorders>
              <w:bottom w:val="single" w:sz="4" w:space="0" w:color="auto"/>
            </w:tcBorders>
            <w:shd w:val="clear" w:color="auto" w:fill="auto"/>
            <w:tcMar>
              <w:left w:w="115" w:type="dxa"/>
              <w:right w:w="43" w:type="dxa"/>
            </w:tcMar>
            <w:vAlign w:val="bottom"/>
          </w:tcPr>
          <w:p>
            <w:pPr>
              <w:widowControl w:val="0"/>
              <w:ind w:left="0" w:right="47" w:firstLine="0"/>
              <w:jc w:val="right"/>
              <w:rPr>
                <w:rFonts w:ascii="Arial" w:hAnsi="Arial" w:cs="Arial"/>
                <w:b/>
                <w:sz w:val="22"/>
                <w:szCs w:val="22"/>
              </w:rPr>
            </w:pPr>
            <w:r>
              <w:rPr>
                <w:rFonts w:ascii="Arial" w:hAnsi="Arial" w:cs="Arial"/>
                <w:b/>
                <w:sz w:val="22"/>
                <w:szCs w:val="22"/>
              </w:rPr>
              <w:t>5,600,000</w:t>
            </w:r>
          </w:p>
        </w:tc>
        <w:tc>
          <w:tcPr>
            <w:tcW w:w="1710" w:type="dxa"/>
            <w:tcBorders>
              <w:bottom w:val="single" w:sz="4" w:space="0" w:color="auto"/>
            </w:tcBorders>
            <w:tcMar>
              <w:left w:w="115" w:type="dxa"/>
              <w:right w:w="43" w:type="dxa"/>
            </w:tcMar>
            <w:vAlign w:val="bottom"/>
          </w:tcPr>
          <w:p>
            <w:pPr>
              <w:widowControl w:val="0"/>
              <w:ind w:left="0" w:right="47" w:firstLine="0"/>
              <w:jc w:val="right"/>
              <w:rPr>
                <w:rFonts w:ascii="Arial" w:hAnsi="Arial" w:cs="Arial"/>
                <w:sz w:val="22"/>
                <w:szCs w:val="22"/>
              </w:rPr>
            </w:pPr>
            <w:r>
              <w:rPr>
                <w:rFonts w:ascii="Arial" w:hAnsi="Arial" w:cs="Arial"/>
                <w:sz w:val="22"/>
                <w:szCs w:val="22"/>
              </w:rPr>
              <w:t>5,856,000</w:t>
            </w:r>
          </w:p>
        </w:tc>
      </w:tr>
      <w:tr>
        <w:trPr>
          <w:trHeight w:val="360"/>
          <w:jc w:val="center"/>
        </w:trPr>
        <w:tc>
          <w:tcPr>
            <w:tcW w:w="5040" w:type="dxa"/>
            <w:tcBorders>
              <w:top w:val="single" w:sz="4" w:space="0" w:color="auto"/>
              <w:bottom w:val="double" w:sz="2" w:space="0" w:color="auto"/>
            </w:tcBorders>
            <w:shd w:val="clear" w:color="auto" w:fill="auto"/>
            <w:vAlign w:val="center"/>
          </w:tcPr>
          <w:p>
            <w:pPr>
              <w:widowControl w:val="0"/>
              <w:ind w:left="0" w:right="-108" w:firstLineChars="200" w:firstLine="442"/>
              <w:jc w:val="right"/>
              <w:rPr>
                <w:rFonts w:ascii="Arial" w:hAnsi="Arial" w:cs="Arial"/>
                <w:b/>
                <w:bCs/>
                <w:sz w:val="22"/>
                <w:szCs w:val="22"/>
              </w:rPr>
            </w:pPr>
          </w:p>
        </w:tc>
        <w:tc>
          <w:tcPr>
            <w:tcW w:w="1890" w:type="dxa"/>
            <w:tcBorders>
              <w:top w:val="single" w:sz="4" w:space="0" w:color="auto"/>
              <w:bottom w:val="double" w:sz="2"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20,398,979</w:t>
            </w:r>
          </w:p>
        </w:tc>
        <w:tc>
          <w:tcPr>
            <w:tcW w:w="1710" w:type="dxa"/>
            <w:tcBorders>
              <w:top w:val="single" w:sz="4" w:space="0" w:color="auto"/>
              <w:bottom w:val="double" w:sz="2"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20,654,979</w:t>
            </w:r>
          </w:p>
        </w:tc>
      </w:tr>
    </w:tbl>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In 2014, the System executed a contract with HMRID Property Inc. for the lease of a 40,000 sqm open space located in the System’s Industrial Park.  The term of the lease is for a period of 25 years for a monthly rental of P800 per square meter or a total of P32 million.  The System incurred a direct cost of P6.400 million for the lease of the said property which was added as part of the cost of the project to be amortized monthly over the term of the lease in accordance with PAS 17 - Leases.</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For 2017, the System recorded the contingent rent amounting to P13.132 million for the lease of two parcels of land in Aseana Business Park to PSMT Philippines, Inc.  </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The following is a schedule by years of minimum rentals on the System’s significant operating leases as of December 31, 2017:</w:t>
      </w:r>
    </w:p>
    <w:p>
      <w:pPr>
        <w:pStyle w:val="BodyText2"/>
        <w:widowControl w:val="0"/>
        <w:tabs>
          <w:tab w:val="clear" w:pos="432"/>
          <w:tab w:val="clear" w:pos="864"/>
        </w:tabs>
        <w:ind w:left="0" w:firstLine="0"/>
        <w:rPr>
          <w:rFonts w:ascii="Arial" w:hAnsi="Arial" w:cs="Arial"/>
          <w:szCs w:val="22"/>
        </w:rPr>
      </w:pPr>
    </w:p>
    <w:tbl>
      <w:tblPr>
        <w:tblW w:w="8618" w:type="dxa"/>
        <w:jc w:val="center"/>
        <w:tblLayout w:type="fixed"/>
        <w:tblLook w:val="0000" w:firstRow="0" w:lastRow="0" w:firstColumn="0" w:lastColumn="0" w:noHBand="0" w:noVBand="0"/>
      </w:tblPr>
      <w:tblGrid>
        <w:gridCol w:w="3150"/>
        <w:gridCol w:w="1822"/>
        <w:gridCol w:w="1823"/>
        <w:gridCol w:w="1823"/>
      </w:tblGrid>
      <w:tr>
        <w:trPr>
          <w:trHeight w:val="346"/>
          <w:tblHeader/>
          <w:jc w:val="center"/>
        </w:trPr>
        <w:tc>
          <w:tcPr>
            <w:tcW w:w="3150" w:type="dxa"/>
            <w:tcBorders>
              <w:top w:val="single" w:sz="4" w:space="0" w:color="auto"/>
              <w:bottom w:val="single" w:sz="4" w:space="0" w:color="auto"/>
            </w:tcBorders>
            <w:shd w:val="clear" w:color="auto" w:fill="auto"/>
            <w:vAlign w:val="center"/>
          </w:tcPr>
          <w:p>
            <w:pPr>
              <w:widowControl w:val="0"/>
              <w:ind w:left="0" w:right="-108" w:firstLine="0"/>
              <w:rPr>
                <w:rFonts w:ascii="Arial" w:hAnsi="Arial" w:cs="Arial"/>
                <w:b/>
                <w:bCs/>
                <w:sz w:val="22"/>
                <w:szCs w:val="22"/>
              </w:rPr>
            </w:pPr>
          </w:p>
        </w:tc>
        <w:tc>
          <w:tcPr>
            <w:tcW w:w="1822"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HMRID</w:t>
            </w:r>
          </w:p>
        </w:tc>
        <w:tc>
          <w:tcPr>
            <w:tcW w:w="1823" w:type="dxa"/>
            <w:tcBorders>
              <w:top w:val="single" w:sz="4" w:space="0" w:color="auto"/>
              <w:bottom w:val="single" w:sz="4" w:space="0" w:color="auto"/>
            </w:tcBorders>
            <w:vAlign w:val="bottom"/>
          </w:tcPr>
          <w:p>
            <w:pPr>
              <w:widowControl w:val="0"/>
              <w:ind w:left="0" w:firstLine="0"/>
              <w:jc w:val="center"/>
              <w:rPr>
                <w:rFonts w:ascii="Arial" w:hAnsi="Arial" w:cs="Arial"/>
                <w:b/>
                <w:bCs/>
                <w:sz w:val="22"/>
                <w:szCs w:val="22"/>
              </w:rPr>
            </w:pPr>
            <w:r>
              <w:rPr>
                <w:rFonts w:ascii="Arial" w:hAnsi="Arial" w:cs="Arial"/>
                <w:b/>
                <w:bCs/>
                <w:sz w:val="22"/>
                <w:szCs w:val="22"/>
              </w:rPr>
              <w:t>PSMT</w:t>
            </w:r>
          </w:p>
        </w:tc>
        <w:tc>
          <w:tcPr>
            <w:tcW w:w="1823" w:type="dxa"/>
            <w:tcBorders>
              <w:top w:val="single" w:sz="4" w:space="0" w:color="auto"/>
              <w:bottom w:val="single" w:sz="4" w:space="0" w:color="auto"/>
            </w:tcBorders>
            <w:vAlign w:val="bottom"/>
          </w:tcPr>
          <w:p>
            <w:pPr>
              <w:widowControl w:val="0"/>
              <w:ind w:left="0" w:firstLine="0"/>
              <w:jc w:val="center"/>
              <w:rPr>
                <w:rFonts w:ascii="Arial" w:hAnsi="Arial" w:cs="Arial"/>
                <w:b/>
                <w:bCs/>
                <w:sz w:val="22"/>
                <w:szCs w:val="22"/>
              </w:rPr>
            </w:pPr>
            <w:r>
              <w:rPr>
                <w:rFonts w:ascii="Arial" w:hAnsi="Arial" w:cs="Arial"/>
                <w:b/>
                <w:bCs/>
                <w:sz w:val="22"/>
                <w:szCs w:val="22"/>
              </w:rPr>
              <w:t>Total</w:t>
            </w:r>
          </w:p>
        </w:tc>
      </w:tr>
      <w:tr>
        <w:trPr>
          <w:trHeight w:val="180"/>
          <w:jc w:val="center"/>
        </w:trPr>
        <w:tc>
          <w:tcPr>
            <w:tcW w:w="3150" w:type="dxa"/>
            <w:shd w:val="clear" w:color="auto" w:fill="auto"/>
            <w:vAlign w:val="bottom"/>
          </w:tcPr>
          <w:p>
            <w:pPr>
              <w:widowControl w:val="0"/>
              <w:ind w:left="0" w:right="-108" w:firstLine="0"/>
              <w:jc w:val="center"/>
              <w:rPr>
                <w:rFonts w:ascii="Arial" w:hAnsi="Arial" w:cs="Arial"/>
                <w:sz w:val="12"/>
                <w:szCs w:val="10"/>
              </w:rPr>
            </w:pPr>
          </w:p>
          <w:p>
            <w:pPr>
              <w:widowControl w:val="0"/>
              <w:ind w:left="0" w:right="-108" w:firstLine="0"/>
              <w:jc w:val="center"/>
              <w:rPr>
                <w:rFonts w:ascii="Arial" w:hAnsi="Arial" w:cs="Arial"/>
                <w:sz w:val="22"/>
                <w:szCs w:val="22"/>
              </w:rPr>
            </w:pPr>
            <w:r>
              <w:rPr>
                <w:rFonts w:ascii="Arial" w:hAnsi="Arial" w:cs="Arial"/>
                <w:sz w:val="22"/>
                <w:szCs w:val="22"/>
              </w:rPr>
              <w:t>2018</w:t>
            </w:r>
          </w:p>
        </w:tc>
        <w:tc>
          <w:tcPr>
            <w:tcW w:w="1822"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41,088,000</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3,057,784</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44,145,784</w:t>
            </w:r>
          </w:p>
        </w:tc>
      </w:tr>
      <w:tr>
        <w:trPr>
          <w:trHeight w:val="135"/>
          <w:jc w:val="center"/>
        </w:trPr>
        <w:tc>
          <w:tcPr>
            <w:tcW w:w="3150" w:type="dxa"/>
            <w:shd w:val="clear" w:color="auto" w:fill="auto"/>
            <w:vAlign w:val="bottom"/>
          </w:tcPr>
          <w:p>
            <w:pPr>
              <w:widowControl w:val="0"/>
              <w:ind w:left="0" w:right="-108" w:firstLine="0"/>
              <w:jc w:val="center"/>
              <w:rPr>
                <w:rFonts w:ascii="Arial" w:hAnsi="Arial" w:cs="Arial"/>
                <w:sz w:val="22"/>
                <w:szCs w:val="22"/>
              </w:rPr>
            </w:pPr>
            <w:r>
              <w:rPr>
                <w:rFonts w:ascii="Arial" w:hAnsi="Arial" w:cs="Arial"/>
                <w:sz w:val="22"/>
                <w:szCs w:val="22"/>
              </w:rPr>
              <w:t>2019</w:t>
            </w:r>
          </w:p>
        </w:tc>
        <w:tc>
          <w:tcPr>
            <w:tcW w:w="1822"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43,724,480</w:t>
            </w:r>
          </w:p>
        </w:tc>
        <w:tc>
          <w:tcPr>
            <w:tcW w:w="1823" w:type="dxa"/>
          </w:tcPr>
          <w:p>
            <w:pPr>
              <w:jc w:val="right"/>
            </w:pPr>
            <w:r>
              <w:rPr>
                <w:rFonts w:ascii="Arial" w:hAnsi="Arial" w:cs="Arial"/>
                <w:sz w:val="22"/>
                <w:szCs w:val="22"/>
              </w:rPr>
              <w:t>3,057,784</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46,782,264</w:t>
            </w:r>
          </w:p>
        </w:tc>
      </w:tr>
      <w:tr>
        <w:trPr>
          <w:trHeight w:val="162"/>
          <w:jc w:val="center"/>
        </w:trPr>
        <w:tc>
          <w:tcPr>
            <w:tcW w:w="3150" w:type="dxa"/>
            <w:shd w:val="clear" w:color="auto" w:fill="auto"/>
            <w:vAlign w:val="bottom"/>
          </w:tcPr>
          <w:p>
            <w:pPr>
              <w:widowControl w:val="0"/>
              <w:ind w:left="0" w:right="-108" w:firstLine="0"/>
              <w:jc w:val="center"/>
              <w:rPr>
                <w:rFonts w:ascii="Arial" w:hAnsi="Arial" w:cs="Arial"/>
                <w:sz w:val="22"/>
                <w:szCs w:val="22"/>
              </w:rPr>
            </w:pPr>
            <w:r>
              <w:rPr>
                <w:rFonts w:ascii="Arial" w:hAnsi="Arial" w:cs="Arial"/>
                <w:sz w:val="22"/>
                <w:szCs w:val="22"/>
              </w:rPr>
              <w:t>2020</w:t>
            </w:r>
          </w:p>
        </w:tc>
        <w:tc>
          <w:tcPr>
            <w:tcW w:w="1822"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43,964,160</w:t>
            </w:r>
          </w:p>
        </w:tc>
        <w:tc>
          <w:tcPr>
            <w:tcW w:w="1823" w:type="dxa"/>
          </w:tcPr>
          <w:p>
            <w:pPr>
              <w:jc w:val="right"/>
            </w:pPr>
            <w:r>
              <w:rPr>
                <w:rFonts w:ascii="Arial" w:hAnsi="Arial" w:cs="Arial"/>
                <w:sz w:val="22"/>
                <w:szCs w:val="22"/>
              </w:rPr>
              <w:t>3,057,784</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47,021,944</w:t>
            </w:r>
          </w:p>
        </w:tc>
      </w:tr>
      <w:tr>
        <w:trPr>
          <w:trHeight w:val="162"/>
          <w:jc w:val="center"/>
        </w:trPr>
        <w:tc>
          <w:tcPr>
            <w:tcW w:w="3150" w:type="dxa"/>
            <w:shd w:val="clear" w:color="auto" w:fill="auto"/>
            <w:vAlign w:val="bottom"/>
          </w:tcPr>
          <w:p>
            <w:pPr>
              <w:widowControl w:val="0"/>
              <w:ind w:left="0" w:right="-108" w:firstLine="0"/>
              <w:jc w:val="center"/>
              <w:rPr>
                <w:rFonts w:ascii="Arial" w:hAnsi="Arial" w:cs="Arial"/>
                <w:sz w:val="22"/>
                <w:szCs w:val="22"/>
              </w:rPr>
            </w:pPr>
            <w:r>
              <w:rPr>
                <w:rFonts w:ascii="Arial" w:hAnsi="Arial" w:cs="Arial"/>
                <w:sz w:val="22"/>
                <w:szCs w:val="22"/>
              </w:rPr>
              <w:t>2021</w:t>
            </w:r>
          </w:p>
        </w:tc>
        <w:tc>
          <w:tcPr>
            <w:tcW w:w="1822"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46,785,194</w:t>
            </w:r>
          </w:p>
        </w:tc>
        <w:tc>
          <w:tcPr>
            <w:tcW w:w="1823" w:type="dxa"/>
          </w:tcPr>
          <w:p>
            <w:pPr>
              <w:jc w:val="right"/>
            </w:pPr>
            <w:r>
              <w:rPr>
                <w:rFonts w:ascii="Arial" w:hAnsi="Arial" w:cs="Arial"/>
                <w:sz w:val="22"/>
                <w:szCs w:val="22"/>
              </w:rPr>
              <w:t>3,057,784</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49,842,978</w:t>
            </w:r>
          </w:p>
        </w:tc>
      </w:tr>
      <w:tr>
        <w:trPr>
          <w:trHeight w:val="162"/>
          <w:jc w:val="center"/>
        </w:trPr>
        <w:tc>
          <w:tcPr>
            <w:tcW w:w="3150" w:type="dxa"/>
            <w:shd w:val="clear" w:color="auto" w:fill="auto"/>
            <w:vAlign w:val="bottom"/>
          </w:tcPr>
          <w:p>
            <w:pPr>
              <w:widowControl w:val="0"/>
              <w:ind w:left="0" w:right="-108" w:firstLine="0"/>
              <w:jc w:val="center"/>
              <w:rPr>
                <w:rFonts w:ascii="Arial" w:hAnsi="Arial" w:cs="Arial"/>
                <w:sz w:val="22"/>
                <w:szCs w:val="22"/>
              </w:rPr>
            </w:pPr>
            <w:r>
              <w:rPr>
                <w:rFonts w:ascii="Arial" w:hAnsi="Arial" w:cs="Arial"/>
                <w:sz w:val="22"/>
                <w:szCs w:val="22"/>
              </w:rPr>
              <w:t>2022</w:t>
            </w:r>
          </w:p>
        </w:tc>
        <w:tc>
          <w:tcPr>
            <w:tcW w:w="1822"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47,041,651</w:t>
            </w:r>
          </w:p>
        </w:tc>
        <w:tc>
          <w:tcPr>
            <w:tcW w:w="1823" w:type="dxa"/>
          </w:tcPr>
          <w:p>
            <w:pPr>
              <w:jc w:val="right"/>
            </w:pPr>
            <w:r>
              <w:rPr>
                <w:rFonts w:ascii="Arial" w:hAnsi="Arial" w:cs="Arial"/>
                <w:sz w:val="22"/>
                <w:szCs w:val="22"/>
              </w:rPr>
              <w:t>3,057,784</w:t>
            </w:r>
          </w:p>
        </w:tc>
        <w:tc>
          <w:tcPr>
            <w:tcW w:w="1823" w:type="dxa"/>
            <w:vAlign w:val="bottom"/>
          </w:tcPr>
          <w:p>
            <w:pPr>
              <w:widowControl w:val="0"/>
              <w:ind w:left="0" w:firstLine="0"/>
              <w:jc w:val="right"/>
              <w:rPr>
                <w:rFonts w:ascii="Arial" w:hAnsi="Arial" w:cs="Arial"/>
                <w:sz w:val="22"/>
                <w:szCs w:val="22"/>
              </w:rPr>
            </w:pPr>
            <w:r>
              <w:rPr>
                <w:rFonts w:ascii="Arial" w:hAnsi="Arial" w:cs="Arial"/>
                <w:sz w:val="22"/>
                <w:szCs w:val="22"/>
              </w:rPr>
              <w:t>50,099,435</w:t>
            </w:r>
          </w:p>
        </w:tc>
      </w:tr>
      <w:tr>
        <w:trPr>
          <w:trHeight w:val="162"/>
          <w:jc w:val="center"/>
        </w:trPr>
        <w:tc>
          <w:tcPr>
            <w:tcW w:w="3150" w:type="dxa"/>
            <w:tcBorders>
              <w:bottom w:val="single" w:sz="4" w:space="0" w:color="auto"/>
            </w:tcBorders>
            <w:shd w:val="clear" w:color="auto" w:fill="auto"/>
            <w:vAlign w:val="bottom"/>
          </w:tcPr>
          <w:p>
            <w:pPr>
              <w:widowControl w:val="0"/>
              <w:ind w:left="0" w:right="-108" w:firstLine="0"/>
              <w:jc w:val="center"/>
              <w:rPr>
                <w:rFonts w:ascii="Arial" w:hAnsi="Arial" w:cs="Arial"/>
                <w:sz w:val="22"/>
                <w:szCs w:val="22"/>
              </w:rPr>
            </w:pPr>
            <w:r>
              <w:rPr>
                <w:rFonts w:ascii="Arial" w:hAnsi="Arial" w:cs="Arial"/>
                <w:sz w:val="22"/>
                <w:szCs w:val="22"/>
              </w:rPr>
              <w:t>Later years</w:t>
            </w:r>
          </w:p>
        </w:tc>
        <w:tc>
          <w:tcPr>
            <w:tcW w:w="1822" w:type="dxa"/>
            <w:tcBorders>
              <w:bottom w:val="single" w:sz="4" w:space="0" w:color="auto"/>
            </w:tcBorders>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 xml:space="preserve">  1,123,208,721</w:t>
            </w:r>
          </w:p>
        </w:tc>
        <w:tc>
          <w:tcPr>
            <w:tcW w:w="1823"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3,057,783</w:t>
            </w:r>
          </w:p>
        </w:tc>
        <w:tc>
          <w:tcPr>
            <w:tcW w:w="1823"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1,126,266,504</w:t>
            </w:r>
          </w:p>
        </w:tc>
      </w:tr>
      <w:tr>
        <w:trPr>
          <w:trHeight w:val="346"/>
          <w:jc w:val="center"/>
        </w:trPr>
        <w:tc>
          <w:tcPr>
            <w:tcW w:w="3150" w:type="dxa"/>
            <w:tcBorders>
              <w:top w:val="single" w:sz="4" w:space="0" w:color="auto"/>
              <w:bottom w:val="double" w:sz="4" w:space="0" w:color="auto"/>
            </w:tcBorders>
            <w:shd w:val="clear" w:color="auto" w:fill="auto"/>
            <w:vAlign w:val="center"/>
          </w:tcPr>
          <w:p>
            <w:pPr>
              <w:widowControl w:val="0"/>
              <w:ind w:left="0" w:right="-108" w:firstLine="0"/>
              <w:rPr>
                <w:rFonts w:ascii="Arial" w:hAnsi="Arial" w:cs="Arial"/>
                <w:sz w:val="22"/>
                <w:szCs w:val="22"/>
              </w:rPr>
            </w:pPr>
          </w:p>
        </w:tc>
        <w:tc>
          <w:tcPr>
            <w:tcW w:w="1822"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1,345,812,206</w:t>
            </w:r>
          </w:p>
        </w:tc>
        <w:tc>
          <w:tcPr>
            <w:tcW w:w="1823" w:type="dxa"/>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18,346,703</w:t>
            </w:r>
          </w:p>
        </w:tc>
        <w:tc>
          <w:tcPr>
            <w:tcW w:w="1823" w:type="dxa"/>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1,364,158,909</w:t>
            </w:r>
          </w:p>
        </w:tc>
      </w:tr>
    </w:tbl>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The System used the year-end exchange rate of P49.923 in estimating the minimum future rental payments for PSMT.</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Future rentals for PSMT starting second quarter of 2018 will not be realized anymore since the property was disposed in April 2018.  </w:t>
      </w:r>
    </w:p>
    <w:p>
      <w:pPr>
        <w:ind w:left="0" w:firstLine="0"/>
        <w:rPr>
          <w:rFonts w:ascii="Arial" w:hAnsi="Arial" w:cs="Arial"/>
          <w:b/>
          <w:sz w:val="22"/>
          <w:szCs w:val="22"/>
        </w:rPr>
      </w:pPr>
    </w:p>
    <w:p>
      <w:pPr>
        <w:ind w:left="0" w:firstLine="0"/>
        <w:rPr>
          <w:rFonts w:ascii="Arial" w:hAnsi="Arial" w:cs="Arial"/>
          <w:b/>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PROPERTY AND EQUIPMENT - NET</w:t>
      </w:r>
    </w:p>
    <w:p>
      <w:pPr>
        <w:pStyle w:val="ListContinue"/>
        <w:widowControl w:val="0"/>
        <w:numPr>
          <w:ilvl w:val="12"/>
          <w:numId w:val="0"/>
        </w:numPr>
        <w:spacing w:after="0"/>
        <w:rPr>
          <w:rFonts w:ascii="Arial" w:hAnsi="Arial" w:cs="Arial"/>
          <w:szCs w:val="22"/>
        </w:rPr>
      </w:pPr>
    </w:p>
    <w:p>
      <w:pPr>
        <w:pStyle w:val="ListContinue"/>
        <w:widowControl w:val="0"/>
        <w:numPr>
          <w:ilvl w:val="12"/>
          <w:numId w:val="0"/>
        </w:numPr>
        <w:spacing w:after="0"/>
        <w:rPr>
          <w:rFonts w:ascii="Arial" w:hAnsi="Arial" w:cs="Arial"/>
          <w:szCs w:val="22"/>
        </w:rPr>
      </w:pPr>
      <w:r>
        <w:rPr>
          <w:rFonts w:ascii="Arial" w:hAnsi="Arial" w:cs="Arial"/>
          <w:szCs w:val="22"/>
        </w:rPr>
        <w:t>This account consists of the following:</w:t>
      </w:r>
    </w:p>
    <w:p>
      <w:pPr>
        <w:pStyle w:val="ListContinue"/>
        <w:widowControl w:val="0"/>
        <w:numPr>
          <w:ilvl w:val="12"/>
          <w:numId w:val="0"/>
        </w:numPr>
        <w:spacing w:after="0"/>
        <w:rPr>
          <w:rFonts w:ascii="Arial" w:hAnsi="Arial" w:cs="Arial"/>
          <w:b/>
          <w:szCs w:val="22"/>
        </w:rPr>
      </w:pPr>
    </w:p>
    <w:tbl>
      <w:tblPr>
        <w:tblW w:w="8675" w:type="dxa"/>
        <w:jc w:val="center"/>
        <w:tblLayout w:type="fixed"/>
        <w:tblLook w:val="0000" w:firstRow="0" w:lastRow="0" w:firstColumn="0" w:lastColumn="0" w:noHBand="0" w:noVBand="0"/>
      </w:tblPr>
      <w:tblGrid>
        <w:gridCol w:w="2256"/>
        <w:gridCol w:w="1325"/>
        <w:gridCol w:w="1184"/>
        <w:gridCol w:w="1426"/>
        <w:gridCol w:w="1260"/>
        <w:gridCol w:w="1224"/>
      </w:tblGrid>
      <w:tr>
        <w:trPr>
          <w:trHeight w:val="504"/>
          <w:tblHeader/>
          <w:jc w:val="center"/>
        </w:trPr>
        <w:tc>
          <w:tcPr>
            <w:tcW w:w="2256"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7"/>
                <w:szCs w:val="17"/>
              </w:rPr>
            </w:pPr>
            <w:r>
              <w:rPr>
                <w:rFonts w:ascii="Arial" w:hAnsi="Arial" w:cs="Arial"/>
                <w:b/>
                <w:bCs/>
                <w:sz w:val="17"/>
                <w:szCs w:val="17"/>
              </w:rPr>
              <w:t> </w:t>
            </w:r>
          </w:p>
        </w:tc>
        <w:tc>
          <w:tcPr>
            <w:tcW w:w="1325"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6"/>
                <w:szCs w:val="16"/>
              </w:rPr>
            </w:pPr>
            <w:r>
              <w:rPr>
                <w:rFonts w:ascii="Arial" w:hAnsi="Arial" w:cs="Arial"/>
                <w:b/>
                <w:bCs/>
                <w:sz w:val="16"/>
                <w:szCs w:val="16"/>
              </w:rPr>
              <w:t>Building Improvements</w:t>
            </w:r>
          </w:p>
        </w:tc>
        <w:tc>
          <w:tcPr>
            <w:tcW w:w="1184"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7"/>
                <w:szCs w:val="17"/>
              </w:rPr>
            </w:pPr>
            <w:r>
              <w:rPr>
                <w:rFonts w:ascii="Arial" w:hAnsi="Arial" w:cs="Arial"/>
                <w:b/>
                <w:bCs/>
                <w:sz w:val="17"/>
                <w:szCs w:val="17"/>
              </w:rPr>
              <w:t>Office Equipment</w:t>
            </w:r>
          </w:p>
        </w:tc>
        <w:tc>
          <w:tcPr>
            <w:tcW w:w="1426"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7"/>
                <w:szCs w:val="17"/>
              </w:rPr>
            </w:pPr>
            <w:r>
              <w:rPr>
                <w:rFonts w:ascii="Arial" w:hAnsi="Arial" w:cs="Arial"/>
                <w:b/>
                <w:bCs/>
                <w:sz w:val="17"/>
                <w:szCs w:val="17"/>
              </w:rPr>
              <w:t>Transportation Equipment</w:t>
            </w:r>
          </w:p>
        </w:tc>
        <w:tc>
          <w:tcPr>
            <w:tcW w:w="126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7"/>
                <w:szCs w:val="17"/>
              </w:rPr>
            </w:pPr>
            <w:r>
              <w:rPr>
                <w:rFonts w:ascii="Arial" w:hAnsi="Arial" w:cs="Arial"/>
                <w:b/>
                <w:bCs/>
                <w:sz w:val="17"/>
                <w:szCs w:val="17"/>
              </w:rPr>
              <w:t>Furniture</w:t>
            </w:r>
          </w:p>
          <w:p>
            <w:pPr>
              <w:widowControl w:val="0"/>
              <w:ind w:left="0" w:firstLine="0"/>
              <w:jc w:val="center"/>
              <w:rPr>
                <w:rFonts w:ascii="Arial" w:hAnsi="Arial" w:cs="Arial"/>
                <w:b/>
                <w:bCs/>
                <w:sz w:val="17"/>
                <w:szCs w:val="17"/>
              </w:rPr>
            </w:pPr>
            <w:r>
              <w:rPr>
                <w:rFonts w:ascii="Arial" w:hAnsi="Arial" w:cs="Arial"/>
                <w:b/>
                <w:bCs/>
                <w:sz w:val="17"/>
                <w:szCs w:val="17"/>
              </w:rPr>
              <w:t>and Fixtures</w:t>
            </w:r>
          </w:p>
        </w:tc>
        <w:tc>
          <w:tcPr>
            <w:tcW w:w="1224"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17"/>
                <w:szCs w:val="17"/>
              </w:rPr>
            </w:pPr>
            <w:r>
              <w:rPr>
                <w:rFonts w:ascii="Arial" w:hAnsi="Arial" w:cs="Arial"/>
                <w:b/>
                <w:bCs/>
                <w:sz w:val="17"/>
                <w:szCs w:val="17"/>
              </w:rPr>
              <w:t>Total</w:t>
            </w:r>
          </w:p>
        </w:tc>
      </w:tr>
      <w:tr>
        <w:trPr>
          <w:trHeight w:val="70"/>
          <w:jc w:val="center"/>
        </w:trPr>
        <w:tc>
          <w:tcPr>
            <w:tcW w:w="2256" w:type="dxa"/>
            <w:tcBorders>
              <w:top w:val="single" w:sz="4" w:space="0" w:color="auto"/>
            </w:tcBorders>
            <w:shd w:val="clear" w:color="auto" w:fill="auto"/>
            <w:vAlign w:val="bottom"/>
          </w:tcPr>
          <w:p>
            <w:pPr>
              <w:widowControl w:val="0"/>
              <w:ind w:left="0" w:firstLine="0"/>
              <w:rPr>
                <w:rFonts w:ascii="Arial" w:hAnsi="Arial" w:cs="Arial"/>
                <w:b/>
                <w:sz w:val="12"/>
                <w:szCs w:val="17"/>
              </w:rPr>
            </w:pPr>
          </w:p>
          <w:p>
            <w:pPr>
              <w:widowControl w:val="0"/>
              <w:ind w:left="0" w:firstLine="0"/>
              <w:rPr>
                <w:rFonts w:ascii="Arial" w:hAnsi="Arial" w:cs="Arial"/>
                <w:b/>
                <w:sz w:val="17"/>
                <w:szCs w:val="17"/>
              </w:rPr>
            </w:pPr>
            <w:r>
              <w:rPr>
                <w:rFonts w:ascii="Arial" w:hAnsi="Arial" w:cs="Arial"/>
                <w:b/>
                <w:sz w:val="17"/>
                <w:szCs w:val="17"/>
              </w:rPr>
              <w:t>Cost</w:t>
            </w:r>
          </w:p>
        </w:tc>
        <w:tc>
          <w:tcPr>
            <w:tcW w:w="1325" w:type="dxa"/>
            <w:tcBorders>
              <w:top w:val="single" w:sz="4" w:space="0" w:color="auto"/>
            </w:tcBorders>
            <w:shd w:val="clear" w:color="auto" w:fill="auto"/>
            <w:vAlign w:val="bottom"/>
          </w:tcPr>
          <w:p>
            <w:pPr>
              <w:widowControl w:val="0"/>
              <w:ind w:left="0" w:firstLine="0"/>
              <w:rPr>
                <w:rFonts w:ascii="Arial" w:hAnsi="Arial" w:cs="Arial"/>
                <w:sz w:val="17"/>
                <w:szCs w:val="17"/>
              </w:rPr>
            </w:pPr>
          </w:p>
        </w:tc>
        <w:tc>
          <w:tcPr>
            <w:tcW w:w="1184" w:type="dxa"/>
            <w:tcBorders>
              <w:top w:val="single" w:sz="4" w:space="0" w:color="auto"/>
            </w:tcBorders>
            <w:shd w:val="clear" w:color="auto" w:fill="auto"/>
            <w:vAlign w:val="bottom"/>
          </w:tcPr>
          <w:p>
            <w:pPr>
              <w:widowControl w:val="0"/>
              <w:ind w:left="0" w:firstLine="0"/>
              <w:rPr>
                <w:rFonts w:ascii="Arial" w:hAnsi="Arial" w:cs="Arial"/>
                <w:sz w:val="17"/>
                <w:szCs w:val="17"/>
              </w:rPr>
            </w:pPr>
          </w:p>
        </w:tc>
        <w:tc>
          <w:tcPr>
            <w:tcW w:w="1426" w:type="dxa"/>
            <w:tcBorders>
              <w:top w:val="single" w:sz="4" w:space="0" w:color="auto"/>
            </w:tcBorders>
            <w:shd w:val="clear" w:color="auto" w:fill="auto"/>
            <w:vAlign w:val="bottom"/>
          </w:tcPr>
          <w:p>
            <w:pPr>
              <w:widowControl w:val="0"/>
              <w:ind w:left="0" w:firstLine="0"/>
              <w:rPr>
                <w:rFonts w:ascii="Arial" w:hAnsi="Arial" w:cs="Arial"/>
                <w:sz w:val="17"/>
                <w:szCs w:val="17"/>
              </w:rPr>
            </w:pPr>
          </w:p>
        </w:tc>
        <w:tc>
          <w:tcPr>
            <w:tcW w:w="1260" w:type="dxa"/>
            <w:tcBorders>
              <w:top w:val="single" w:sz="4" w:space="0" w:color="auto"/>
            </w:tcBorders>
            <w:shd w:val="clear" w:color="auto" w:fill="auto"/>
            <w:vAlign w:val="bottom"/>
          </w:tcPr>
          <w:p>
            <w:pPr>
              <w:widowControl w:val="0"/>
              <w:ind w:left="0" w:firstLine="0"/>
              <w:rPr>
                <w:rFonts w:ascii="Arial" w:hAnsi="Arial" w:cs="Arial"/>
                <w:sz w:val="17"/>
                <w:szCs w:val="17"/>
              </w:rPr>
            </w:pPr>
          </w:p>
        </w:tc>
        <w:tc>
          <w:tcPr>
            <w:tcW w:w="1224" w:type="dxa"/>
            <w:tcBorders>
              <w:top w:val="single" w:sz="4" w:space="0" w:color="auto"/>
            </w:tcBorders>
            <w:shd w:val="clear" w:color="auto" w:fill="auto"/>
            <w:vAlign w:val="bottom"/>
          </w:tcPr>
          <w:p>
            <w:pPr>
              <w:widowControl w:val="0"/>
              <w:ind w:left="0" w:firstLine="0"/>
              <w:rPr>
                <w:rFonts w:ascii="Arial" w:hAnsi="Arial" w:cs="Arial"/>
                <w:sz w:val="17"/>
                <w:szCs w:val="17"/>
              </w:rPr>
            </w:pPr>
          </w:p>
        </w:tc>
      </w:tr>
      <w:tr>
        <w:trPr>
          <w:trHeight w:val="80"/>
          <w:jc w:val="center"/>
        </w:trPr>
        <w:tc>
          <w:tcPr>
            <w:tcW w:w="2256" w:type="dxa"/>
            <w:shd w:val="clear" w:color="auto" w:fill="auto"/>
            <w:vAlign w:val="bottom"/>
          </w:tcPr>
          <w:p>
            <w:pPr>
              <w:widowControl w:val="0"/>
              <w:ind w:left="0" w:firstLine="0"/>
              <w:rPr>
                <w:rFonts w:ascii="Arial" w:hAnsi="Arial" w:cs="Arial"/>
                <w:sz w:val="17"/>
                <w:szCs w:val="17"/>
              </w:rPr>
            </w:pPr>
            <w:r>
              <w:rPr>
                <w:rFonts w:ascii="Arial" w:hAnsi="Arial" w:cs="Arial"/>
                <w:sz w:val="17"/>
                <w:szCs w:val="17"/>
              </w:rPr>
              <w:t>Balance, 1/1/2017</w:t>
            </w:r>
          </w:p>
        </w:tc>
        <w:tc>
          <w:tcPr>
            <w:tcW w:w="1325"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91,429,579</w:t>
            </w:r>
          </w:p>
        </w:tc>
        <w:tc>
          <w:tcPr>
            <w:tcW w:w="1184"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149,217,182</w:t>
            </w:r>
          </w:p>
        </w:tc>
        <w:tc>
          <w:tcPr>
            <w:tcW w:w="1426"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8,283,853</w:t>
            </w:r>
          </w:p>
        </w:tc>
        <w:tc>
          <w:tcPr>
            <w:tcW w:w="1260"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15,714,472</w:t>
            </w:r>
          </w:p>
        </w:tc>
        <w:tc>
          <w:tcPr>
            <w:tcW w:w="1224"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264,645,086</w:t>
            </w:r>
          </w:p>
        </w:tc>
      </w:tr>
      <w:tr>
        <w:trPr>
          <w:trHeight w:val="80"/>
          <w:jc w:val="center"/>
        </w:trPr>
        <w:tc>
          <w:tcPr>
            <w:tcW w:w="2256" w:type="dxa"/>
            <w:tcBorders>
              <w:bottom w:val="single" w:sz="4" w:space="0" w:color="auto"/>
            </w:tcBorders>
            <w:shd w:val="clear" w:color="auto" w:fill="auto"/>
            <w:vAlign w:val="bottom"/>
          </w:tcPr>
          <w:p>
            <w:pPr>
              <w:widowControl w:val="0"/>
              <w:ind w:left="0" w:firstLine="0"/>
              <w:rPr>
                <w:rFonts w:ascii="Arial" w:hAnsi="Arial" w:cs="Arial"/>
                <w:sz w:val="17"/>
                <w:szCs w:val="17"/>
              </w:rPr>
            </w:pPr>
            <w:r>
              <w:rPr>
                <w:rFonts w:ascii="Arial" w:hAnsi="Arial" w:cs="Arial"/>
                <w:sz w:val="17"/>
                <w:szCs w:val="17"/>
              </w:rPr>
              <w:t>Additions (Deductions)</w:t>
            </w:r>
          </w:p>
        </w:tc>
        <w:tc>
          <w:tcPr>
            <w:tcW w:w="1325" w:type="dxa"/>
            <w:tcBorders>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w:t>
            </w:r>
          </w:p>
        </w:tc>
        <w:tc>
          <w:tcPr>
            <w:tcW w:w="1184" w:type="dxa"/>
            <w:tcBorders>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49,909</w:t>
            </w:r>
          </w:p>
        </w:tc>
        <w:tc>
          <w:tcPr>
            <w:tcW w:w="1426" w:type="dxa"/>
            <w:tcBorders>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w:t>
            </w:r>
          </w:p>
        </w:tc>
        <w:tc>
          <w:tcPr>
            <w:tcW w:w="1260" w:type="dxa"/>
            <w:tcBorders>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159,294</w:t>
            </w:r>
          </w:p>
        </w:tc>
        <w:tc>
          <w:tcPr>
            <w:tcW w:w="1224" w:type="dxa"/>
            <w:tcBorders>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209,203</w:t>
            </w:r>
          </w:p>
        </w:tc>
      </w:tr>
      <w:tr>
        <w:trPr>
          <w:trHeight w:val="216"/>
          <w:jc w:val="center"/>
        </w:trPr>
        <w:tc>
          <w:tcPr>
            <w:tcW w:w="2256"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17"/>
                <w:szCs w:val="17"/>
              </w:rPr>
            </w:pPr>
            <w:r>
              <w:rPr>
                <w:rFonts w:ascii="Arial" w:hAnsi="Arial" w:cs="Arial"/>
                <w:sz w:val="17"/>
                <w:szCs w:val="17"/>
              </w:rPr>
              <w:t>Balance, 12/31/2017</w:t>
            </w:r>
          </w:p>
        </w:tc>
        <w:tc>
          <w:tcPr>
            <w:tcW w:w="1325" w:type="dxa"/>
            <w:tcBorders>
              <w:top w:val="single" w:sz="4" w:space="0" w:color="auto"/>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91,429,579</w:t>
            </w:r>
          </w:p>
        </w:tc>
        <w:tc>
          <w:tcPr>
            <w:tcW w:w="1184" w:type="dxa"/>
            <w:tcBorders>
              <w:top w:val="single" w:sz="4" w:space="0" w:color="auto"/>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149,267,091</w:t>
            </w:r>
          </w:p>
        </w:tc>
        <w:tc>
          <w:tcPr>
            <w:tcW w:w="1426" w:type="dxa"/>
            <w:tcBorders>
              <w:top w:val="single" w:sz="4" w:space="0" w:color="auto"/>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8,283,853</w:t>
            </w:r>
          </w:p>
        </w:tc>
        <w:tc>
          <w:tcPr>
            <w:tcW w:w="1260" w:type="dxa"/>
            <w:tcBorders>
              <w:top w:val="single" w:sz="4" w:space="0" w:color="auto"/>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15,873,766</w:t>
            </w:r>
          </w:p>
        </w:tc>
        <w:tc>
          <w:tcPr>
            <w:tcW w:w="1224"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264,854,289</w:t>
            </w:r>
          </w:p>
        </w:tc>
      </w:tr>
      <w:tr>
        <w:trPr>
          <w:trHeight w:val="431"/>
          <w:jc w:val="center"/>
        </w:trPr>
        <w:tc>
          <w:tcPr>
            <w:tcW w:w="2256" w:type="dxa"/>
            <w:tcBorders>
              <w:top w:val="single" w:sz="4" w:space="0" w:color="auto"/>
            </w:tcBorders>
            <w:shd w:val="clear" w:color="auto" w:fill="auto"/>
            <w:vAlign w:val="bottom"/>
          </w:tcPr>
          <w:p>
            <w:pPr>
              <w:widowControl w:val="0"/>
              <w:tabs>
                <w:tab w:val="left" w:pos="-2808"/>
                <w:tab w:val="left" w:pos="-2628"/>
              </w:tabs>
              <w:ind w:left="0" w:right="-41" w:firstLine="0"/>
              <w:rPr>
                <w:rFonts w:ascii="Arial" w:hAnsi="Arial" w:cs="Arial"/>
                <w:b/>
                <w:sz w:val="16"/>
                <w:szCs w:val="17"/>
              </w:rPr>
            </w:pPr>
            <w:r>
              <w:rPr>
                <w:rFonts w:ascii="Arial" w:hAnsi="Arial" w:cs="Arial"/>
                <w:b/>
                <w:sz w:val="16"/>
                <w:szCs w:val="17"/>
              </w:rPr>
              <w:t>Accumulated depreciation</w:t>
            </w:r>
          </w:p>
          <w:p>
            <w:pPr>
              <w:widowControl w:val="0"/>
              <w:tabs>
                <w:tab w:val="left" w:pos="-2808"/>
                <w:tab w:val="left" w:pos="-2628"/>
              </w:tabs>
              <w:ind w:left="72" w:right="-108" w:firstLine="0"/>
              <w:rPr>
                <w:rFonts w:ascii="Arial" w:hAnsi="Arial" w:cs="Arial"/>
                <w:sz w:val="17"/>
                <w:szCs w:val="17"/>
              </w:rPr>
            </w:pPr>
            <w:r>
              <w:rPr>
                <w:rFonts w:ascii="Arial" w:hAnsi="Arial" w:cs="Arial"/>
                <w:b/>
                <w:sz w:val="16"/>
                <w:szCs w:val="17"/>
              </w:rPr>
              <w:t xml:space="preserve"> and amortization</w:t>
            </w:r>
          </w:p>
        </w:tc>
        <w:tc>
          <w:tcPr>
            <w:tcW w:w="1325" w:type="dxa"/>
            <w:tcBorders>
              <w:top w:val="single" w:sz="4" w:space="0" w:color="auto"/>
            </w:tcBorders>
            <w:shd w:val="clear" w:color="auto" w:fill="auto"/>
            <w:vAlign w:val="bottom"/>
          </w:tcPr>
          <w:p>
            <w:pPr>
              <w:widowControl w:val="0"/>
              <w:ind w:left="0" w:firstLine="0"/>
              <w:jc w:val="right"/>
              <w:rPr>
                <w:rFonts w:ascii="Arial" w:hAnsi="Arial" w:cs="Arial"/>
                <w:sz w:val="17"/>
                <w:szCs w:val="17"/>
              </w:rPr>
            </w:pPr>
          </w:p>
        </w:tc>
        <w:tc>
          <w:tcPr>
            <w:tcW w:w="1184" w:type="dxa"/>
            <w:tcBorders>
              <w:top w:val="single" w:sz="4" w:space="0" w:color="auto"/>
            </w:tcBorders>
            <w:shd w:val="clear" w:color="auto" w:fill="auto"/>
            <w:vAlign w:val="bottom"/>
          </w:tcPr>
          <w:p>
            <w:pPr>
              <w:widowControl w:val="0"/>
              <w:ind w:left="0" w:firstLine="0"/>
              <w:jc w:val="right"/>
              <w:rPr>
                <w:rFonts w:ascii="Arial" w:hAnsi="Arial" w:cs="Arial"/>
                <w:sz w:val="17"/>
                <w:szCs w:val="17"/>
              </w:rPr>
            </w:pPr>
          </w:p>
        </w:tc>
        <w:tc>
          <w:tcPr>
            <w:tcW w:w="1426" w:type="dxa"/>
            <w:tcBorders>
              <w:top w:val="single" w:sz="4" w:space="0" w:color="auto"/>
            </w:tcBorders>
            <w:shd w:val="clear" w:color="auto" w:fill="auto"/>
            <w:vAlign w:val="bottom"/>
          </w:tcPr>
          <w:p>
            <w:pPr>
              <w:widowControl w:val="0"/>
              <w:ind w:left="0" w:firstLine="0"/>
              <w:jc w:val="right"/>
              <w:rPr>
                <w:rFonts w:ascii="Arial" w:hAnsi="Arial" w:cs="Arial"/>
                <w:sz w:val="17"/>
                <w:szCs w:val="17"/>
              </w:rPr>
            </w:pPr>
          </w:p>
        </w:tc>
        <w:tc>
          <w:tcPr>
            <w:tcW w:w="1260" w:type="dxa"/>
            <w:tcBorders>
              <w:top w:val="single" w:sz="4" w:space="0" w:color="auto"/>
            </w:tcBorders>
            <w:shd w:val="clear" w:color="auto" w:fill="auto"/>
            <w:vAlign w:val="bottom"/>
          </w:tcPr>
          <w:p>
            <w:pPr>
              <w:widowControl w:val="0"/>
              <w:ind w:left="0" w:firstLine="0"/>
              <w:jc w:val="right"/>
              <w:rPr>
                <w:rFonts w:ascii="Arial" w:hAnsi="Arial" w:cs="Arial"/>
                <w:sz w:val="17"/>
                <w:szCs w:val="17"/>
              </w:rPr>
            </w:pPr>
          </w:p>
        </w:tc>
        <w:tc>
          <w:tcPr>
            <w:tcW w:w="1224" w:type="dxa"/>
            <w:tcBorders>
              <w:top w:val="single" w:sz="4" w:space="0" w:color="auto"/>
            </w:tcBorders>
            <w:shd w:val="clear" w:color="auto" w:fill="auto"/>
            <w:vAlign w:val="bottom"/>
          </w:tcPr>
          <w:p>
            <w:pPr>
              <w:widowControl w:val="0"/>
              <w:ind w:left="0" w:firstLine="0"/>
              <w:jc w:val="right"/>
              <w:rPr>
                <w:rFonts w:ascii="Arial" w:hAnsi="Arial" w:cs="Arial"/>
                <w:sz w:val="17"/>
                <w:szCs w:val="17"/>
              </w:rPr>
            </w:pPr>
          </w:p>
        </w:tc>
      </w:tr>
      <w:tr>
        <w:trPr>
          <w:trHeight w:val="85"/>
          <w:jc w:val="center"/>
        </w:trPr>
        <w:tc>
          <w:tcPr>
            <w:tcW w:w="2256" w:type="dxa"/>
            <w:shd w:val="clear" w:color="auto" w:fill="auto"/>
            <w:vAlign w:val="bottom"/>
          </w:tcPr>
          <w:p>
            <w:pPr>
              <w:widowControl w:val="0"/>
              <w:ind w:left="0" w:firstLine="0"/>
              <w:jc w:val="both"/>
              <w:rPr>
                <w:rFonts w:ascii="Arial" w:hAnsi="Arial" w:cs="Arial"/>
                <w:b/>
                <w:sz w:val="8"/>
                <w:szCs w:val="8"/>
              </w:rPr>
            </w:pPr>
            <w:r>
              <w:rPr>
                <w:rFonts w:ascii="Arial" w:hAnsi="Arial" w:cs="Arial"/>
                <w:sz w:val="17"/>
                <w:szCs w:val="17"/>
              </w:rPr>
              <w:t>Balance, 1/1/2017</w:t>
            </w:r>
          </w:p>
        </w:tc>
        <w:tc>
          <w:tcPr>
            <w:tcW w:w="1325"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82,286,621</w:t>
            </w:r>
          </w:p>
        </w:tc>
        <w:tc>
          <w:tcPr>
            <w:tcW w:w="1184"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128,724,500</w:t>
            </w:r>
          </w:p>
        </w:tc>
        <w:tc>
          <w:tcPr>
            <w:tcW w:w="1426"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7,413,036</w:t>
            </w:r>
          </w:p>
        </w:tc>
        <w:tc>
          <w:tcPr>
            <w:tcW w:w="1260"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12,344,996</w:t>
            </w:r>
          </w:p>
        </w:tc>
        <w:tc>
          <w:tcPr>
            <w:tcW w:w="1224" w:type="dxa"/>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230,769,153</w:t>
            </w:r>
          </w:p>
        </w:tc>
      </w:tr>
      <w:tr>
        <w:trPr>
          <w:trHeight w:val="80"/>
          <w:jc w:val="center"/>
        </w:trPr>
        <w:tc>
          <w:tcPr>
            <w:tcW w:w="2256" w:type="dxa"/>
            <w:tcBorders>
              <w:bottom w:val="single" w:sz="4" w:space="0" w:color="auto"/>
            </w:tcBorders>
            <w:shd w:val="clear" w:color="auto" w:fill="auto"/>
            <w:vAlign w:val="bottom"/>
          </w:tcPr>
          <w:p>
            <w:pPr>
              <w:widowControl w:val="0"/>
              <w:ind w:left="0" w:firstLine="0"/>
              <w:jc w:val="both"/>
              <w:rPr>
                <w:rFonts w:ascii="Arial" w:hAnsi="Arial" w:cs="Arial"/>
                <w:sz w:val="17"/>
                <w:szCs w:val="17"/>
              </w:rPr>
            </w:pPr>
            <w:r>
              <w:rPr>
                <w:rFonts w:ascii="Arial" w:hAnsi="Arial" w:cs="Arial"/>
                <w:sz w:val="17"/>
                <w:szCs w:val="17"/>
              </w:rPr>
              <w:t>Depreciation/amortization</w:t>
            </w:r>
          </w:p>
        </w:tc>
        <w:tc>
          <w:tcPr>
            <w:tcW w:w="1325" w:type="dxa"/>
            <w:tcBorders>
              <w:bottom w:val="single" w:sz="4" w:space="0" w:color="auto"/>
            </w:tcBorders>
            <w:shd w:val="clear" w:color="auto" w:fill="auto"/>
            <w:vAlign w:val="bottom"/>
          </w:tcPr>
          <w:p>
            <w:pPr>
              <w:widowControl w:val="0"/>
              <w:ind w:left="224" w:hanging="224"/>
              <w:jc w:val="center"/>
              <w:rPr>
                <w:rFonts w:ascii="Arial" w:hAnsi="Arial" w:cs="Arial"/>
                <w:sz w:val="17"/>
                <w:szCs w:val="17"/>
              </w:rPr>
            </w:pPr>
            <w:r>
              <w:rPr>
                <w:rFonts w:ascii="Arial" w:hAnsi="Arial" w:cs="Arial"/>
                <w:sz w:val="17"/>
                <w:szCs w:val="17"/>
              </w:rPr>
              <w:t xml:space="preserve">                  - </w:t>
            </w:r>
          </w:p>
        </w:tc>
        <w:tc>
          <w:tcPr>
            <w:tcW w:w="1184" w:type="dxa"/>
            <w:tcBorders>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1,196,654</w:t>
            </w:r>
          </w:p>
        </w:tc>
        <w:tc>
          <w:tcPr>
            <w:tcW w:w="1426" w:type="dxa"/>
            <w:tcBorders>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w:t>
            </w:r>
          </w:p>
        </w:tc>
        <w:tc>
          <w:tcPr>
            <w:tcW w:w="1260" w:type="dxa"/>
            <w:tcBorders>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201,962</w:t>
            </w:r>
          </w:p>
        </w:tc>
        <w:tc>
          <w:tcPr>
            <w:tcW w:w="1224" w:type="dxa"/>
            <w:tcBorders>
              <w:bottom w:val="single" w:sz="4" w:space="0" w:color="auto"/>
            </w:tcBorders>
            <w:shd w:val="clear" w:color="auto" w:fill="auto"/>
            <w:noWrap/>
            <w:vAlign w:val="bottom"/>
          </w:tcPr>
          <w:p>
            <w:pPr>
              <w:widowControl w:val="0"/>
              <w:ind w:left="0" w:firstLine="0"/>
              <w:jc w:val="right"/>
              <w:rPr>
                <w:rFonts w:ascii="Arial" w:hAnsi="Arial" w:cs="Arial"/>
                <w:sz w:val="17"/>
                <w:szCs w:val="17"/>
              </w:rPr>
            </w:pPr>
            <w:r>
              <w:rPr>
                <w:rFonts w:ascii="Arial" w:hAnsi="Arial" w:cs="Arial"/>
                <w:sz w:val="17"/>
                <w:szCs w:val="17"/>
              </w:rPr>
              <w:t>1,398,616</w:t>
            </w:r>
          </w:p>
        </w:tc>
      </w:tr>
      <w:tr>
        <w:trPr>
          <w:trHeight w:val="216"/>
          <w:jc w:val="center"/>
        </w:trPr>
        <w:tc>
          <w:tcPr>
            <w:tcW w:w="2256"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17"/>
                <w:szCs w:val="17"/>
              </w:rPr>
            </w:pPr>
            <w:r>
              <w:rPr>
                <w:rFonts w:ascii="Arial" w:hAnsi="Arial" w:cs="Arial"/>
                <w:sz w:val="17"/>
                <w:szCs w:val="17"/>
              </w:rPr>
              <w:t>Balance, 12/31/2017</w:t>
            </w:r>
          </w:p>
        </w:tc>
        <w:tc>
          <w:tcPr>
            <w:tcW w:w="1325"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82,286,621</w:t>
            </w:r>
          </w:p>
        </w:tc>
        <w:tc>
          <w:tcPr>
            <w:tcW w:w="1184"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129,921,154</w:t>
            </w:r>
          </w:p>
        </w:tc>
        <w:tc>
          <w:tcPr>
            <w:tcW w:w="1426"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7,413,036</w:t>
            </w:r>
          </w:p>
        </w:tc>
        <w:tc>
          <w:tcPr>
            <w:tcW w:w="1260"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12,546,958</w:t>
            </w:r>
          </w:p>
        </w:tc>
        <w:tc>
          <w:tcPr>
            <w:tcW w:w="1224" w:type="dxa"/>
            <w:tcBorders>
              <w:top w:val="single" w:sz="4" w:space="0" w:color="auto"/>
              <w:bottom w:val="single" w:sz="4" w:space="0" w:color="auto"/>
            </w:tcBorders>
            <w:shd w:val="clear" w:color="auto" w:fill="auto"/>
            <w:vAlign w:val="bottom"/>
          </w:tcPr>
          <w:p>
            <w:pPr>
              <w:widowControl w:val="0"/>
              <w:ind w:left="0" w:firstLine="0"/>
              <w:jc w:val="right"/>
              <w:rPr>
                <w:rFonts w:ascii="Arial" w:hAnsi="Arial" w:cs="Arial"/>
                <w:sz w:val="17"/>
                <w:szCs w:val="17"/>
              </w:rPr>
            </w:pPr>
            <w:r>
              <w:rPr>
                <w:rFonts w:ascii="Arial" w:hAnsi="Arial" w:cs="Arial"/>
                <w:sz w:val="17"/>
                <w:szCs w:val="17"/>
              </w:rPr>
              <w:t>232,167,769</w:t>
            </w:r>
          </w:p>
        </w:tc>
      </w:tr>
      <w:tr>
        <w:trPr>
          <w:trHeight w:val="70"/>
          <w:jc w:val="center"/>
        </w:trPr>
        <w:tc>
          <w:tcPr>
            <w:tcW w:w="2256" w:type="dxa"/>
            <w:tcBorders>
              <w:top w:val="single" w:sz="4" w:space="0" w:color="auto"/>
              <w:bottom w:val="double" w:sz="4" w:space="0" w:color="auto"/>
            </w:tcBorders>
            <w:shd w:val="clear" w:color="auto" w:fill="auto"/>
            <w:vAlign w:val="bottom"/>
          </w:tcPr>
          <w:p>
            <w:pPr>
              <w:widowControl w:val="0"/>
              <w:ind w:left="0" w:firstLine="0"/>
              <w:rPr>
                <w:rFonts w:ascii="Arial" w:hAnsi="Arial" w:cs="Arial"/>
                <w:b/>
                <w:bCs/>
                <w:sz w:val="12"/>
                <w:szCs w:val="8"/>
              </w:rPr>
            </w:pPr>
          </w:p>
          <w:p>
            <w:pPr>
              <w:widowControl w:val="0"/>
              <w:ind w:left="0" w:firstLine="0"/>
              <w:rPr>
                <w:rFonts w:ascii="Arial" w:hAnsi="Arial" w:cs="Arial"/>
                <w:sz w:val="17"/>
                <w:szCs w:val="17"/>
              </w:rPr>
            </w:pPr>
            <w:r>
              <w:rPr>
                <w:rFonts w:ascii="Arial" w:hAnsi="Arial" w:cs="Arial"/>
                <w:b/>
                <w:bCs/>
                <w:sz w:val="16"/>
                <w:szCs w:val="17"/>
              </w:rPr>
              <w:t>Net book value, 12/31/2017</w:t>
            </w:r>
          </w:p>
        </w:tc>
        <w:tc>
          <w:tcPr>
            <w:tcW w:w="1325"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9,142,958</w:t>
            </w:r>
          </w:p>
        </w:tc>
        <w:tc>
          <w:tcPr>
            <w:tcW w:w="1184"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19,345,937</w:t>
            </w:r>
          </w:p>
        </w:tc>
        <w:tc>
          <w:tcPr>
            <w:tcW w:w="1426"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870,817</w:t>
            </w:r>
          </w:p>
        </w:tc>
        <w:tc>
          <w:tcPr>
            <w:tcW w:w="126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3,326,808</w:t>
            </w:r>
          </w:p>
        </w:tc>
        <w:tc>
          <w:tcPr>
            <w:tcW w:w="1224"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32,686,520</w:t>
            </w:r>
          </w:p>
        </w:tc>
      </w:tr>
      <w:tr>
        <w:tblPrEx>
          <w:tblBorders>
            <w:top w:val="single" w:sz="4" w:space="0" w:color="auto"/>
            <w:bottom w:val="double" w:sz="4" w:space="0" w:color="auto"/>
          </w:tblBorders>
        </w:tblPrEx>
        <w:trPr>
          <w:trHeight w:val="255"/>
          <w:jc w:val="center"/>
        </w:trPr>
        <w:tc>
          <w:tcPr>
            <w:tcW w:w="2256" w:type="dxa"/>
            <w:shd w:val="clear" w:color="auto" w:fill="auto"/>
            <w:vAlign w:val="bottom"/>
          </w:tcPr>
          <w:p>
            <w:pPr>
              <w:widowControl w:val="0"/>
              <w:ind w:left="0" w:firstLine="0"/>
              <w:rPr>
                <w:rFonts w:ascii="Arial" w:hAnsi="Arial" w:cs="Arial"/>
                <w:b/>
                <w:bCs/>
                <w:sz w:val="12"/>
                <w:szCs w:val="8"/>
              </w:rPr>
            </w:pPr>
          </w:p>
          <w:p>
            <w:pPr>
              <w:widowControl w:val="0"/>
              <w:ind w:left="0" w:firstLine="0"/>
              <w:rPr>
                <w:rFonts w:ascii="Arial" w:hAnsi="Arial" w:cs="Arial"/>
                <w:b/>
                <w:sz w:val="17"/>
                <w:szCs w:val="17"/>
              </w:rPr>
            </w:pPr>
            <w:r>
              <w:rPr>
                <w:rFonts w:ascii="Arial" w:hAnsi="Arial" w:cs="Arial"/>
                <w:b/>
                <w:bCs/>
                <w:sz w:val="16"/>
                <w:szCs w:val="17"/>
              </w:rPr>
              <w:t>Net book value, 12/31/2016</w:t>
            </w:r>
          </w:p>
        </w:tc>
        <w:tc>
          <w:tcPr>
            <w:tcW w:w="1325" w:type="dxa"/>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9,142,958</w:t>
            </w:r>
          </w:p>
        </w:tc>
        <w:tc>
          <w:tcPr>
            <w:tcW w:w="1184" w:type="dxa"/>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20,492,682</w:t>
            </w:r>
          </w:p>
        </w:tc>
        <w:tc>
          <w:tcPr>
            <w:tcW w:w="1426" w:type="dxa"/>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870,817</w:t>
            </w:r>
          </w:p>
        </w:tc>
        <w:tc>
          <w:tcPr>
            <w:tcW w:w="1260" w:type="dxa"/>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3,369,476</w:t>
            </w:r>
          </w:p>
        </w:tc>
        <w:tc>
          <w:tcPr>
            <w:tcW w:w="1224" w:type="dxa"/>
            <w:shd w:val="clear" w:color="auto" w:fill="auto"/>
            <w:vAlign w:val="bottom"/>
          </w:tcPr>
          <w:p>
            <w:pPr>
              <w:widowControl w:val="0"/>
              <w:ind w:left="0" w:firstLine="0"/>
              <w:jc w:val="right"/>
              <w:rPr>
                <w:rFonts w:ascii="Arial" w:hAnsi="Arial" w:cs="Arial"/>
                <w:b/>
                <w:sz w:val="17"/>
                <w:szCs w:val="17"/>
              </w:rPr>
            </w:pPr>
            <w:r>
              <w:rPr>
                <w:rFonts w:ascii="Arial" w:hAnsi="Arial" w:cs="Arial"/>
                <w:b/>
                <w:sz w:val="17"/>
                <w:szCs w:val="17"/>
              </w:rPr>
              <w:t>33,875,933</w:t>
            </w:r>
          </w:p>
        </w:tc>
      </w:tr>
    </w:tbl>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Cs/>
          <w:szCs w:val="22"/>
        </w:rPr>
      </w:pPr>
      <w:r>
        <w:rPr>
          <w:rFonts w:ascii="Arial" w:hAnsi="Arial" w:cs="Arial"/>
          <w:szCs w:val="22"/>
        </w:rPr>
        <w:t>The System’s Internal Appraiser under the Office of Special Concerns (OSC) conducted an investigation and appraisal of the System’s owned buildings and improvement located at the System’s Compound and the report was contained under Disposition Form dated July 11, 2016. Based on the investigation and analysis of all factors, OSC puts the fair market value of the properties appraised consisting of 15 structures/improvements subject to the attached limiting conditions at P33.569 million.</w:t>
      </w:r>
      <w:r>
        <w:rPr>
          <w:rFonts w:ascii="Arial" w:hAnsi="Arial" w:cs="Arial"/>
          <w:b/>
          <w:szCs w:val="22"/>
        </w:rPr>
        <w:t xml:space="preserve">   </w:t>
      </w:r>
      <w:r>
        <w:rPr>
          <w:rFonts w:ascii="Arial" w:hAnsi="Arial" w:cs="Arial"/>
          <w:bCs/>
          <w:szCs w:val="22"/>
        </w:rPr>
        <w:t>The System, however, is using cost method in the recording of its properties and equipment.</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INVESTMENT IN BONDS</w:t>
      </w:r>
    </w:p>
    <w:p>
      <w:pPr>
        <w:pStyle w:val="BodyText2"/>
        <w:widowControl w:val="0"/>
        <w:tabs>
          <w:tab w:val="clear" w:pos="432"/>
          <w:tab w:val="clear" w:pos="864"/>
        </w:tabs>
        <w:ind w:left="0" w:firstLine="0"/>
        <w:rPr>
          <w:rFonts w:ascii="Arial" w:hAnsi="Arial" w:cs="Arial"/>
          <w:b/>
          <w:szCs w:val="22"/>
        </w:rPr>
      </w:pPr>
    </w:p>
    <w:p>
      <w:pPr>
        <w:pStyle w:val="ListContinue"/>
        <w:widowControl w:val="0"/>
        <w:numPr>
          <w:ilvl w:val="12"/>
          <w:numId w:val="0"/>
        </w:numPr>
        <w:spacing w:after="0"/>
        <w:rPr>
          <w:rFonts w:ascii="Arial" w:hAnsi="Arial" w:cs="Arial"/>
          <w:szCs w:val="22"/>
        </w:rPr>
      </w:pPr>
      <w:r>
        <w:rPr>
          <w:rFonts w:ascii="Arial" w:hAnsi="Arial" w:cs="Arial"/>
          <w:szCs w:val="22"/>
        </w:rPr>
        <w:t>This account consists of the following:</w:t>
      </w:r>
    </w:p>
    <w:p>
      <w:pPr>
        <w:pStyle w:val="BodyText2"/>
        <w:widowControl w:val="0"/>
        <w:tabs>
          <w:tab w:val="clear" w:pos="432"/>
          <w:tab w:val="clear" w:pos="864"/>
        </w:tabs>
        <w:ind w:left="0" w:firstLine="0"/>
        <w:rPr>
          <w:rFonts w:ascii="Arial" w:hAnsi="Arial" w:cs="Arial"/>
          <w:b/>
          <w:szCs w:val="22"/>
        </w:rPr>
      </w:pPr>
    </w:p>
    <w:tbl>
      <w:tblPr>
        <w:tblW w:w="8640" w:type="dxa"/>
        <w:jc w:val="center"/>
        <w:tblLayout w:type="fixed"/>
        <w:tblLook w:val="0000" w:firstRow="0" w:lastRow="0" w:firstColumn="0" w:lastColumn="0" w:noHBand="0" w:noVBand="0"/>
      </w:tblPr>
      <w:tblGrid>
        <w:gridCol w:w="5040"/>
        <w:gridCol w:w="1800"/>
        <w:gridCol w:w="1800"/>
      </w:tblGrid>
      <w:tr>
        <w:trPr>
          <w:trHeight w:val="153"/>
          <w:jc w:val="center"/>
        </w:trPr>
        <w:tc>
          <w:tcPr>
            <w:tcW w:w="5040" w:type="dxa"/>
            <w:tcBorders>
              <w:top w:val="single" w:sz="4" w:space="0" w:color="auto"/>
            </w:tcBorders>
            <w:shd w:val="clear" w:color="auto" w:fill="auto"/>
            <w:vAlign w:val="bottom"/>
          </w:tcPr>
          <w:p>
            <w:pPr>
              <w:widowControl w:val="0"/>
              <w:ind w:left="252" w:right="-108" w:hanging="252"/>
              <w:jc w:val="both"/>
              <w:rPr>
                <w:rFonts w:ascii="Arial" w:hAnsi="Arial" w:cs="Arial"/>
                <w:sz w:val="22"/>
                <w:szCs w:val="22"/>
              </w:rPr>
            </w:pPr>
          </w:p>
        </w:tc>
        <w:tc>
          <w:tcPr>
            <w:tcW w:w="1800" w:type="dxa"/>
            <w:tcBorders>
              <w:top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tc>
      </w:tr>
      <w:tr>
        <w:trPr>
          <w:trHeight w:val="153"/>
          <w:jc w:val="center"/>
        </w:trPr>
        <w:tc>
          <w:tcPr>
            <w:tcW w:w="5040" w:type="dxa"/>
            <w:tcBorders>
              <w:top w:val="single" w:sz="4" w:space="0" w:color="auto"/>
            </w:tcBorders>
            <w:shd w:val="clear" w:color="auto" w:fill="auto"/>
            <w:vAlign w:val="bottom"/>
          </w:tcPr>
          <w:p>
            <w:pPr>
              <w:widowControl w:val="0"/>
              <w:ind w:left="252" w:right="-108" w:hanging="252"/>
              <w:jc w:val="both"/>
              <w:rPr>
                <w:rFonts w:ascii="Arial" w:hAnsi="Arial" w:cs="Arial"/>
                <w:sz w:val="22"/>
                <w:szCs w:val="22"/>
              </w:rPr>
            </w:pPr>
          </w:p>
        </w:tc>
        <w:tc>
          <w:tcPr>
            <w:tcW w:w="1800" w:type="dxa"/>
            <w:tcBorders>
              <w:top w:val="single" w:sz="4" w:space="0" w:color="auto"/>
            </w:tcBorders>
            <w:shd w:val="clear" w:color="auto" w:fill="auto"/>
            <w:vAlign w:val="bottom"/>
          </w:tcPr>
          <w:p>
            <w:pPr>
              <w:widowControl w:val="0"/>
              <w:ind w:left="0" w:firstLine="0"/>
              <w:jc w:val="right"/>
              <w:rPr>
                <w:rFonts w:ascii="Arial" w:hAnsi="Arial" w:cs="Arial"/>
                <w:b/>
                <w:sz w:val="22"/>
                <w:szCs w:val="22"/>
              </w:rPr>
            </w:pPr>
          </w:p>
        </w:tc>
        <w:tc>
          <w:tcPr>
            <w:tcW w:w="1800" w:type="dxa"/>
            <w:tcBorders>
              <w:top w:val="single" w:sz="4" w:space="0" w:color="auto"/>
            </w:tcBorders>
            <w:vAlign w:val="bottom"/>
          </w:tcPr>
          <w:p>
            <w:pPr>
              <w:widowControl w:val="0"/>
              <w:ind w:left="0" w:firstLine="0"/>
              <w:jc w:val="right"/>
              <w:rPr>
                <w:rFonts w:ascii="Arial" w:hAnsi="Arial" w:cs="Arial"/>
                <w:sz w:val="22"/>
                <w:szCs w:val="22"/>
              </w:rPr>
            </w:pPr>
          </w:p>
        </w:tc>
      </w:tr>
      <w:tr>
        <w:trPr>
          <w:trHeight w:val="225"/>
          <w:jc w:val="center"/>
        </w:trPr>
        <w:tc>
          <w:tcPr>
            <w:tcW w:w="504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Treasury bonds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4,452,403,407</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4,367,629,158</w:t>
            </w:r>
          </w:p>
        </w:tc>
      </w:tr>
      <w:tr>
        <w:trPr>
          <w:trHeight w:val="225"/>
          <w:jc w:val="center"/>
        </w:trPr>
        <w:tc>
          <w:tcPr>
            <w:tcW w:w="5040" w:type="dxa"/>
            <w:shd w:val="clear" w:color="auto" w:fill="auto"/>
            <w:vAlign w:val="bottom"/>
          </w:tcPr>
          <w:p>
            <w:pPr>
              <w:widowControl w:val="0"/>
              <w:tabs>
                <w:tab w:val="left" w:pos="4932"/>
              </w:tabs>
              <w:ind w:left="252" w:hanging="252"/>
              <w:jc w:val="both"/>
              <w:rPr>
                <w:rFonts w:ascii="Arial" w:hAnsi="Arial" w:cs="Arial"/>
                <w:sz w:val="22"/>
                <w:szCs w:val="22"/>
              </w:rPr>
            </w:pPr>
            <w:r>
              <w:rPr>
                <w:rFonts w:ascii="Arial" w:hAnsi="Arial" w:cs="Arial"/>
                <w:sz w:val="22"/>
                <w:szCs w:val="22"/>
              </w:rPr>
              <w:t>Development Bank of the Philippines (DBP) long-term commercial paper (LTCP)</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500,000,000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500,000,000</w:t>
            </w:r>
          </w:p>
        </w:tc>
      </w:tr>
      <w:tr>
        <w:trPr>
          <w:trHeight w:val="80"/>
          <w:jc w:val="center"/>
        </w:trPr>
        <w:tc>
          <w:tcPr>
            <w:tcW w:w="5040" w:type="dxa"/>
            <w:shd w:val="clear" w:color="auto" w:fill="auto"/>
            <w:vAlign w:val="bottom"/>
          </w:tcPr>
          <w:p>
            <w:pPr>
              <w:widowControl w:val="0"/>
              <w:tabs>
                <w:tab w:val="left" w:pos="4572"/>
              </w:tabs>
              <w:ind w:left="252" w:right="252" w:hanging="252"/>
              <w:rPr>
                <w:rFonts w:ascii="Arial" w:hAnsi="Arial" w:cs="Arial"/>
                <w:sz w:val="22"/>
                <w:szCs w:val="22"/>
              </w:rPr>
            </w:pPr>
            <w:r>
              <w:rPr>
                <w:rFonts w:ascii="Arial" w:hAnsi="Arial" w:cs="Arial"/>
                <w:sz w:val="22"/>
                <w:szCs w:val="22"/>
              </w:rPr>
              <w:t>Landbank of the Philippines (LBP) LTCP</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300,000,000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300,000,000</w:t>
            </w:r>
          </w:p>
        </w:tc>
      </w:tr>
      <w:tr>
        <w:trPr>
          <w:trHeight w:val="80"/>
          <w:jc w:val="center"/>
        </w:trPr>
        <w:tc>
          <w:tcPr>
            <w:tcW w:w="504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First Gen Corporation</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50,000,000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50,000,000</w:t>
            </w:r>
          </w:p>
        </w:tc>
      </w:tr>
      <w:tr>
        <w:trPr>
          <w:trHeight w:val="80"/>
          <w:jc w:val="center"/>
        </w:trPr>
        <w:tc>
          <w:tcPr>
            <w:tcW w:w="5040" w:type="dxa"/>
            <w:tcBorders>
              <w:bottom w:val="single" w:sz="4" w:space="0" w:color="auto"/>
            </w:tcBorders>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Retail treasury bonds</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50,000,000</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50,000,000</w:t>
            </w:r>
          </w:p>
        </w:tc>
      </w:tr>
      <w:tr>
        <w:trPr>
          <w:trHeight w:val="360"/>
          <w:jc w:val="center"/>
        </w:trPr>
        <w:tc>
          <w:tcPr>
            <w:tcW w:w="5040" w:type="dxa"/>
            <w:tcBorders>
              <w:top w:val="single" w:sz="4" w:space="0" w:color="auto"/>
              <w:bottom w:val="double" w:sz="2" w:space="0" w:color="auto"/>
            </w:tcBorders>
            <w:shd w:val="clear" w:color="auto" w:fill="auto"/>
            <w:vAlign w:val="center"/>
          </w:tcPr>
          <w:p>
            <w:pPr>
              <w:widowControl w:val="0"/>
              <w:ind w:left="0" w:right="-108" w:firstLineChars="200" w:firstLine="442"/>
              <w:jc w:val="right"/>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5,352,403,407</w:t>
            </w:r>
          </w:p>
        </w:tc>
        <w:tc>
          <w:tcPr>
            <w:tcW w:w="1800" w:type="dxa"/>
            <w:tcBorders>
              <w:top w:val="single" w:sz="4" w:space="0" w:color="auto"/>
              <w:bottom w:val="double" w:sz="2"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5,267,629,158</w:t>
            </w:r>
          </w:p>
        </w:tc>
      </w:tr>
    </w:tbl>
    <w:p>
      <w:pPr>
        <w:pStyle w:val="BodyText2"/>
        <w:widowControl w:val="0"/>
        <w:tabs>
          <w:tab w:val="clear" w:pos="432"/>
          <w:tab w:val="clear" w:pos="864"/>
        </w:tabs>
        <w:ind w:left="0" w:firstLine="0"/>
        <w:rPr>
          <w:rFonts w:ascii="Arial" w:hAnsi="Arial" w:cs="Arial"/>
          <w:szCs w:val="22"/>
        </w:rPr>
      </w:pPr>
    </w:p>
    <w:p>
      <w:pPr>
        <w:pStyle w:val="EndnoteText"/>
        <w:widowControl w:val="0"/>
        <w:numPr>
          <w:ilvl w:val="12"/>
          <w:numId w:val="0"/>
        </w:numPr>
        <w:jc w:val="both"/>
        <w:rPr>
          <w:rFonts w:ascii="Arial" w:hAnsi="Arial" w:cs="Arial"/>
          <w:szCs w:val="22"/>
        </w:rPr>
      </w:pPr>
      <w:r>
        <w:rPr>
          <w:rFonts w:ascii="Arial" w:hAnsi="Arial" w:cs="Arial"/>
          <w:szCs w:val="22"/>
        </w:rPr>
        <w:t>The investments earn an average yield of 3.354 per cent interest per annum with terms ranging from two to ten years.</w:t>
      </w:r>
    </w:p>
    <w:p>
      <w:pPr>
        <w:pStyle w:val="EndnoteText"/>
        <w:widowControl w:val="0"/>
        <w:numPr>
          <w:ilvl w:val="12"/>
          <w:numId w:val="0"/>
        </w:numPr>
        <w:jc w:val="both"/>
        <w:rPr>
          <w:rFonts w:ascii="Arial" w:hAnsi="Arial" w:cs="Arial"/>
          <w:szCs w:val="22"/>
        </w:rPr>
      </w:pPr>
    </w:p>
    <w:p>
      <w:pPr>
        <w:pStyle w:val="EndnoteText"/>
        <w:widowControl w:val="0"/>
        <w:numPr>
          <w:ilvl w:val="12"/>
          <w:numId w:val="0"/>
        </w:numPr>
        <w:jc w:val="both"/>
        <w:rPr>
          <w:rFonts w:ascii="Arial" w:hAnsi="Arial" w:cs="Arial"/>
          <w:szCs w:val="22"/>
        </w:rPr>
      </w:pPr>
      <w:r>
        <w:rPr>
          <w:rFonts w:ascii="Arial" w:hAnsi="Arial" w:cs="Arial"/>
          <w:szCs w:val="22"/>
        </w:rPr>
        <w:t>On August 6, 2015, the System requested confirmation from the DOF to use private banks/financial intermediaries as broker for the trading of the System’s government securities under the Non-Restricted Trading System (NRTS) pursuant to DOF’s Department Order No. 068-2014.  The System’s request, however, was denied by DOF in its letter dated February 10, 2016. The System was advised to utilize the services of LBP and DBP for the proposed treasury investment activities since both government financial institutions are also eligible brokers under the NRTS. The investment with First Gen. Corporation was made on July 25, 2011, prior to the receipt of DOF’s letter to the System. The investment yields interest of eight per cent and will be held-to-maturity by the System up to July 25, 2018.</w:t>
      </w:r>
    </w:p>
    <w:p>
      <w:pPr>
        <w:ind w:left="0" w:firstLine="0"/>
        <w:rPr>
          <w:rFonts w:ascii="Arial" w:hAnsi="Arial" w:cs="Arial"/>
          <w:sz w:val="22"/>
          <w:szCs w:val="22"/>
        </w:rPr>
      </w:pPr>
    </w:p>
    <w:p>
      <w:pPr>
        <w:ind w:left="0" w:firstLine="0"/>
        <w:rPr>
          <w:rFonts w:ascii="Arial" w:hAnsi="Arial" w:cs="Arial"/>
          <w:sz w:val="22"/>
          <w:szCs w:val="22"/>
        </w:rPr>
      </w:pPr>
    </w:p>
    <w:p>
      <w:pPr>
        <w:ind w:left="0" w:firstLine="0"/>
        <w:rPr>
          <w:rFonts w:ascii="Arial" w:hAnsi="Arial" w:cs="Arial"/>
          <w:sz w:val="22"/>
          <w:szCs w:val="22"/>
        </w:rPr>
      </w:pPr>
    </w:p>
    <w:p>
      <w:pPr>
        <w:ind w:left="0" w:firstLine="0"/>
        <w:rPr>
          <w:rFonts w:ascii="Arial" w:hAnsi="Arial" w:cs="Arial"/>
          <w:sz w:val="22"/>
          <w:szCs w:val="22"/>
        </w:rPr>
      </w:pPr>
    </w:p>
    <w:p>
      <w:pPr>
        <w:ind w:left="0" w:firstLine="0"/>
        <w:rPr>
          <w:rFonts w:ascii="Arial" w:hAnsi="Arial" w:cs="Arial"/>
          <w:sz w:val="22"/>
          <w:szCs w:val="22"/>
        </w:rPr>
      </w:pPr>
    </w:p>
    <w:p>
      <w:pPr>
        <w:ind w:left="0" w:firstLine="0"/>
        <w:rPr>
          <w:rFonts w:ascii="Arial" w:hAnsi="Arial" w:cs="Arial"/>
          <w:sz w:val="22"/>
          <w:szCs w:val="22"/>
        </w:rPr>
      </w:pPr>
    </w:p>
    <w:p>
      <w:pPr>
        <w:ind w:left="0" w:firstLine="0"/>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lastRenderedPageBreak/>
        <w:t>OTHER NON-CURRENT ASSETS – NET</w:t>
      </w:r>
    </w:p>
    <w:p>
      <w:pPr>
        <w:pStyle w:val="BodyText2"/>
        <w:widowControl w:val="0"/>
        <w:tabs>
          <w:tab w:val="clear" w:pos="432"/>
          <w:tab w:val="clear" w:pos="864"/>
        </w:tabs>
        <w:ind w:left="0" w:firstLine="0"/>
        <w:rPr>
          <w:rFonts w:ascii="Arial" w:hAnsi="Arial" w:cs="Arial"/>
          <w:szCs w:val="22"/>
        </w:rPr>
      </w:pPr>
    </w:p>
    <w:p>
      <w:pPr>
        <w:pStyle w:val="ListContinue"/>
        <w:widowControl w:val="0"/>
        <w:numPr>
          <w:ilvl w:val="12"/>
          <w:numId w:val="0"/>
        </w:numPr>
        <w:spacing w:after="0"/>
        <w:rPr>
          <w:rFonts w:ascii="Arial" w:hAnsi="Arial" w:cs="Arial"/>
          <w:szCs w:val="22"/>
        </w:rPr>
      </w:pPr>
      <w:r>
        <w:rPr>
          <w:rFonts w:ascii="Arial" w:hAnsi="Arial" w:cs="Arial"/>
          <w:szCs w:val="22"/>
        </w:rPr>
        <w:t>This account consists of the following:</w:t>
      </w:r>
    </w:p>
    <w:p>
      <w:pPr>
        <w:pStyle w:val="ListContinue"/>
        <w:widowControl w:val="0"/>
        <w:numPr>
          <w:ilvl w:val="12"/>
          <w:numId w:val="0"/>
        </w:numPr>
        <w:spacing w:after="0"/>
        <w:rPr>
          <w:rFonts w:ascii="Arial" w:hAnsi="Arial" w:cs="Arial"/>
          <w:szCs w:val="22"/>
        </w:rPr>
      </w:pPr>
    </w:p>
    <w:tbl>
      <w:tblPr>
        <w:tblW w:w="8640" w:type="dxa"/>
        <w:jc w:val="center"/>
        <w:tblLayout w:type="fixed"/>
        <w:tblLook w:val="0000" w:firstRow="0" w:lastRow="0" w:firstColumn="0" w:lastColumn="0" w:noHBand="0" w:noVBand="0"/>
      </w:tblPr>
      <w:tblGrid>
        <w:gridCol w:w="5040"/>
        <w:gridCol w:w="1800"/>
        <w:gridCol w:w="1800"/>
      </w:tblGrid>
      <w:tr>
        <w:trPr>
          <w:trHeight w:val="70"/>
          <w:tblHeader/>
          <w:jc w:val="center"/>
        </w:trP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22"/>
                <w:szCs w:val="22"/>
              </w:rPr>
            </w:pPr>
          </w:p>
        </w:tc>
        <w:tc>
          <w:tcPr>
            <w:tcW w:w="1800" w:type="dxa"/>
            <w:tcBorders>
              <w:top w:val="single" w:sz="4" w:space="0" w:color="auto"/>
              <w:bottom w:val="single" w:sz="4" w:space="0" w:color="auto"/>
            </w:tcBorders>
            <w:shd w:val="clear" w:color="auto" w:fill="auto"/>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rPr>
          <w:trHeight w:val="70"/>
          <w:jc w:val="center"/>
        </w:trPr>
        <w:tc>
          <w:tcPr>
            <w:tcW w:w="5040" w:type="dxa"/>
            <w:tcBorders>
              <w:top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Acquired assets </w:t>
            </w:r>
            <w:r>
              <w:rPr>
                <w:rFonts w:ascii="Arial" w:hAnsi="Arial" w:cs="Arial"/>
                <w:i/>
                <w:sz w:val="22"/>
                <w:szCs w:val="22"/>
              </w:rPr>
              <w:t>(See Note 3.11)</w:t>
            </w:r>
          </w:p>
        </w:tc>
        <w:tc>
          <w:tcPr>
            <w:tcW w:w="1800" w:type="dxa"/>
            <w:tcBorders>
              <w:top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494,842,883</w:t>
            </w:r>
          </w:p>
        </w:tc>
        <w:tc>
          <w:tcPr>
            <w:tcW w:w="1800" w:type="dxa"/>
            <w:tcBorders>
              <w:top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497,287,205</w:t>
            </w:r>
          </w:p>
        </w:tc>
      </w:tr>
      <w:tr>
        <w:trPr>
          <w:trHeight w:val="80"/>
          <w:jc w:val="center"/>
        </w:trPr>
        <w:tc>
          <w:tcPr>
            <w:tcW w:w="5040" w:type="dxa"/>
            <w:tcBorders>
              <w:bottom w:val="single" w:sz="2"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Allowance for probable losses</w:t>
            </w:r>
          </w:p>
        </w:tc>
        <w:tc>
          <w:tcPr>
            <w:tcW w:w="1800" w:type="dxa"/>
            <w:tcBorders>
              <w:bottom w:val="single" w:sz="2" w:space="0" w:color="auto"/>
            </w:tcBorders>
            <w:shd w:val="clear" w:color="auto" w:fill="auto"/>
            <w:tcMar>
              <w:left w:w="115" w:type="dxa"/>
              <w:right w:w="43" w:type="dxa"/>
            </w:tcMar>
            <w:vAlign w:val="bottom"/>
          </w:tcPr>
          <w:p>
            <w:pPr>
              <w:widowControl w:val="0"/>
              <w:ind w:left="0" w:right="47" w:firstLine="0"/>
              <w:jc w:val="right"/>
              <w:rPr>
                <w:rFonts w:ascii="Arial" w:hAnsi="Arial" w:cs="Arial"/>
                <w:b/>
                <w:sz w:val="22"/>
                <w:szCs w:val="22"/>
              </w:rPr>
            </w:pPr>
            <w:r>
              <w:rPr>
                <w:rFonts w:ascii="Arial" w:hAnsi="Arial" w:cs="Arial"/>
                <w:b/>
                <w:sz w:val="22"/>
                <w:szCs w:val="22"/>
              </w:rPr>
              <w:t>(38,960,432)</w:t>
            </w:r>
          </w:p>
        </w:tc>
        <w:tc>
          <w:tcPr>
            <w:tcW w:w="1800" w:type="dxa"/>
            <w:tcBorders>
              <w:bottom w:val="single" w:sz="2" w:space="0" w:color="auto"/>
            </w:tcBorders>
            <w:tcMar>
              <w:left w:w="115" w:type="dxa"/>
              <w:right w:w="43" w:type="dxa"/>
            </w:tcMar>
            <w:vAlign w:val="bottom"/>
          </w:tcPr>
          <w:p>
            <w:pPr>
              <w:widowControl w:val="0"/>
              <w:ind w:left="0" w:right="47" w:firstLine="0"/>
              <w:jc w:val="right"/>
              <w:rPr>
                <w:rFonts w:ascii="Arial" w:hAnsi="Arial" w:cs="Arial"/>
                <w:sz w:val="22"/>
                <w:szCs w:val="22"/>
              </w:rPr>
            </w:pPr>
            <w:r>
              <w:rPr>
                <w:rFonts w:ascii="Arial" w:hAnsi="Arial" w:cs="Arial"/>
                <w:sz w:val="22"/>
                <w:szCs w:val="22"/>
              </w:rPr>
              <w:t>(38,960,432)</w:t>
            </w:r>
          </w:p>
        </w:tc>
      </w:tr>
      <w:tr>
        <w:trPr>
          <w:trHeight w:val="75"/>
          <w:jc w:val="center"/>
        </w:trPr>
        <w:tc>
          <w:tcPr>
            <w:tcW w:w="5040" w:type="dxa"/>
            <w:tcBorders>
              <w:top w:val="single" w:sz="2" w:space="0" w:color="auto"/>
            </w:tcBorders>
            <w:shd w:val="clear" w:color="auto" w:fill="auto"/>
            <w:vAlign w:val="bottom"/>
          </w:tcPr>
          <w:p>
            <w:pPr>
              <w:widowControl w:val="0"/>
              <w:ind w:left="0" w:firstLine="0"/>
              <w:rPr>
                <w:rFonts w:ascii="Arial" w:hAnsi="Arial" w:cs="Arial"/>
                <w:sz w:val="22"/>
                <w:szCs w:val="22"/>
              </w:rPr>
            </w:pPr>
          </w:p>
        </w:tc>
        <w:tc>
          <w:tcPr>
            <w:tcW w:w="1800" w:type="dxa"/>
            <w:tcBorders>
              <w:top w:val="single" w:sz="2"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455,882,451</w:t>
            </w:r>
          </w:p>
        </w:tc>
        <w:tc>
          <w:tcPr>
            <w:tcW w:w="1800" w:type="dxa"/>
            <w:tcBorders>
              <w:top w:val="single" w:sz="2"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458,326,773</w:t>
            </w:r>
          </w:p>
        </w:tc>
      </w:tr>
      <w:tr>
        <w:trPr>
          <w:trHeight w:val="80"/>
          <w:jc w:val="center"/>
        </w:trP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Deposits and others</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7,740,633</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8,901,380</w:t>
            </w:r>
          </w:p>
        </w:tc>
      </w:tr>
      <w:tr>
        <w:trPr>
          <w:trHeight w:val="80"/>
          <w:jc w:val="center"/>
        </w:trPr>
        <w:tc>
          <w:tcPr>
            <w:tcW w:w="5040" w:type="dxa"/>
            <w:tcBorders>
              <w:top w:val="single" w:sz="4" w:space="0" w:color="auto"/>
              <w:bottom w:val="double" w:sz="4" w:space="0" w:color="auto"/>
            </w:tcBorders>
            <w:shd w:val="clear" w:color="auto" w:fill="auto"/>
            <w:vAlign w:val="bottom"/>
          </w:tcPr>
          <w:p>
            <w:pPr>
              <w:widowControl w:val="0"/>
              <w:ind w:left="0" w:firstLine="0"/>
              <w:rPr>
                <w:rFonts w:ascii="Arial" w:hAnsi="Arial" w:cs="Arial"/>
                <w:b/>
                <w:sz w:val="22"/>
                <w:szCs w:val="22"/>
              </w:rPr>
            </w:pPr>
          </w:p>
        </w:tc>
        <w:tc>
          <w:tcPr>
            <w:tcW w:w="180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463,623,084</w:t>
            </w: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467,228,153</w:t>
            </w:r>
          </w:p>
        </w:tc>
      </w:tr>
    </w:tbl>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r>
        <w:rPr>
          <w:rFonts w:ascii="Arial" w:hAnsi="Arial" w:cs="Arial"/>
          <w:szCs w:val="22"/>
        </w:rPr>
        <w:t>Acquired assets include residential lots, memorial lots, condominium units, machineries and equipment which the System foreclosed to satisfy outstanding unpaid balances of loans granted to various companies and individuals.</w:t>
      </w:r>
    </w:p>
    <w:p>
      <w:pPr>
        <w:pStyle w:val="BodyText2"/>
        <w:widowControl w:val="0"/>
        <w:numPr>
          <w:ilvl w:val="12"/>
          <w:numId w:val="0"/>
        </w:numPr>
        <w:tabs>
          <w:tab w:val="clear" w:pos="432"/>
          <w:tab w:val="clear" w:pos="864"/>
        </w:tabs>
        <w:rPr>
          <w:rFonts w:ascii="Arial" w:hAnsi="Arial" w:cs="Arial"/>
          <w:szCs w:val="22"/>
        </w:rPr>
      </w:pPr>
    </w:p>
    <w:p>
      <w:pPr>
        <w:pStyle w:val="BodyTextIndent"/>
        <w:widowControl w:val="0"/>
        <w:spacing w:line="240" w:lineRule="auto"/>
        <w:ind w:left="0" w:firstLine="0"/>
        <w:jc w:val="both"/>
        <w:rPr>
          <w:rFonts w:ascii="Arial" w:hAnsi="Arial" w:cs="Arial"/>
          <w:szCs w:val="22"/>
        </w:rPr>
      </w:pPr>
      <w:r>
        <w:rPr>
          <w:rFonts w:ascii="Arial" w:hAnsi="Arial" w:cs="Arial"/>
          <w:szCs w:val="22"/>
        </w:rPr>
        <w:t>The acquired assets include five condominium units that were used as security for the counter attachment bond applied by MRDC.  As of February 2016, the System has already requested the Office of the Government Corporate Counsel (OGCC) in its letter dated February 23, 2016 to undertake the release/cancellation of the mortgage on the subject condominium units considering that the judgment amount in the civil case between MRDC and a Developer has been fully satisfied. The same was reiterated by the System to OGCC in its letter dated February 21, 2017.  On 04 April 2017, AFPRSBS sent a letter to the Insurance Commission requesting for the release of mortgage covering the condominium units located at Ciana Plaza Condominium and the immediate release of Owner’s Duplicate Copy of CCT Nos. 51527,51528,51528,51530, and 51534.  As of 31 December 2017, however, the System is still awaiting reply from the Insurance Commission.</w:t>
      </w:r>
    </w:p>
    <w:p>
      <w:pPr>
        <w:pStyle w:val="BodyText2"/>
        <w:widowControl w:val="0"/>
        <w:numPr>
          <w:ilvl w:val="12"/>
          <w:numId w:val="0"/>
        </w:numPr>
        <w:tabs>
          <w:tab w:val="clear" w:pos="432"/>
          <w:tab w:val="clear" w:pos="864"/>
        </w:tabs>
        <w:rPr>
          <w:rFonts w:ascii="Arial" w:hAnsi="Arial" w:cs="Arial"/>
          <w:szCs w:val="22"/>
        </w:rPr>
      </w:pPr>
    </w:p>
    <w:p>
      <w:pPr>
        <w:pStyle w:val="BodyText2"/>
        <w:widowControl w:val="0"/>
        <w:numPr>
          <w:ilvl w:val="12"/>
          <w:numId w:val="0"/>
        </w:numPr>
        <w:tabs>
          <w:tab w:val="clear" w:pos="432"/>
          <w:tab w:val="clear" w:pos="864"/>
        </w:tabs>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ACCOUNTS PAYABLE AND ACCRUED EXPENSES</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 w:val="left" w:pos="4365"/>
        </w:tabs>
        <w:ind w:left="0" w:firstLine="0"/>
        <w:rPr>
          <w:rFonts w:ascii="Arial" w:hAnsi="Arial" w:cs="Arial"/>
          <w:szCs w:val="22"/>
        </w:rPr>
      </w:pPr>
      <w:r>
        <w:rPr>
          <w:rFonts w:ascii="Arial" w:hAnsi="Arial" w:cs="Arial"/>
          <w:szCs w:val="22"/>
        </w:rPr>
        <w:t>These accounts consist of the following:</w:t>
      </w:r>
      <w:r>
        <w:rPr>
          <w:rFonts w:ascii="Arial" w:hAnsi="Arial" w:cs="Arial"/>
          <w:szCs w:val="22"/>
        </w:rPr>
        <w:tab/>
      </w:r>
    </w:p>
    <w:p>
      <w:pPr>
        <w:pStyle w:val="BodyText2"/>
        <w:widowControl w:val="0"/>
        <w:tabs>
          <w:tab w:val="clear" w:pos="432"/>
          <w:tab w:val="clear" w:pos="864"/>
          <w:tab w:val="left" w:pos="4365"/>
        </w:tabs>
        <w:ind w:left="0" w:firstLine="0"/>
        <w:rPr>
          <w:rFonts w:ascii="Arial" w:hAnsi="Arial" w:cs="Arial"/>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1"/>
        <w:gridCol w:w="1800"/>
        <w:gridCol w:w="1800"/>
      </w:tblGrid>
      <w:tr>
        <w:trPr>
          <w:tblHeader/>
          <w:jc w:val="center"/>
        </w:trPr>
        <w:tc>
          <w:tcPr>
            <w:tcW w:w="5011" w:type="dxa"/>
            <w:tcBorders>
              <w:top w:val="single" w:sz="4" w:space="0" w:color="auto"/>
            </w:tcBorders>
            <w:vAlign w:val="bottom"/>
          </w:tcPr>
          <w:p>
            <w:pPr>
              <w:widowControl w:val="0"/>
              <w:ind w:left="0" w:right="-108" w:firstLine="0"/>
              <w:rPr>
                <w:rFonts w:ascii="Arial" w:hAnsi="Arial" w:cs="Arial"/>
                <w:sz w:val="22"/>
                <w:szCs w:val="22"/>
              </w:rPr>
            </w:pPr>
          </w:p>
        </w:tc>
        <w:tc>
          <w:tcPr>
            <w:tcW w:w="1800" w:type="dxa"/>
            <w:tcBorders>
              <w:top w:val="single" w:sz="4" w:space="0" w:color="auto"/>
            </w:tcBorders>
            <w:vAlign w:val="bottom"/>
          </w:tcPr>
          <w:p>
            <w:pPr>
              <w:pStyle w:val="NoSpacing"/>
              <w:jc w:val="center"/>
              <w:rPr>
                <w:rFonts w:ascii="Arial" w:hAnsi="Arial" w:cs="Arial"/>
                <w:b/>
                <w:sz w:val="22"/>
                <w:szCs w:val="22"/>
              </w:rPr>
            </w:pPr>
            <w:r>
              <w:rPr>
                <w:rFonts w:ascii="Arial" w:hAnsi="Arial" w:cs="Arial"/>
                <w:b/>
                <w:sz w:val="22"/>
                <w:szCs w:val="22"/>
              </w:rPr>
              <w:t>2017</w:t>
            </w:r>
          </w:p>
        </w:tc>
        <w:tc>
          <w:tcPr>
            <w:tcW w:w="1800" w:type="dxa"/>
            <w:tcBorders>
              <w:top w:val="single" w:sz="4" w:space="0" w:color="auto"/>
            </w:tcBorders>
            <w:vAlign w:val="bottom"/>
          </w:tcPr>
          <w:p>
            <w:pPr>
              <w:widowControl w:val="0"/>
              <w:ind w:left="0" w:firstLine="0"/>
              <w:jc w:val="center"/>
              <w:rPr>
                <w:rFonts w:ascii="Arial" w:hAnsi="Arial" w:cs="Arial"/>
                <w:sz w:val="22"/>
                <w:szCs w:val="22"/>
              </w:rPr>
            </w:pPr>
            <w:r>
              <w:rPr>
                <w:rFonts w:ascii="Arial" w:hAnsi="Arial" w:cs="Arial"/>
                <w:sz w:val="22"/>
                <w:szCs w:val="22"/>
              </w:rPr>
              <w:t>2016</w:t>
            </w:r>
          </w:p>
          <w:p>
            <w:pPr>
              <w:widowControl w:val="0"/>
              <w:ind w:left="0" w:firstLine="0"/>
              <w:jc w:val="center"/>
              <w:rPr>
                <w:rFonts w:ascii="Arial" w:hAnsi="Arial" w:cs="Arial"/>
                <w:sz w:val="22"/>
                <w:szCs w:val="22"/>
              </w:rPr>
            </w:pPr>
            <w:r>
              <w:rPr>
                <w:rFonts w:ascii="Arial" w:hAnsi="Arial" w:cs="Arial"/>
                <w:sz w:val="22"/>
                <w:szCs w:val="22"/>
              </w:rPr>
              <w:t>(As restated)</w:t>
            </w:r>
          </w:p>
        </w:tc>
      </w:tr>
      <w:tr>
        <w:trPr>
          <w:jc w:val="center"/>
        </w:trPr>
        <w:tc>
          <w:tcPr>
            <w:tcW w:w="5011" w:type="dxa"/>
            <w:tcBorders>
              <w:top w:val="single" w:sz="4" w:space="0" w:color="auto"/>
            </w:tcBorders>
            <w:vAlign w:val="bottom"/>
          </w:tcPr>
          <w:p>
            <w:pPr>
              <w:widowControl w:val="0"/>
              <w:ind w:left="0" w:right="-108" w:firstLine="0"/>
              <w:rPr>
                <w:rFonts w:ascii="Arial" w:hAnsi="Arial" w:cs="Arial"/>
                <w:sz w:val="22"/>
                <w:szCs w:val="22"/>
              </w:rPr>
            </w:pPr>
          </w:p>
          <w:p>
            <w:pPr>
              <w:widowControl w:val="0"/>
              <w:ind w:left="0" w:right="-108" w:firstLine="0"/>
              <w:rPr>
                <w:rFonts w:ascii="Arial" w:hAnsi="Arial" w:cs="Arial"/>
                <w:sz w:val="22"/>
                <w:szCs w:val="22"/>
              </w:rPr>
            </w:pPr>
            <w:r>
              <w:rPr>
                <w:rFonts w:ascii="Arial" w:hAnsi="Arial" w:cs="Arial"/>
                <w:sz w:val="22"/>
                <w:szCs w:val="22"/>
              </w:rPr>
              <w:t>Trade payables</w:t>
            </w:r>
          </w:p>
        </w:tc>
        <w:tc>
          <w:tcPr>
            <w:tcW w:w="1800" w:type="dxa"/>
            <w:tcBorders>
              <w:top w:val="sing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143,995,288</w:t>
            </w:r>
          </w:p>
        </w:tc>
        <w:tc>
          <w:tcPr>
            <w:tcW w:w="1800" w:type="dxa"/>
            <w:tcBorders>
              <w:top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143,574,514</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Non-trade payables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193,639,559</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174,035,429</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Reserve for real estate development</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35,186,631</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35,841,350</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Accrued employee benefits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96,779,295</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78,237,531</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Accrued operating expenses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27,916,961</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28,639,023</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Retention payable</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21,430,096</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21,964,910</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Payable to real estate brokers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20,901,949</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18,242,245</w:t>
            </w:r>
          </w:p>
        </w:tc>
      </w:tr>
      <w:tr>
        <w:trPr>
          <w:trHeight w:val="180"/>
          <w:jc w:val="center"/>
        </w:trPr>
        <w:tc>
          <w:tcPr>
            <w:tcW w:w="5011" w:type="dxa"/>
          </w:tcPr>
          <w:p>
            <w:pPr>
              <w:widowControl w:val="0"/>
              <w:ind w:left="0" w:right="-108" w:firstLine="0"/>
              <w:rPr>
                <w:rFonts w:ascii="Arial" w:hAnsi="Arial" w:cs="Arial"/>
                <w:sz w:val="22"/>
                <w:szCs w:val="22"/>
              </w:rPr>
            </w:pPr>
            <w:r>
              <w:rPr>
                <w:rFonts w:ascii="Arial" w:hAnsi="Arial" w:cs="Arial"/>
                <w:sz w:val="22"/>
                <w:szCs w:val="22"/>
              </w:rPr>
              <w:t>Payable to landowners</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6,851,650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6,851,650</w:t>
            </w:r>
          </w:p>
        </w:tc>
      </w:tr>
      <w:tr>
        <w:trPr>
          <w:jc w:val="center"/>
        </w:trPr>
        <w:tc>
          <w:tcPr>
            <w:tcW w:w="5011" w:type="dxa"/>
            <w:vAlign w:val="bottom"/>
          </w:tcPr>
          <w:p>
            <w:pPr>
              <w:widowControl w:val="0"/>
              <w:ind w:left="0" w:right="-108" w:firstLine="0"/>
              <w:rPr>
                <w:rFonts w:ascii="Arial" w:hAnsi="Arial" w:cs="Arial"/>
                <w:sz w:val="22"/>
                <w:szCs w:val="22"/>
              </w:rPr>
            </w:pPr>
            <w:r>
              <w:rPr>
                <w:rFonts w:ascii="Arial" w:hAnsi="Arial" w:cs="Arial"/>
                <w:sz w:val="22"/>
                <w:szCs w:val="22"/>
              </w:rPr>
              <w:t>Buyer’s refund payable</w:t>
            </w:r>
          </w:p>
        </w:tc>
        <w:tc>
          <w:tcPr>
            <w:tcW w:w="1800" w:type="dxa"/>
            <w:vAlign w:val="bottom"/>
          </w:tcPr>
          <w:p>
            <w:pPr>
              <w:widowControl w:val="0"/>
              <w:ind w:left="0" w:firstLine="0"/>
              <w:jc w:val="right"/>
              <w:rPr>
                <w:rFonts w:ascii="Arial" w:hAnsi="Arial" w:cs="Arial"/>
                <w:b/>
                <w:sz w:val="22"/>
                <w:szCs w:val="22"/>
              </w:rPr>
            </w:pPr>
            <w:r>
              <w:rPr>
                <w:rFonts w:ascii="Arial" w:hAnsi="Arial" w:cs="Arial"/>
                <w:b/>
                <w:sz w:val="22"/>
                <w:szCs w:val="22"/>
              </w:rPr>
              <w:t>1,899,289</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1,266,122</w:t>
            </w:r>
          </w:p>
        </w:tc>
      </w:tr>
      <w:tr>
        <w:trPr>
          <w:jc w:val="center"/>
        </w:trPr>
        <w:tc>
          <w:tcPr>
            <w:tcW w:w="5011" w:type="dxa"/>
            <w:tcBorders>
              <w:bottom w:val="single" w:sz="4" w:space="0" w:color="auto"/>
            </w:tcBorders>
            <w:vAlign w:val="bottom"/>
          </w:tcPr>
          <w:p>
            <w:pPr>
              <w:widowControl w:val="0"/>
              <w:ind w:left="0" w:right="-108" w:firstLine="0"/>
              <w:rPr>
                <w:rFonts w:ascii="Arial" w:hAnsi="Arial" w:cs="Arial"/>
                <w:sz w:val="22"/>
                <w:szCs w:val="22"/>
              </w:rPr>
            </w:pPr>
            <w:r>
              <w:rPr>
                <w:rFonts w:ascii="Arial" w:hAnsi="Arial" w:cs="Arial"/>
                <w:sz w:val="22"/>
                <w:szCs w:val="22"/>
              </w:rPr>
              <w:t>Other payables</w:t>
            </w:r>
          </w:p>
        </w:tc>
        <w:tc>
          <w:tcPr>
            <w:tcW w:w="1800" w:type="dxa"/>
            <w:tcBorders>
              <w:bottom w:val="sing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7,025,887</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10,420,031</w:t>
            </w:r>
          </w:p>
        </w:tc>
      </w:tr>
      <w:tr>
        <w:trPr>
          <w:jc w:val="center"/>
        </w:trPr>
        <w:tc>
          <w:tcPr>
            <w:tcW w:w="5011" w:type="dxa"/>
            <w:tcBorders>
              <w:top w:val="single" w:sz="4" w:space="0" w:color="auto"/>
              <w:bottom w:val="double" w:sz="4" w:space="0" w:color="auto"/>
            </w:tcBorders>
            <w:vAlign w:val="bottom"/>
          </w:tcPr>
          <w:p>
            <w:pPr>
              <w:widowControl w:val="0"/>
              <w:ind w:left="0" w:right="-108" w:firstLine="0"/>
              <w:rPr>
                <w:rFonts w:ascii="Arial" w:hAnsi="Arial" w:cs="Arial"/>
                <w:sz w:val="22"/>
                <w:szCs w:val="22"/>
              </w:rPr>
            </w:pP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555,626,605</w:t>
            </w: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519,072,805</w:t>
            </w:r>
          </w:p>
        </w:tc>
      </w:tr>
    </w:tbl>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lastRenderedPageBreak/>
        <w:t xml:space="preserve">Trade payables account includes the remaining payables to various tenants for the lot acquisitions made for the Riviera rawlands in the previous years and the balance for the acquisition of Lot-X of the General Santos property.  </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Reserve for real estate development account is composed of the remaining liabilities of the System to its various contractors and the estimated costs to complete the Sta. Rosa Homes Subdivision and San Lorenzo South Subdivision (SLSS) projects of the System.  The amount of estimated costs to complete that was included in the said account is being reviewed periodically to assess the sufficiency of the estimates and to account for other costs that may arise in the course of completing the projects.</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For 2017, a total of P7.822 million were paid to contractors representing either partial or full payment for the completion of various projects that were undertaken at Riviera, Villa Segovia, Mount Zion, and SLSS projects.</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Included in the accrued employee benefits are the accruals made for the provision for employee separation benefits in the total amount of P37.191 million, of which, P13.389 million pertains to accruals for 2017.  The amount is net of the P3.786 million separation costs that were paid to 10 separated employees in 2016 and 2017.  </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MEMBERS’ CONTRIBUTIONS PAYABLE</w:t>
      </w:r>
    </w:p>
    <w:p>
      <w:pPr>
        <w:pStyle w:val="BodyTextIndent3"/>
        <w:widowControl w:val="0"/>
        <w:tabs>
          <w:tab w:val="clear" w:pos="360"/>
          <w:tab w:val="clear" w:pos="864"/>
        </w:tabs>
        <w:ind w:left="0" w:firstLine="0"/>
        <w:jc w:val="both"/>
        <w:rPr>
          <w:rFonts w:ascii="Arial" w:hAnsi="Arial" w:cs="Arial"/>
          <w:szCs w:val="22"/>
        </w:rPr>
      </w:pPr>
    </w:p>
    <w:p>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 xml:space="preserve">This account pertains to estimated amount of refund of contributions payable to retiring members of the AFP within a one-year period.  In April 2016, however, the contributions lodged in the equity portion, those that will not be paid within one-year, were all reclassified to liability as recommended by COA. The transfer was made since the contributions of the members are all due for refund upon their retirements.     </w:t>
      </w:r>
    </w:p>
    <w:p>
      <w:pPr>
        <w:pStyle w:val="BodyTextIndent3"/>
        <w:widowControl w:val="0"/>
        <w:tabs>
          <w:tab w:val="clear" w:pos="360"/>
          <w:tab w:val="clear" w:pos="864"/>
        </w:tabs>
        <w:ind w:left="0" w:firstLine="0"/>
        <w:jc w:val="both"/>
        <w:rPr>
          <w:rFonts w:ascii="Arial" w:hAnsi="Arial" w:cs="Arial"/>
          <w:szCs w:val="22"/>
        </w:rPr>
      </w:pPr>
    </w:p>
    <w:p>
      <w:pPr>
        <w:pStyle w:val="BodyTextIndent3"/>
        <w:widowControl w:val="0"/>
        <w:tabs>
          <w:tab w:val="clear" w:pos="360"/>
          <w:tab w:val="clear" w:pos="864"/>
        </w:tabs>
        <w:ind w:left="0" w:firstLine="0"/>
        <w:jc w:val="both"/>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DEPOSITS AND OTHER LIABILITIES</w:t>
      </w:r>
    </w:p>
    <w:p>
      <w:pPr>
        <w:pStyle w:val="EndnoteText"/>
        <w:widowControl w:val="0"/>
        <w:ind w:left="0" w:firstLine="0"/>
        <w:jc w:val="both"/>
        <w:rPr>
          <w:rFonts w:ascii="Arial" w:hAnsi="Arial" w:cs="Arial"/>
          <w:szCs w:val="22"/>
        </w:rPr>
      </w:pPr>
    </w:p>
    <w:p>
      <w:pPr>
        <w:pStyle w:val="BodyText2"/>
        <w:widowControl w:val="0"/>
        <w:tabs>
          <w:tab w:val="clear" w:pos="432"/>
          <w:tab w:val="clear" w:pos="864"/>
        </w:tabs>
        <w:ind w:left="0" w:firstLine="0"/>
        <w:rPr>
          <w:rFonts w:ascii="Arial" w:hAnsi="Arial" w:cs="Arial"/>
          <w:b/>
          <w:szCs w:val="22"/>
        </w:rPr>
      </w:pPr>
      <w:r>
        <w:rPr>
          <w:rFonts w:ascii="Arial" w:hAnsi="Arial" w:cs="Arial"/>
          <w:szCs w:val="22"/>
        </w:rPr>
        <w:t>This account includes interest collected but not yet earned from certain investments and deposits received from installment buyers of real estate properties prior to completion of the required down payments and those amortizations that are not yet applied in the subsidiary ledgers of the respective buyers.</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ESTIMATED LIABILITY ON EARNINGS OF MEMBERS’ CONTRIBUTIONS</w:t>
      </w:r>
    </w:p>
    <w:p>
      <w:pPr>
        <w:pStyle w:val="BodyText2"/>
        <w:widowControl w:val="0"/>
        <w:tabs>
          <w:tab w:val="clear" w:pos="432"/>
          <w:tab w:val="clear" w:pos="864"/>
        </w:tabs>
        <w:ind w:left="0" w:firstLine="0"/>
        <w:rPr>
          <w:rFonts w:ascii="Arial" w:hAnsi="Arial" w:cs="Arial"/>
          <w:b/>
          <w:szCs w:val="22"/>
        </w:rPr>
      </w:pPr>
    </w:p>
    <w:p>
      <w:pPr>
        <w:widowControl w:val="0"/>
        <w:ind w:left="0" w:firstLine="0"/>
        <w:jc w:val="both"/>
        <w:rPr>
          <w:rFonts w:ascii="Arial" w:hAnsi="Arial" w:cs="Arial"/>
          <w:sz w:val="22"/>
          <w:szCs w:val="22"/>
        </w:rPr>
      </w:pPr>
      <w:r>
        <w:rPr>
          <w:rFonts w:ascii="Arial" w:hAnsi="Arial" w:cs="Arial"/>
          <w:sz w:val="22"/>
          <w:szCs w:val="22"/>
        </w:rPr>
        <w:t>Movements in estimated liability on earnings of MCs are as follows:</w:t>
      </w:r>
    </w:p>
    <w:p>
      <w:pPr>
        <w:widowControl w:val="0"/>
        <w:ind w:left="0" w:firstLine="0"/>
        <w:rPr>
          <w:rFonts w:ascii="Arial" w:hAnsi="Arial" w:cs="Arial"/>
          <w:sz w:val="22"/>
          <w:szCs w:val="22"/>
        </w:rPr>
      </w:pPr>
    </w:p>
    <w:tbl>
      <w:tblPr>
        <w:tblW w:w="8640" w:type="dxa"/>
        <w:jc w:val="center"/>
        <w:tblLayout w:type="fixed"/>
        <w:tblLook w:val="0000" w:firstRow="0" w:lastRow="0" w:firstColumn="0" w:lastColumn="0" w:noHBand="0" w:noVBand="0"/>
      </w:tblPr>
      <w:tblGrid>
        <w:gridCol w:w="5040"/>
        <w:gridCol w:w="1800"/>
        <w:gridCol w:w="1800"/>
      </w:tblGrid>
      <w:tr>
        <w:trPr>
          <w:trHeight w:val="360"/>
          <w:tblHeader/>
          <w:jc w:val="center"/>
        </w:trPr>
        <w:tc>
          <w:tcPr>
            <w:tcW w:w="5040" w:type="dxa"/>
            <w:tcBorders>
              <w:top w:val="single" w:sz="4" w:space="0" w:color="auto"/>
              <w:bottom w:val="single" w:sz="4" w:space="0" w:color="auto"/>
            </w:tcBorders>
            <w:shd w:val="clear" w:color="auto" w:fill="auto"/>
            <w:vAlign w:val="center"/>
          </w:tcPr>
          <w:p>
            <w:pPr>
              <w:widowControl w:val="0"/>
              <w:ind w:left="0"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2016</w:t>
            </w:r>
          </w:p>
        </w:tc>
      </w:tr>
      <w:tr>
        <w:trPr>
          <w:trHeight w:val="341"/>
          <w:jc w:val="center"/>
        </w:trPr>
        <w:tc>
          <w:tcPr>
            <w:tcW w:w="5040" w:type="dxa"/>
            <w:shd w:val="clear" w:color="auto" w:fill="auto"/>
            <w:vAlign w:val="bottom"/>
          </w:tcPr>
          <w:p>
            <w:pPr>
              <w:widowControl w:val="0"/>
              <w:ind w:left="0" w:firstLine="0"/>
              <w:rPr>
                <w:rFonts w:ascii="Arial" w:hAnsi="Arial" w:cs="Arial"/>
                <w:sz w:val="22"/>
                <w:szCs w:val="22"/>
              </w:rPr>
            </w:pPr>
          </w:p>
          <w:p>
            <w:pPr>
              <w:widowControl w:val="0"/>
              <w:ind w:left="0" w:firstLine="0"/>
              <w:rPr>
                <w:rFonts w:ascii="Arial" w:hAnsi="Arial" w:cs="Arial"/>
                <w:sz w:val="22"/>
                <w:szCs w:val="22"/>
              </w:rPr>
            </w:pPr>
            <w:r>
              <w:rPr>
                <w:rFonts w:ascii="Arial" w:hAnsi="Arial" w:cs="Arial"/>
                <w:sz w:val="22"/>
                <w:szCs w:val="22"/>
              </w:rPr>
              <w:t>Balance at beginning of year</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3,763,101,671</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3,925,080,979</w:t>
            </w:r>
          </w:p>
        </w:tc>
      </w:tr>
      <w:tr>
        <w:trPr>
          <w:jc w:val="center"/>
        </w:trP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Payments/adjustments made</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(274,815,002)</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(161,979,308)</w:t>
            </w:r>
          </w:p>
        </w:tc>
      </w:tr>
      <w:tr>
        <w:trPr>
          <w:trHeight w:val="278"/>
          <w:jc w:val="center"/>
        </w:trPr>
        <w:tc>
          <w:tcPr>
            <w:tcW w:w="5040" w:type="dxa"/>
            <w:tcBorders>
              <w:top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Balance at end of year</w:t>
            </w:r>
          </w:p>
        </w:tc>
        <w:tc>
          <w:tcPr>
            <w:tcW w:w="1800" w:type="dxa"/>
            <w:tcBorders>
              <w:top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3,488,286,669</w:t>
            </w:r>
          </w:p>
        </w:tc>
        <w:tc>
          <w:tcPr>
            <w:tcW w:w="1800" w:type="dxa"/>
            <w:tcBorders>
              <w:top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3,763,101,671</w:t>
            </w:r>
          </w:p>
        </w:tc>
      </w:tr>
      <w:tr>
        <w:trPr>
          <w:jc w:val="center"/>
        </w:trP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Current portion</w:t>
            </w:r>
          </w:p>
        </w:tc>
        <w:tc>
          <w:tcPr>
            <w:tcW w:w="1800" w:type="dxa"/>
            <w:tcBorders>
              <w:bottom w:val="single" w:sz="4" w:space="0" w:color="auto"/>
            </w:tcBorders>
            <w:shd w:val="clear" w:color="auto" w:fill="auto"/>
            <w:tcMar>
              <w:left w:w="115" w:type="dxa"/>
              <w:right w:w="43" w:type="dxa"/>
            </w:tcMar>
            <w:vAlign w:val="bottom"/>
          </w:tcPr>
          <w:p>
            <w:pPr>
              <w:widowControl w:val="0"/>
              <w:ind w:left="0" w:right="47" w:firstLine="0"/>
              <w:jc w:val="right"/>
              <w:rPr>
                <w:rFonts w:ascii="Arial" w:hAnsi="Arial" w:cs="Arial"/>
                <w:b/>
                <w:sz w:val="22"/>
                <w:szCs w:val="22"/>
              </w:rPr>
            </w:pPr>
            <w:r>
              <w:rPr>
                <w:rFonts w:ascii="Arial" w:hAnsi="Arial" w:cs="Arial"/>
                <w:b/>
                <w:sz w:val="22"/>
                <w:szCs w:val="22"/>
              </w:rPr>
              <w:t xml:space="preserve"> (202,567,785)</w:t>
            </w:r>
          </w:p>
        </w:tc>
        <w:tc>
          <w:tcPr>
            <w:tcW w:w="1800" w:type="dxa"/>
            <w:tcBorders>
              <w:bottom w:val="single" w:sz="4" w:space="0" w:color="auto"/>
            </w:tcBorders>
            <w:tcMar>
              <w:left w:w="115" w:type="dxa"/>
              <w:right w:w="43" w:type="dxa"/>
            </w:tcMar>
            <w:vAlign w:val="bottom"/>
          </w:tcPr>
          <w:p>
            <w:pPr>
              <w:widowControl w:val="0"/>
              <w:ind w:left="0" w:right="47" w:firstLine="0"/>
              <w:jc w:val="right"/>
              <w:rPr>
                <w:rFonts w:ascii="Arial" w:hAnsi="Arial" w:cs="Arial"/>
                <w:sz w:val="22"/>
                <w:szCs w:val="22"/>
              </w:rPr>
            </w:pPr>
            <w:r>
              <w:rPr>
                <w:rFonts w:ascii="Arial" w:hAnsi="Arial" w:cs="Arial"/>
                <w:sz w:val="22"/>
                <w:szCs w:val="22"/>
              </w:rPr>
              <w:t xml:space="preserve"> (256,148,623)</w:t>
            </w:r>
          </w:p>
        </w:tc>
      </w:tr>
      <w:tr>
        <w:trPr>
          <w:trHeight w:val="360"/>
          <w:jc w:val="center"/>
        </w:trPr>
        <w:tc>
          <w:tcPr>
            <w:tcW w:w="5040" w:type="dxa"/>
            <w:tcBorders>
              <w:bottom w:val="double" w:sz="2" w:space="0" w:color="auto"/>
            </w:tcBorders>
            <w:shd w:val="clear" w:color="auto" w:fill="auto"/>
            <w:vAlign w:val="center"/>
          </w:tcPr>
          <w:p>
            <w:pPr>
              <w:widowControl w:val="0"/>
              <w:ind w:left="0" w:firstLine="0"/>
              <w:rPr>
                <w:rFonts w:ascii="Arial" w:hAnsi="Arial" w:cs="Arial"/>
                <w:b/>
                <w:bCs/>
                <w:sz w:val="22"/>
                <w:szCs w:val="22"/>
              </w:rPr>
            </w:pPr>
          </w:p>
        </w:tc>
        <w:tc>
          <w:tcPr>
            <w:tcW w:w="1800" w:type="dxa"/>
            <w:tcBorders>
              <w:bottom w:val="double" w:sz="2"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3,285,718,884</w:t>
            </w:r>
          </w:p>
        </w:tc>
        <w:tc>
          <w:tcPr>
            <w:tcW w:w="1800" w:type="dxa"/>
            <w:tcBorders>
              <w:bottom w:val="double" w:sz="2"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3,506,953,048</w:t>
            </w:r>
          </w:p>
        </w:tc>
      </w:tr>
    </w:tbl>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System started granting four per cent interest on MCs as per SOP No. 11-92 which shall be compounded yearly effective January 1992 and that will accrue up to the time the member retires or is separated from the service.  The interests will be paid out together with the refund of MCs to the System.  Effective January 1996, the interest on MCs was increased to six per cent per annum compounded annually.</w:t>
      </w:r>
    </w:p>
    <w:p>
      <w:pPr>
        <w:ind w:left="0" w:firstLine="0"/>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In November 2010, the BOT approved the adoption of simple interest per annum on MCs from 1992 onwards.  The approval is effective to those who will retire from January 2011 onwards.</w:t>
      </w:r>
    </w:p>
    <w:p>
      <w:pPr>
        <w:widowControl w:val="0"/>
        <w:ind w:left="0" w:firstLine="0"/>
        <w:jc w:val="both"/>
        <w:rPr>
          <w:rFonts w:ascii="Arial" w:hAnsi="Arial" w:cs="Arial"/>
          <w:sz w:val="22"/>
          <w:szCs w:val="22"/>
        </w:rPr>
      </w:pPr>
    </w:p>
    <w:p>
      <w:pPr>
        <w:ind w:left="0" w:firstLine="0"/>
        <w:jc w:val="both"/>
        <w:rPr>
          <w:rFonts w:ascii="Arial" w:hAnsi="Arial" w:cs="Arial"/>
          <w:sz w:val="22"/>
          <w:szCs w:val="22"/>
        </w:rPr>
      </w:pPr>
      <w:r>
        <w:rPr>
          <w:rFonts w:ascii="Arial" w:hAnsi="Arial" w:cs="Arial"/>
          <w:sz w:val="22"/>
          <w:szCs w:val="22"/>
        </w:rPr>
        <w:t xml:space="preserve">The System reviews periodically the computed estimated liability on earnings of MCs in order to reflect the latest estimates of accumulated earnings thereon.  The yearly interest accruals are being charged against the Retained earnings.  </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current portion of estimated liability on earnings of MCs is based on the actual cash payments made during the year plus the average increase per year.</w:t>
      </w:r>
    </w:p>
    <w:p>
      <w:pPr>
        <w:widowControl w:val="0"/>
        <w:ind w:left="0" w:firstLine="0"/>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In April 2016, the System stopped computing for interests on MCs in compliance with the provision of MO No. 90 providing for the abolition of the System.  For the period January to March 2016, a total amount of P169.391 million was accrued as interests earned on MCs and were charged to the current operations of the System as finance cost under the investment expenses category.</w:t>
      </w:r>
    </w:p>
    <w:p>
      <w:pPr>
        <w:widowControl w:val="0"/>
        <w:ind w:left="0" w:firstLine="0"/>
        <w:rPr>
          <w:rFonts w:ascii="Arial" w:hAnsi="Arial" w:cs="Arial"/>
          <w:sz w:val="22"/>
          <w:szCs w:val="22"/>
        </w:rPr>
      </w:pPr>
    </w:p>
    <w:p>
      <w:pPr>
        <w:widowControl w:val="0"/>
        <w:ind w:left="0" w:firstLine="0"/>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FUND EQUITY</w:t>
      </w:r>
    </w:p>
    <w:p>
      <w:pPr>
        <w:pStyle w:val="EndnoteText"/>
        <w:widowControl w:val="0"/>
        <w:ind w:left="0" w:firstLine="0"/>
        <w:rPr>
          <w:rFonts w:ascii="Arial" w:hAnsi="Arial" w:cs="Arial"/>
          <w:szCs w:val="22"/>
        </w:rPr>
      </w:pPr>
    </w:p>
    <w:p>
      <w:pPr>
        <w:widowControl w:val="0"/>
        <w:ind w:left="0" w:firstLine="0"/>
        <w:jc w:val="both"/>
        <w:rPr>
          <w:rFonts w:ascii="Arial" w:hAnsi="Arial" w:cs="Arial"/>
          <w:sz w:val="22"/>
          <w:szCs w:val="22"/>
        </w:rPr>
      </w:pPr>
      <w:r>
        <w:rPr>
          <w:rFonts w:ascii="Arial" w:hAnsi="Arial" w:cs="Arial"/>
          <w:sz w:val="22"/>
          <w:szCs w:val="22"/>
        </w:rPr>
        <w:t>Pursuant to PD No. 361, the System was established for the purpose of providing a separate fund or scheme to ensure payment of retirement and separation benefits to the members of the AFP.</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Accordingly, the System was funded mainly through the following: (a) appropriation remitted by the Philippine Government, the total commitment of which amounted to P200 million; (b) the contributions from officers and enlisted personnel in the active service which was pegged at four per cent of their basic and longevity pay; and (c) income from investment operations.</w:t>
      </w:r>
    </w:p>
    <w:p>
      <w:pPr>
        <w:widowControl w:val="0"/>
        <w:ind w:left="0" w:firstLine="0"/>
        <w:rPr>
          <w:rFonts w:ascii="Arial" w:eastAsia="Arial" w:hAnsi="Arial" w:cs="Arial"/>
          <w:sz w:val="22"/>
          <w:szCs w:val="22"/>
        </w:rPr>
      </w:pPr>
    </w:p>
    <w:p>
      <w:pPr>
        <w:widowControl w:val="0"/>
        <w:ind w:left="0" w:firstLine="0"/>
        <w:jc w:val="both"/>
        <w:rPr>
          <w:rFonts w:ascii="Arial" w:eastAsia="Arial" w:hAnsi="Arial" w:cs="Arial"/>
          <w:sz w:val="22"/>
          <w:szCs w:val="22"/>
        </w:rPr>
      </w:pPr>
      <w:r>
        <w:rPr>
          <w:rFonts w:ascii="Arial" w:eastAsia="Arial" w:hAnsi="Arial" w:cs="Arial"/>
          <w:sz w:val="22"/>
          <w:szCs w:val="22"/>
        </w:rPr>
        <w:t>On December 21, 1979, PD No. 1656 was promulgated amending certain provisions of PD No. 361.  Under PD No. 1656, the fund of the System shall be allowed to grow to be able to provide perpetually the cash requirement covering the retirement and separation benefits payment to military members of the AFP on a self-sustaining basis.  Prior to the time when perpetual self-sufficiency of the fund is attained as determined by actuarial valuation, the yearly requirement for the retirement and separation benefits of military personnel as provided by RA No. 340 as amended, PD No. 1638, as amended by PD No. 1650, and such other similar laws as may be enacted, shall be included in and funded out of the annual appropriations for the AFP.</w:t>
      </w:r>
    </w:p>
    <w:p>
      <w:pPr>
        <w:ind w:left="0" w:firstLine="0"/>
        <w:rPr>
          <w:rFonts w:ascii="Arial" w:eastAsia="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Pursuant to PD No. 1656 amending Section 4 of PD No. 361, the rate of MCs became five per cent of basic pay effective January 1, 1980.  The total contributions including the earned interest shall be refunded in lump sum to the officer or enlisted personnel upon separation or retirement from military service.</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On March 22, 1984, PD No. 1656 was further amended by PD No. 1909, which considered military personnel who retired from the active service prior to September 10, 1979 and are receiving annual retirement pension from the AFP, as additional members of the System.  Hence, they have been required to contribute an amount equivalent to five per cent of their gross monthly pension as adjusted pursuant to PD No. 1909.  On December 17, 1990, it was ruled that their contributions shall be stopped upon reaching the age of 65 when they become entitled to the refund of their accumulated contributions.</w:t>
      </w:r>
    </w:p>
    <w:p>
      <w:pPr>
        <w:widowControl w:val="0"/>
        <w:ind w:left="0" w:firstLine="0"/>
        <w:jc w:val="both"/>
        <w:rPr>
          <w:rFonts w:ascii="Arial" w:hAnsi="Arial" w:cs="Arial"/>
          <w:sz w:val="22"/>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Further, under PD No. 1909, the System shall support the payment of the increase in pension rate of retired personnel prior to September 10, 1979. This is for the purpose of aligning the prevailing pay scale of the officers and enlisted men in active service so that they will be given the same means and support as those who recently retired to meet the increasing cost of living and demand for better social and economic life. Such equalization was initially funded from savings out of the P200 million AFP appropriation mentioned above, and it had been incorporated subsequently into the AFP’s annual budget for pension.</w:t>
      </w:r>
    </w:p>
    <w:p>
      <w:pPr>
        <w:widowControl w:val="0"/>
        <w:ind w:left="0" w:firstLine="0"/>
        <w:jc w:val="both"/>
        <w:rPr>
          <w:rFonts w:ascii="Arial" w:hAnsi="Arial" w:cs="Arial"/>
          <w:sz w:val="22"/>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On August 12, 2003, the Supreme Court (SC) declared the System as a government entity and that its funds are in the nature of public funds. The decision became final and executory on December 10, 2003. The SC likewise stated that the System was created by PD No. 361 whose purpose and function are similar to those of Government Service and Insurance System and Social Security System.</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In April 2016, the System has already reclassified the members’ contributions as part of its liabilities (previously treated as equity) in the 2016 Financial Statements.  The said contributions are being refunded as they fall due as embodied in the issued MO No. 90.   </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Cs/>
          <w:szCs w:val="22"/>
        </w:rPr>
      </w:pPr>
      <w:r>
        <w:rPr>
          <w:rFonts w:ascii="Arial" w:hAnsi="Arial" w:cs="Arial"/>
          <w:bCs/>
          <w:szCs w:val="22"/>
        </w:rPr>
        <w:t>As of December 31, 2017, the remaining Fund Equity of the System is composed of the P200 million government contributions, retained earnings of P1.394 billion and other comprehensive income of P2.326 million representing the cumulative income on changes in fair value of stocks.  The System’s Retained Earnings account continued to increase since the stoppage of the accrual of interest on members contributions effective March 2016.</w:t>
      </w:r>
    </w:p>
    <w:p>
      <w:pPr>
        <w:pStyle w:val="Heading1"/>
        <w:keepNext w:val="0"/>
        <w:widowControl w:val="0"/>
        <w:tabs>
          <w:tab w:val="clear" w:pos="432"/>
          <w:tab w:val="clear" w:pos="864"/>
        </w:tabs>
        <w:spacing w:line="240" w:lineRule="auto"/>
        <w:ind w:left="0" w:firstLine="0"/>
        <w:rPr>
          <w:rFonts w:ascii="Arial" w:hAnsi="Arial" w:cs="Arial"/>
          <w:b w:val="0"/>
          <w:szCs w:val="22"/>
        </w:rPr>
      </w:pPr>
    </w:p>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MEMBERS’ CONTRIBUTIONS</w:t>
      </w:r>
    </w:p>
    <w:p>
      <w:pPr>
        <w:pStyle w:val="EndnoteText"/>
        <w:widowControl w:val="0"/>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MCs are stated based on the remittance reports on actual deductions from the compensation of officers and enlisted personnel in the active service.  This account also includes contributions from the retirees covered by PD No. 1909, which is equivalent to five per cent of their gross monthly pension. However, no new contributions are being received from the retirees covered by PD No. 1909.  The last contribution received by </w:t>
      </w:r>
      <w:r>
        <w:rPr>
          <w:rFonts w:ascii="Arial" w:hAnsi="Arial" w:cs="Arial"/>
          <w:szCs w:val="22"/>
        </w:rPr>
        <w:lastRenderedPageBreak/>
        <w:t>the System from the retirees was in November 2014.</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i/>
          <w:szCs w:val="22"/>
        </w:rPr>
      </w:pPr>
      <w:r>
        <w:rPr>
          <w:rFonts w:ascii="Arial" w:hAnsi="Arial" w:cs="Arial"/>
          <w:szCs w:val="22"/>
        </w:rPr>
        <w:t xml:space="preserve">On April 19, 2016, the BOL approved the stoppage of the collection of five per cent MCs effective March 31, 2016 as per Board Resolution No. SPL -01-2016.  Hence, no new contributions were received by the System, except for some supplementary contributions pertaining to prior months </w:t>
      </w:r>
      <w:r>
        <w:rPr>
          <w:rFonts w:ascii="Arial" w:hAnsi="Arial" w:cs="Arial"/>
          <w:i/>
          <w:szCs w:val="22"/>
        </w:rPr>
        <w:t>(See Notes 19 and 21).</w:t>
      </w:r>
    </w:p>
    <w:p>
      <w:pPr>
        <w:pStyle w:val="BodyText2"/>
        <w:widowControl w:val="0"/>
        <w:tabs>
          <w:tab w:val="clear" w:pos="432"/>
          <w:tab w:val="clear" w:pos="864"/>
        </w:tabs>
        <w:ind w:left="0" w:firstLine="0"/>
        <w:rPr>
          <w:rFonts w:ascii="Arial" w:hAnsi="Arial" w:cs="Arial"/>
          <w:i/>
          <w:szCs w:val="22"/>
        </w:rPr>
      </w:pPr>
    </w:p>
    <w:p>
      <w:pPr>
        <w:pStyle w:val="BodyText2"/>
        <w:widowControl w:val="0"/>
        <w:tabs>
          <w:tab w:val="clear" w:pos="432"/>
          <w:tab w:val="clear" w:pos="864"/>
        </w:tabs>
        <w:ind w:left="0" w:firstLine="0"/>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REVENUES</w:t>
      </w:r>
    </w:p>
    <w:p>
      <w:pPr>
        <w:pStyle w:val="BodyText2"/>
        <w:widowControl w:val="0"/>
        <w:tabs>
          <w:tab w:val="clear" w:pos="432"/>
          <w:tab w:val="clear" w:pos="864"/>
        </w:tabs>
        <w:ind w:left="0" w:firstLine="0"/>
        <w:rPr>
          <w:rFonts w:ascii="Arial" w:hAnsi="Arial" w:cs="Arial"/>
          <w:b/>
          <w:szCs w:val="22"/>
        </w:rPr>
      </w:pPr>
    </w:p>
    <w:p>
      <w:pPr>
        <w:widowControl w:val="0"/>
        <w:jc w:val="both"/>
        <w:rPr>
          <w:rFonts w:ascii="Arial" w:hAnsi="Arial" w:cs="Arial"/>
          <w:sz w:val="22"/>
          <w:szCs w:val="22"/>
        </w:rPr>
      </w:pPr>
      <w:r>
        <w:rPr>
          <w:rFonts w:ascii="Arial" w:hAnsi="Arial" w:cs="Arial"/>
          <w:sz w:val="22"/>
          <w:szCs w:val="22"/>
        </w:rPr>
        <w:t>Revenues consist of the following:</w:t>
      </w:r>
    </w:p>
    <w:p>
      <w:pPr>
        <w:widowControl w:val="0"/>
        <w:jc w:val="both"/>
        <w:rPr>
          <w:rFonts w:ascii="Arial" w:hAnsi="Arial" w:cs="Arial"/>
          <w:sz w:val="22"/>
          <w:szCs w:val="22"/>
        </w:rPr>
      </w:pPr>
    </w:p>
    <w:tbl>
      <w:tblPr>
        <w:tblW w:w="8640" w:type="dxa"/>
        <w:tblInd w:w="108" w:type="dxa"/>
        <w:tblLayout w:type="fixed"/>
        <w:tblLook w:val="0000" w:firstRow="0" w:lastRow="0" w:firstColumn="0" w:lastColumn="0" w:noHBand="0" w:noVBand="0"/>
      </w:tblPr>
      <w:tblGrid>
        <w:gridCol w:w="5040"/>
        <w:gridCol w:w="180"/>
        <w:gridCol w:w="1620"/>
        <w:gridCol w:w="1800"/>
      </w:tblGrid>
      <w:tr>
        <w:trPr>
          <w:tblHeader/>
        </w:trPr>
        <w:tc>
          <w:tcPr>
            <w:tcW w:w="5040" w:type="dxa"/>
            <w:tcBorders>
              <w:top w:val="single" w:sz="4" w:space="0" w:color="auto"/>
              <w:bottom w:val="single" w:sz="4" w:space="0" w:color="auto"/>
            </w:tcBorders>
            <w:shd w:val="clear" w:color="auto" w:fill="auto"/>
            <w:vAlign w:val="center"/>
          </w:tcPr>
          <w:p>
            <w:pPr>
              <w:widowControl w:val="0"/>
              <w:ind w:left="0" w:firstLine="0"/>
              <w:jc w:val="center"/>
              <w:rPr>
                <w:rFonts w:ascii="Arial" w:hAnsi="Arial" w:cs="Arial"/>
                <w:b/>
                <w:bCs/>
                <w:sz w:val="22"/>
                <w:szCs w:val="22"/>
              </w:rPr>
            </w:pPr>
          </w:p>
        </w:tc>
        <w:tc>
          <w:tcPr>
            <w:tcW w:w="1800" w:type="dxa"/>
            <w:gridSpan w:val="2"/>
            <w:tcBorders>
              <w:top w:val="single" w:sz="4" w:space="0" w:color="auto"/>
              <w:bottom w:val="single" w:sz="4" w:space="0" w:color="auto"/>
            </w:tcBorders>
            <w:vAlign w:val="center"/>
          </w:tcPr>
          <w:p>
            <w:pPr>
              <w:widowControl w:val="0"/>
              <w:ind w:left="0" w:firstLine="0"/>
              <w:jc w:val="center"/>
              <w:rPr>
                <w:rFonts w:ascii="Arial" w:hAnsi="Arial" w:cs="Arial"/>
                <w:b/>
                <w:bCs/>
                <w:sz w:val="22"/>
                <w:szCs w:val="22"/>
              </w:rPr>
            </w:pPr>
            <w:r>
              <w:rPr>
                <w:rFonts w:ascii="Arial" w:hAnsi="Arial" w:cs="Arial"/>
                <w:b/>
                <w:bCs/>
                <w:sz w:val="22"/>
                <w:szCs w:val="22"/>
              </w:rPr>
              <w:t xml:space="preserve">    2017</w:t>
            </w:r>
          </w:p>
        </w:tc>
        <w:tc>
          <w:tcPr>
            <w:tcW w:w="1800" w:type="dxa"/>
            <w:tcBorders>
              <w:top w:val="single" w:sz="4" w:space="0" w:color="auto"/>
              <w:bottom w:val="single" w:sz="4" w:space="0" w:color="auto"/>
            </w:tcBorders>
            <w:vAlign w:val="center"/>
          </w:tcPr>
          <w:p>
            <w:pPr>
              <w:widowControl w:val="0"/>
              <w:ind w:left="0" w:firstLine="0"/>
              <w:jc w:val="center"/>
              <w:rPr>
                <w:rFonts w:ascii="Arial" w:hAnsi="Arial" w:cs="Arial"/>
                <w:b/>
                <w:bCs/>
                <w:sz w:val="22"/>
                <w:szCs w:val="22"/>
              </w:rPr>
            </w:pPr>
            <w:r>
              <w:rPr>
                <w:rFonts w:ascii="Arial" w:hAnsi="Arial" w:cs="Arial"/>
                <w:b/>
                <w:bCs/>
                <w:sz w:val="22"/>
                <w:szCs w:val="22"/>
              </w:rPr>
              <w:t xml:space="preserve">    2016</w:t>
            </w:r>
          </w:p>
        </w:tc>
      </w:tr>
      <w:tr>
        <w:tc>
          <w:tcPr>
            <w:tcW w:w="5040" w:type="dxa"/>
            <w:tcBorders>
              <w:top w:val="single" w:sz="4" w:space="0" w:color="auto"/>
            </w:tcBorders>
            <w:shd w:val="clear" w:color="auto" w:fill="auto"/>
            <w:vAlign w:val="bottom"/>
          </w:tcPr>
          <w:p>
            <w:pPr>
              <w:widowControl w:val="0"/>
              <w:ind w:left="0" w:firstLine="0"/>
              <w:rPr>
                <w:rFonts w:ascii="Arial" w:hAnsi="Arial" w:cs="Arial"/>
                <w:b/>
                <w:sz w:val="22"/>
                <w:szCs w:val="22"/>
              </w:rPr>
            </w:pPr>
          </w:p>
          <w:p>
            <w:pPr>
              <w:widowControl w:val="0"/>
              <w:ind w:left="0" w:firstLine="0"/>
              <w:rPr>
                <w:rFonts w:ascii="Arial" w:hAnsi="Arial" w:cs="Arial"/>
                <w:b/>
                <w:sz w:val="22"/>
                <w:szCs w:val="22"/>
              </w:rPr>
            </w:pPr>
            <w:r>
              <w:rPr>
                <w:rFonts w:ascii="Arial" w:hAnsi="Arial" w:cs="Arial"/>
                <w:b/>
                <w:sz w:val="22"/>
                <w:szCs w:val="22"/>
              </w:rPr>
              <w:t>Fund management operations</w:t>
            </w:r>
          </w:p>
        </w:tc>
        <w:tc>
          <w:tcPr>
            <w:tcW w:w="1800" w:type="dxa"/>
            <w:gridSpan w:val="2"/>
            <w:tcBorders>
              <w:top w:val="single" w:sz="4" w:space="0" w:color="auto"/>
            </w:tcBorders>
          </w:tcPr>
          <w:p>
            <w:pPr>
              <w:widowControl w:val="0"/>
              <w:ind w:left="0" w:firstLine="0"/>
              <w:jc w:val="right"/>
              <w:rPr>
                <w:rFonts w:ascii="Arial" w:hAnsi="Arial" w:cs="Arial"/>
                <w:sz w:val="22"/>
                <w:szCs w:val="22"/>
              </w:rPr>
            </w:pPr>
          </w:p>
        </w:tc>
        <w:tc>
          <w:tcPr>
            <w:tcW w:w="1800" w:type="dxa"/>
            <w:tcBorders>
              <w:top w:val="single" w:sz="4" w:space="0" w:color="auto"/>
            </w:tcBorders>
          </w:tcPr>
          <w:p>
            <w:pPr>
              <w:widowControl w:val="0"/>
              <w:ind w:left="0" w:firstLine="0"/>
              <w:jc w:val="right"/>
              <w:rPr>
                <w:rFonts w:ascii="Arial" w:hAnsi="Arial" w:cs="Arial"/>
                <w:sz w:val="22"/>
                <w:szCs w:val="22"/>
              </w:rPr>
            </w:pPr>
          </w:p>
        </w:tc>
      </w:tr>
      <w:tr>
        <w:tc>
          <w:tcPr>
            <w:tcW w:w="5040" w:type="dxa"/>
            <w:shd w:val="clear" w:color="auto" w:fill="auto"/>
          </w:tcPr>
          <w:p>
            <w:pPr>
              <w:widowControl w:val="0"/>
              <w:ind w:left="0" w:firstLine="0"/>
              <w:rPr>
                <w:rFonts w:ascii="Arial" w:hAnsi="Arial" w:cs="Arial"/>
                <w:sz w:val="22"/>
                <w:szCs w:val="22"/>
              </w:rPr>
            </w:pPr>
            <w:r>
              <w:rPr>
                <w:rFonts w:ascii="Arial" w:hAnsi="Arial" w:cs="Arial"/>
                <w:sz w:val="22"/>
                <w:szCs w:val="22"/>
              </w:rPr>
              <w:t xml:space="preserve">    Income from Long-term investments</w:t>
            </w:r>
          </w:p>
        </w:tc>
        <w:tc>
          <w:tcPr>
            <w:tcW w:w="1800" w:type="dxa"/>
            <w:gridSpan w:val="2"/>
          </w:tcPr>
          <w:p>
            <w:pPr>
              <w:jc w:val="right"/>
              <w:rPr>
                <w:rFonts w:ascii="Arial" w:hAnsi="Arial" w:cs="Arial"/>
                <w:sz w:val="22"/>
                <w:szCs w:val="22"/>
              </w:rPr>
            </w:pPr>
            <w:r>
              <w:rPr>
                <w:rFonts w:ascii="Arial" w:hAnsi="Arial" w:cs="Arial"/>
                <w:sz w:val="22"/>
                <w:szCs w:val="22"/>
              </w:rPr>
              <w:t>174,712,878</w:t>
            </w:r>
          </w:p>
        </w:tc>
        <w:tc>
          <w:tcPr>
            <w:tcW w:w="1800" w:type="dxa"/>
          </w:tcPr>
          <w:p>
            <w:pPr>
              <w:jc w:val="right"/>
              <w:rPr>
                <w:rFonts w:ascii="Arial" w:hAnsi="Arial" w:cs="Arial"/>
                <w:sz w:val="22"/>
                <w:szCs w:val="22"/>
              </w:rPr>
            </w:pPr>
            <w:r>
              <w:rPr>
                <w:rFonts w:ascii="Arial" w:hAnsi="Arial" w:cs="Arial"/>
                <w:sz w:val="22"/>
                <w:szCs w:val="22"/>
              </w:rPr>
              <w:t>154,373,411</w:t>
            </w:r>
          </w:p>
        </w:tc>
      </w:tr>
      <w:tr>
        <w:tc>
          <w:tcPr>
            <w:tcW w:w="5040" w:type="dxa"/>
            <w:shd w:val="clear" w:color="auto" w:fill="auto"/>
            <w:vAlign w:val="bottom"/>
          </w:tcPr>
          <w:p>
            <w:pPr>
              <w:widowControl w:val="0"/>
              <w:ind w:left="0" w:firstLine="0"/>
              <w:rPr>
                <w:rFonts w:ascii="Arial" w:hAnsi="Arial" w:cs="Arial"/>
                <w:b/>
                <w:sz w:val="22"/>
                <w:szCs w:val="22"/>
              </w:rPr>
            </w:pPr>
            <w:r>
              <w:rPr>
                <w:rFonts w:ascii="Arial" w:hAnsi="Arial" w:cs="Arial"/>
                <w:sz w:val="22"/>
                <w:szCs w:val="22"/>
              </w:rPr>
              <w:t xml:space="preserve">    Interest on MMP/deposit in banks/treasury bills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18,291,639</w:t>
            </w:r>
          </w:p>
        </w:tc>
        <w:tc>
          <w:tcPr>
            <w:tcW w:w="1800" w:type="dxa"/>
          </w:tcPr>
          <w:p>
            <w:pPr>
              <w:widowControl w:val="0"/>
              <w:ind w:left="0" w:firstLine="0"/>
              <w:jc w:val="right"/>
              <w:rPr>
                <w:rFonts w:ascii="Arial" w:hAnsi="Arial" w:cs="Arial"/>
                <w:sz w:val="22"/>
                <w:szCs w:val="22"/>
              </w:rPr>
            </w:pPr>
            <w:r>
              <w:rPr>
                <w:rFonts w:ascii="Arial" w:hAnsi="Arial" w:cs="Arial"/>
                <w:sz w:val="22"/>
                <w:szCs w:val="22"/>
              </w:rPr>
              <w:t>40,185,859</w:t>
            </w:r>
          </w:p>
        </w:tc>
      </w:tr>
      <w:t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Income from stocks/Dividends</w:t>
            </w:r>
          </w:p>
        </w:tc>
        <w:tc>
          <w:tcPr>
            <w:tcW w:w="1800" w:type="dxa"/>
            <w:gridSpan w:val="2"/>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1,087,884</w:t>
            </w:r>
          </w:p>
        </w:tc>
        <w:tc>
          <w:tcPr>
            <w:tcW w:w="180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663,685</w:t>
            </w:r>
          </w:p>
        </w:tc>
      </w:tr>
      <w:t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22"/>
                <w:szCs w:val="22"/>
              </w:rPr>
            </w:pPr>
          </w:p>
        </w:tc>
        <w:tc>
          <w:tcPr>
            <w:tcW w:w="1800" w:type="dxa"/>
            <w:gridSpan w:val="2"/>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194,092,401</w:t>
            </w:r>
          </w:p>
        </w:tc>
        <w:tc>
          <w:tcPr>
            <w:tcW w:w="1800" w:type="dxa"/>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195,222,955</w:t>
            </w:r>
          </w:p>
        </w:tc>
      </w:tr>
      <w:tr>
        <w:tc>
          <w:tcPr>
            <w:tcW w:w="5040" w:type="dxa"/>
            <w:tcBorders>
              <w:top w:val="single" w:sz="4" w:space="0" w:color="auto"/>
            </w:tcBorders>
            <w:shd w:val="clear" w:color="auto" w:fill="auto"/>
            <w:vAlign w:val="bottom"/>
          </w:tcPr>
          <w:p>
            <w:pPr>
              <w:pStyle w:val="NoSpacing"/>
              <w:rPr>
                <w:rFonts w:ascii="Arial" w:hAnsi="Arial" w:cs="Arial"/>
                <w:b/>
                <w:sz w:val="22"/>
                <w:szCs w:val="22"/>
              </w:rPr>
            </w:pPr>
          </w:p>
        </w:tc>
        <w:tc>
          <w:tcPr>
            <w:tcW w:w="1800" w:type="dxa"/>
            <w:gridSpan w:val="2"/>
            <w:tcBorders>
              <w:top w:val="single" w:sz="4" w:space="0" w:color="auto"/>
            </w:tcBorders>
          </w:tcPr>
          <w:p>
            <w:pPr>
              <w:pStyle w:val="NoSpacing"/>
              <w:rPr>
                <w:rFonts w:ascii="Arial" w:hAnsi="Arial" w:cs="Arial"/>
                <w:b/>
                <w:color w:val="FF0000"/>
                <w:sz w:val="22"/>
                <w:szCs w:val="22"/>
              </w:rPr>
            </w:pPr>
          </w:p>
        </w:tc>
        <w:tc>
          <w:tcPr>
            <w:tcW w:w="1800" w:type="dxa"/>
            <w:tcBorders>
              <w:top w:val="single" w:sz="4" w:space="0" w:color="auto"/>
            </w:tcBorders>
          </w:tcPr>
          <w:p>
            <w:pPr>
              <w:pStyle w:val="NoSpacing"/>
              <w:rPr>
                <w:rFonts w:ascii="Arial" w:hAnsi="Arial" w:cs="Arial"/>
                <w:b/>
                <w:sz w:val="22"/>
                <w:szCs w:val="22"/>
              </w:rPr>
            </w:pPr>
          </w:p>
        </w:tc>
      </w:tr>
      <w:tr>
        <w:tc>
          <w:tcPr>
            <w:tcW w:w="5040" w:type="dxa"/>
            <w:shd w:val="clear" w:color="auto" w:fill="auto"/>
            <w:vAlign w:val="bottom"/>
          </w:tcPr>
          <w:p>
            <w:pPr>
              <w:pStyle w:val="NoSpacing"/>
              <w:rPr>
                <w:rFonts w:ascii="Arial" w:hAnsi="Arial" w:cs="Arial"/>
                <w:b/>
                <w:sz w:val="22"/>
                <w:szCs w:val="22"/>
              </w:rPr>
            </w:pPr>
            <w:r>
              <w:rPr>
                <w:rFonts w:ascii="Arial" w:hAnsi="Arial" w:cs="Arial"/>
                <w:b/>
                <w:sz w:val="22"/>
                <w:szCs w:val="22"/>
              </w:rPr>
              <w:t>Lending operations</w:t>
            </w:r>
          </w:p>
        </w:tc>
        <w:tc>
          <w:tcPr>
            <w:tcW w:w="1800" w:type="dxa"/>
            <w:gridSpan w:val="2"/>
          </w:tcPr>
          <w:p>
            <w:pPr>
              <w:pStyle w:val="NoSpacing"/>
              <w:rPr>
                <w:rFonts w:ascii="Arial" w:hAnsi="Arial" w:cs="Arial"/>
                <w:b/>
                <w:color w:val="FF0000"/>
                <w:sz w:val="22"/>
                <w:szCs w:val="22"/>
              </w:rPr>
            </w:pPr>
            <w:r>
              <w:rPr>
                <w:rFonts w:ascii="Arial" w:hAnsi="Arial" w:cs="Arial"/>
                <w:b/>
                <w:color w:val="FF0000"/>
                <w:sz w:val="22"/>
                <w:szCs w:val="22"/>
              </w:rPr>
              <w:t xml:space="preserve">       </w:t>
            </w:r>
          </w:p>
        </w:tc>
        <w:tc>
          <w:tcPr>
            <w:tcW w:w="1800" w:type="dxa"/>
          </w:tcPr>
          <w:p>
            <w:pPr>
              <w:pStyle w:val="NoSpacing"/>
              <w:rPr>
                <w:rFonts w:ascii="Arial" w:hAnsi="Arial" w:cs="Arial"/>
                <w:b/>
                <w:sz w:val="22"/>
                <w:szCs w:val="22"/>
              </w:rPr>
            </w:pPr>
            <w:r>
              <w:rPr>
                <w:rFonts w:ascii="Arial" w:hAnsi="Arial" w:cs="Arial"/>
                <w:b/>
                <w:sz w:val="22"/>
                <w:szCs w:val="22"/>
              </w:rPr>
              <w:t xml:space="preserve">       </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ICRs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21,766,313</w:t>
            </w:r>
          </w:p>
        </w:tc>
        <w:tc>
          <w:tcPr>
            <w:tcW w:w="1800" w:type="dxa"/>
          </w:tcPr>
          <w:p>
            <w:pPr>
              <w:widowControl w:val="0"/>
              <w:ind w:left="0" w:firstLine="0"/>
              <w:jc w:val="right"/>
              <w:rPr>
                <w:rFonts w:ascii="Arial" w:hAnsi="Arial" w:cs="Arial"/>
                <w:sz w:val="22"/>
                <w:szCs w:val="22"/>
              </w:rPr>
            </w:pPr>
            <w:r>
              <w:rPr>
                <w:rFonts w:ascii="Arial" w:hAnsi="Arial" w:cs="Arial"/>
                <w:sz w:val="22"/>
                <w:szCs w:val="22"/>
              </w:rPr>
              <w:t>26,629,348</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advance refunds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15,949,355</w:t>
            </w:r>
          </w:p>
        </w:tc>
        <w:tc>
          <w:tcPr>
            <w:tcW w:w="1800" w:type="dxa"/>
          </w:tcPr>
          <w:p>
            <w:pPr>
              <w:widowControl w:val="0"/>
              <w:ind w:left="0" w:firstLine="0"/>
              <w:jc w:val="right"/>
              <w:rPr>
                <w:rFonts w:ascii="Arial" w:hAnsi="Arial" w:cs="Arial"/>
                <w:sz w:val="22"/>
                <w:szCs w:val="22"/>
              </w:rPr>
            </w:pPr>
            <w:r>
              <w:rPr>
                <w:rFonts w:ascii="Arial" w:hAnsi="Arial" w:cs="Arial"/>
                <w:sz w:val="22"/>
                <w:szCs w:val="22"/>
              </w:rPr>
              <w:t>14,163,178</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commercial loans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2,573,840</w:t>
            </w:r>
          </w:p>
        </w:tc>
        <w:tc>
          <w:tcPr>
            <w:tcW w:w="1800" w:type="dxa"/>
          </w:tcPr>
          <w:p>
            <w:pPr>
              <w:widowControl w:val="0"/>
              <w:ind w:left="0" w:firstLine="0"/>
              <w:jc w:val="right"/>
              <w:rPr>
                <w:rFonts w:ascii="Arial" w:hAnsi="Arial" w:cs="Arial"/>
                <w:sz w:val="22"/>
                <w:szCs w:val="22"/>
              </w:rPr>
            </w:pPr>
            <w:r>
              <w:rPr>
                <w:rFonts w:ascii="Arial" w:hAnsi="Arial" w:cs="Arial"/>
                <w:sz w:val="22"/>
                <w:szCs w:val="22"/>
              </w:rPr>
              <w:t>2,437,437</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employee loans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682,170</w:t>
            </w:r>
          </w:p>
        </w:tc>
        <w:tc>
          <w:tcPr>
            <w:tcW w:w="1800" w:type="dxa"/>
          </w:tcPr>
          <w:p>
            <w:pPr>
              <w:widowControl w:val="0"/>
              <w:ind w:left="0" w:firstLine="0"/>
              <w:jc w:val="right"/>
              <w:rPr>
                <w:rFonts w:ascii="Arial" w:hAnsi="Arial" w:cs="Arial"/>
                <w:sz w:val="22"/>
                <w:szCs w:val="22"/>
              </w:rPr>
            </w:pPr>
            <w:r>
              <w:rPr>
                <w:rFonts w:ascii="Arial" w:hAnsi="Arial" w:cs="Arial"/>
                <w:sz w:val="22"/>
                <w:szCs w:val="22"/>
              </w:rPr>
              <w:t>756,414</w:t>
            </w:r>
          </w:p>
        </w:tc>
      </w:tr>
      <w:tr>
        <w:tc>
          <w:tcPr>
            <w:tcW w:w="5220" w:type="dxa"/>
            <w:gridSpan w:val="2"/>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discounting of commutation of leave</w:t>
            </w:r>
          </w:p>
        </w:tc>
        <w:tc>
          <w:tcPr>
            <w:tcW w:w="1620" w:type="dxa"/>
          </w:tcPr>
          <w:p>
            <w:pPr>
              <w:widowControl w:val="0"/>
              <w:ind w:left="0" w:firstLine="0"/>
              <w:jc w:val="right"/>
              <w:rPr>
                <w:rFonts w:ascii="Arial" w:hAnsi="Arial" w:cs="Arial"/>
                <w:sz w:val="22"/>
                <w:szCs w:val="22"/>
              </w:rPr>
            </w:pPr>
            <w:r>
              <w:rPr>
                <w:rFonts w:ascii="Arial" w:hAnsi="Arial" w:cs="Arial"/>
                <w:sz w:val="22"/>
                <w:szCs w:val="22"/>
              </w:rPr>
              <w:t>66,775</w:t>
            </w:r>
          </w:p>
        </w:tc>
        <w:tc>
          <w:tcPr>
            <w:tcW w:w="1800" w:type="dxa"/>
          </w:tcPr>
          <w:p>
            <w:pPr>
              <w:widowControl w:val="0"/>
              <w:ind w:left="0" w:firstLine="0"/>
              <w:jc w:val="right"/>
              <w:rPr>
                <w:rFonts w:ascii="Arial" w:hAnsi="Arial" w:cs="Arial"/>
                <w:sz w:val="22"/>
                <w:szCs w:val="22"/>
              </w:rPr>
            </w:pPr>
            <w:r>
              <w:rPr>
                <w:rFonts w:ascii="Arial" w:hAnsi="Arial" w:cs="Arial"/>
                <w:sz w:val="22"/>
                <w:szCs w:val="22"/>
              </w:rPr>
              <w:t>339,667</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Interest on multi-purpose loans</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20,436</w:t>
            </w:r>
          </w:p>
        </w:tc>
        <w:tc>
          <w:tcPr>
            <w:tcW w:w="1800" w:type="dxa"/>
          </w:tcPr>
          <w:p>
            <w:pPr>
              <w:widowControl w:val="0"/>
              <w:ind w:left="0" w:firstLine="0"/>
              <w:jc w:val="right"/>
              <w:rPr>
                <w:rFonts w:ascii="Arial" w:hAnsi="Arial" w:cs="Arial"/>
                <w:sz w:val="22"/>
                <w:szCs w:val="22"/>
              </w:rPr>
            </w:pPr>
            <w:r>
              <w:rPr>
                <w:rFonts w:ascii="Arial" w:hAnsi="Arial" w:cs="Arial"/>
                <w:sz w:val="22"/>
                <w:szCs w:val="22"/>
              </w:rPr>
              <w:t>150,800</w:t>
            </w:r>
          </w:p>
        </w:tc>
      </w:tr>
      <w:t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Other income</w:t>
            </w:r>
          </w:p>
        </w:tc>
        <w:tc>
          <w:tcPr>
            <w:tcW w:w="1800" w:type="dxa"/>
            <w:gridSpan w:val="2"/>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4,981,196</w:t>
            </w:r>
          </w:p>
        </w:tc>
        <w:tc>
          <w:tcPr>
            <w:tcW w:w="180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7,462,562</w:t>
            </w:r>
          </w:p>
        </w:tc>
      </w:tr>
      <w:t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22"/>
                <w:szCs w:val="22"/>
              </w:rPr>
            </w:pPr>
          </w:p>
        </w:tc>
        <w:tc>
          <w:tcPr>
            <w:tcW w:w="1800" w:type="dxa"/>
            <w:gridSpan w:val="2"/>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46,040,085</w:t>
            </w:r>
          </w:p>
        </w:tc>
        <w:tc>
          <w:tcPr>
            <w:tcW w:w="1800" w:type="dxa"/>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51,939,406</w:t>
            </w:r>
          </w:p>
        </w:tc>
      </w:tr>
      <w:tr>
        <w:tc>
          <w:tcPr>
            <w:tcW w:w="5040" w:type="dxa"/>
            <w:tcBorders>
              <w:top w:val="single" w:sz="4" w:space="0" w:color="auto"/>
            </w:tcBorders>
            <w:shd w:val="clear" w:color="auto" w:fill="auto"/>
            <w:vAlign w:val="bottom"/>
          </w:tcPr>
          <w:p>
            <w:pPr>
              <w:widowControl w:val="0"/>
              <w:ind w:left="0" w:firstLine="0"/>
              <w:rPr>
                <w:rFonts w:ascii="Arial" w:hAnsi="Arial" w:cs="Arial"/>
                <w:sz w:val="22"/>
                <w:szCs w:val="22"/>
              </w:rPr>
            </w:pPr>
          </w:p>
        </w:tc>
        <w:tc>
          <w:tcPr>
            <w:tcW w:w="1800" w:type="dxa"/>
            <w:gridSpan w:val="2"/>
            <w:tcBorders>
              <w:top w:val="single" w:sz="4" w:space="0" w:color="auto"/>
            </w:tcBorders>
          </w:tcPr>
          <w:p>
            <w:pPr>
              <w:widowControl w:val="0"/>
              <w:ind w:left="0" w:firstLine="0"/>
              <w:jc w:val="right"/>
              <w:rPr>
                <w:rFonts w:ascii="Arial" w:hAnsi="Arial" w:cs="Arial"/>
                <w:color w:val="FF0000"/>
                <w:sz w:val="22"/>
                <w:szCs w:val="22"/>
              </w:rPr>
            </w:pPr>
          </w:p>
        </w:tc>
        <w:tc>
          <w:tcPr>
            <w:tcW w:w="1800" w:type="dxa"/>
            <w:tcBorders>
              <w:top w:val="single" w:sz="4" w:space="0" w:color="auto"/>
            </w:tcBorders>
          </w:tcPr>
          <w:p>
            <w:pPr>
              <w:jc w:val="right"/>
              <w:rPr>
                <w:rFonts w:ascii="Arial" w:hAnsi="Arial" w:cs="Arial"/>
                <w:sz w:val="22"/>
                <w:szCs w:val="22"/>
              </w:rPr>
            </w:pPr>
          </w:p>
        </w:tc>
      </w:tr>
      <w:tr>
        <w:tc>
          <w:tcPr>
            <w:tcW w:w="5040" w:type="dxa"/>
            <w:shd w:val="clear" w:color="auto" w:fill="auto"/>
            <w:vAlign w:val="bottom"/>
          </w:tcPr>
          <w:p>
            <w:pPr>
              <w:widowControl w:val="0"/>
              <w:ind w:left="0" w:firstLine="0"/>
              <w:rPr>
                <w:rFonts w:ascii="Arial" w:hAnsi="Arial" w:cs="Arial"/>
                <w:b/>
                <w:sz w:val="22"/>
                <w:szCs w:val="22"/>
              </w:rPr>
            </w:pPr>
            <w:r>
              <w:rPr>
                <w:rFonts w:ascii="Arial" w:hAnsi="Arial" w:cs="Arial"/>
                <w:b/>
                <w:sz w:val="22"/>
                <w:szCs w:val="22"/>
              </w:rPr>
              <w:t>Real estate rentals</w:t>
            </w:r>
          </w:p>
        </w:tc>
        <w:tc>
          <w:tcPr>
            <w:tcW w:w="1800" w:type="dxa"/>
            <w:gridSpan w:val="2"/>
          </w:tcPr>
          <w:p>
            <w:pPr>
              <w:widowControl w:val="0"/>
              <w:ind w:left="0" w:firstLine="0"/>
              <w:jc w:val="right"/>
              <w:rPr>
                <w:rFonts w:ascii="Arial" w:hAnsi="Arial" w:cs="Arial"/>
                <w:b/>
                <w:color w:val="FF0000"/>
                <w:sz w:val="22"/>
                <w:szCs w:val="22"/>
              </w:rPr>
            </w:pPr>
          </w:p>
        </w:tc>
        <w:tc>
          <w:tcPr>
            <w:tcW w:w="1800" w:type="dxa"/>
          </w:tcPr>
          <w:p>
            <w:pPr>
              <w:jc w:val="right"/>
              <w:rPr>
                <w:rFonts w:ascii="Arial" w:hAnsi="Arial" w:cs="Arial"/>
                <w:b/>
                <w:sz w:val="22"/>
                <w:szCs w:val="22"/>
              </w:rPr>
            </w:pP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Rentals from IPMO – net</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102,442,324</w:t>
            </w:r>
          </w:p>
        </w:tc>
        <w:tc>
          <w:tcPr>
            <w:tcW w:w="1800" w:type="dxa"/>
          </w:tcPr>
          <w:p>
            <w:pPr>
              <w:widowControl w:val="0"/>
              <w:ind w:left="0" w:firstLine="0"/>
              <w:jc w:val="right"/>
              <w:rPr>
                <w:rFonts w:ascii="Arial" w:hAnsi="Arial" w:cs="Arial"/>
                <w:sz w:val="22"/>
                <w:szCs w:val="22"/>
              </w:rPr>
            </w:pPr>
            <w:r>
              <w:rPr>
                <w:rFonts w:ascii="Arial" w:hAnsi="Arial" w:cs="Arial"/>
                <w:sz w:val="22"/>
                <w:szCs w:val="22"/>
              </w:rPr>
              <w:t>110,657,205</w:t>
            </w:r>
          </w:p>
        </w:tc>
      </w:tr>
      <w:t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Rentals from real estate properties - net</w:t>
            </w:r>
          </w:p>
        </w:tc>
        <w:tc>
          <w:tcPr>
            <w:tcW w:w="1800" w:type="dxa"/>
            <w:gridSpan w:val="2"/>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24,591,314</w:t>
            </w:r>
          </w:p>
        </w:tc>
        <w:tc>
          <w:tcPr>
            <w:tcW w:w="180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15,115,582</w:t>
            </w:r>
          </w:p>
        </w:tc>
      </w:tr>
      <w:t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sz w:val="22"/>
                <w:szCs w:val="22"/>
              </w:rPr>
            </w:pPr>
          </w:p>
        </w:tc>
        <w:tc>
          <w:tcPr>
            <w:tcW w:w="1800" w:type="dxa"/>
            <w:gridSpan w:val="2"/>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127,033,638</w:t>
            </w:r>
          </w:p>
        </w:tc>
        <w:tc>
          <w:tcPr>
            <w:tcW w:w="1800" w:type="dxa"/>
            <w:tcBorders>
              <w:top w:val="single" w:sz="4" w:space="0" w:color="auto"/>
              <w:bottom w:val="single" w:sz="4" w:space="0" w:color="auto"/>
            </w:tcBorders>
            <w:vAlign w:val="center"/>
          </w:tcPr>
          <w:p>
            <w:pPr>
              <w:jc w:val="right"/>
              <w:rPr>
                <w:rFonts w:ascii="Arial" w:hAnsi="Arial" w:cs="Arial"/>
                <w:sz w:val="22"/>
                <w:szCs w:val="22"/>
              </w:rPr>
            </w:pPr>
            <w:r>
              <w:rPr>
                <w:rFonts w:ascii="Arial" w:hAnsi="Arial" w:cs="Arial"/>
                <w:sz w:val="22"/>
                <w:szCs w:val="22"/>
              </w:rPr>
              <w:t>125,772,787</w:t>
            </w:r>
          </w:p>
        </w:tc>
      </w:tr>
      <w:tr>
        <w:tc>
          <w:tcPr>
            <w:tcW w:w="5040" w:type="dxa"/>
            <w:tcBorders>
              <w:top w:val="single" w:sz="4" w:space="0" w:color="auto"/>
            </w:tcBorders>
            <w:shd w:val="clear" w:color="auto" w:fill="auto"/>
            <w:vAlign w:val="bottom"/>
          </w:tcPr>
          <w:p>
            <w:pPr>
              <w:widowControl w:val="0"/>
              <w:ind w:left="0" w:firstLine="0"/>
              <w:rPr>
                <w:rFonts w:ascii="Arial" w:hAnsi="Arial" w:cs="Arial"/>
                <w:b/>
                <w:sz w:val="22"/>
                <w:szCs w:val="22"/>
              </w:rPr>
            </w:pPr>
          </w:p>
        </w:tc>
        <w:tc>
          <w:tcPr>
            <w:tcW w:w="1800" w:type="dxa"/>
            <w:gridSpan w:val="2"/>
            <w:tcBorders>
              <w:top w:val="single" w:sz="4" w:space="0" w:color="auto"/>
            </w:tcBorders>
          </w:tcPr>
          <w:p>
            <w:pPr>
              <w:widowControl w:val="0"/>
              <w:ind w:left="0" w:firstLine="0"/>
              <w:jc w:val="right"/>
              <w:rPr>
                <w:rFonts w:ascii="Arial" w:hAnsi="Arial" w:cs="Arial"/>
                <w:b/>
                <w:color w:val="FF0000"/>
                <w:sz w:val="22"/>
                <w:szCs w:val="22"/>
              </w:rPr>
            </w:pPr>
          </w:p>
        </w:tc>
        <w:tc>
          <w:tcPr>
            <w:tcW w:w="1800" w:type="dxa"/>
            <w:tcBorders>
              <w:top w:val="single" w:sz="4" w:space="0" w:color="auto"/>
            </w:tcBorders>
          </w:tcPr>
          <w:p>
            <w:pPr>
              <w:jc w:val="right"/>
              <w:rPr>
                <w:rFonts w:ascii="Arial" w:hAnsi="Arial" w:cs="Arial"/>
                <w:b/>
                <w:sz w:val="22"/>
                <w:szCs w:val="22"/>
              </w:rPr>
            </w:pPr>
          </w:p>
        </w:tc>
      </w:tr>
      <w:tr>
        <w:tc>
          <w:tcPr>
            <w:tcW w:w="5040" w:type="dxa"/>
            <w:shd w:val="clear" w:color="auto" w:fill="auto"/>
            <w:vAlign w:val="bottom"/>
          </w:tcPr>
          <w:p>
            <w:pPr>
              <w:widowControl w:val="0"/>
              <w:ind w:left="0" w:firstLine="0"/>
              <w:rPr>
                <w:rFonts w:ascii="Arial" w:hAnsi="Arial" w:cs="Arial"/>
                <w:b/>
                <w:sz w:val="22"/>
                <w:szCs w:val="22"/>
              </w:rPr>
            </w:pPr>
            <w:r>
              <w:rPr>
                <w:rFonts w:ascii="Arial" w:hAnsi="Arial" w:cs="Arial"/>
                <w:b/>
                <w:sz w:val="22"/>
                <w:szCs w:val="22"/>
              </w:rPr>
              <w:t>Real estate operations</w:t>
            </w:r>
          </w:p>
        </w:tc>
        <w:tc>
          <w:tcPr>
            <w:tcW w:w="1800" w:type="dxa"/>
            <w:gridSpan w:val="2"/>
          </w:tcPr>
          <w:p>
            <w:pPr>
              <w:widowControl w:val="0"/>
              <w:ind w:left="0" w:firstLine="0"/>
              <w:jc w:val="right"/>
              <w:rPr>
                <w:rFonts w:ascii="Arial" w:hAnsi="Arial" w:cs="Arial"/>
                <w:b/>
                <w:color w:val="FF0000"/>
                <w:sz w:val="22"/>
                <w:szCs w:val="22"/>
              </w:rPr>
            </w:pPr>
          </w:p>
        </w:tc>
        <w:tc>
          <w:tcPr>
            <w:tcW w:w="1800" w:type="dxa"/>
          </w:tcPr>
          <w:p>
            <w:pPr>
              <w:jc w:val="right"/>
              <w:rPr>
                <w:rFonts w:ascii="Arial" w:hAnsi="Arial" w:cs="Arial"/>
                <w:b/>
                <w:sz w:val="22"/>
                <w:szCs w:val="22"/>
              </w:rPr>
            </w:pP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Sale of real estate inventories - net</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133,998,429</w:t>
            </w:r>
          </w:p>
        </w:tc>
        <w:tc>
          <w:tcPr>
            <w:tcW w:w="1800" w:type="dxa"/>
          </w:tcPr>
          <w:p>
            <w:pPr>
              <w:widowControl w:val="0"/>
              <w:ind w:left="0" w:firstLine="0"/>
              <w:jc w:val="right"/>
              <w:rPr>
                <w:rFonts w:ascii="Arial" w:hAnsi="Arial" w:cs="Arial"/>
                <w:sz w:val="22"/>
                <w:szCs w:val="22"/>
              </w:rPr>
            </w:pPr>
            <w:r>
              <w:rPr>
                <w:rFonts w:ascii="Arial" w:hAnsi="Arial" w:cs="Arial"/>
                <w:sz w:val="22"/>
                <w:szCs w:val="22"/>
              </w:rPr>
              <w:t>187,732,098</w:t>
            </w:r>
          </w:p>
        </w:tc>
      </w:tr>
      <w:tr>
        <w:tc>
          <w:tcPr>
            <w:tcW w:w="5040" w:type="dxa"/>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Income from acquired assets - net</w:t>
            </w:r>
          </w:p>
        </w:tc>
        <w:tc>
          <w:tcPr>
            <w:tcW w:w="1800" w:type="dxa"/>
            <w:gridSpan w:val="2"/>
          </w:tcPr>
          <w:p>
            <w:pPr>
              <w:widowControl w:val="0"/>
              <w:ind w:left="0" w:firstLine="0"/>
              <w:jc w:val="right"/>
              <w:rPr>
                <w:rFonts w:ascii="Arial" w:hAnsi="Arial" w:cs="Arial"/>
                <w:sz w:val="22"/>
                <w:szCs w:val="22"/>
              </w:rPr>
            </w:pPr>
            <w:r>
              <w:rPr>
                <w:rFonts w:ascii="Arial" w:hAnsi="Arial" w:cs="Arial"/>
                <w:sz w:val="22"/>
                <w:szCs w:val="22"/>
              </w:rPr>
              <w:t>8,843,830</w:t>
            </w:r>
          </w:p>
        </w:tc>
        <w:tc>
          <w:tcPr>
            <w:tcW w:w="1800" w:type="dxa"/>
          </w:tcPr>
          <w:p>
            <w:pPr>
              <w:widowControl w:val="0"/>
              <w:ind w:left="0" w:firstLine="0"/>
              <w:jc w:val="right"/>
              <w:rPr>
                <w:rFonts w:ascii="Arial" w:hAnsi="Arial" w:cs="Arial"/>
                <w:sz w:val="22"/>
                <w:szCs w:val="22"/>
              </w:rPr>
            </w:pPr>
            <w:r>
              <w:rPr>
                <w:rFonts w:ascii="Arial" w:hAnsi="Arial" w:cs="Arial"/>
                <w:sz w:val="22"/>
                <w:szCs w:val="22"/>
              </w:rPr>
              <w:t>7,876,023</w:t>
            </w:r>
          </w:p>
        </w:tc>
      </w:tr>
      <w:t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 xml:space="preserve">    Other income</w:t>
            </w:r>
          </w:p>
        </w:tc>
        <w:tc>
          <w:tcPr>
            <w:tcW w:w="1800" w:type="dxa"/>
            <w:gridSpan w:val="2"/>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6,723,842</w:t>
            </w:r>
          </w:p>
        </w:tc>
        <w:tc>
          <w:tcPr>
            <w:tcW w:w="180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9,090,199</w:t>
            </w:r>
          </w:p>
        </w:tc>
      </w:tr>
      <w:t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b/>
                <w:sz w:val="22"/>
                <w:szCs w:val="22"/>
              </w:rPr>
            </w:pPr>
          </w:p>
        </w:tc>
        <w:tc>
          <w:tcPr>
            <w:tcW w:w="1800" w:type="dxa"/>
            <w:gridSpan w:val="2"/>
            <w:tcBorders>
              <w:top w:val="single" w:sz="4" w:space="0" w:color="auto"/>
              <w:bottom w:val="single" w:sz="4" w:space="0" w:color="auto"/>
            </w:tcBorders>
            <w:vAlign w:val="center"/>
          </w:tcPr>
          <w:p>
            <w:pPr>
              <w:widowControl w:val="0"/>
              <w:ind w:left="0" w:firstLine="0"/>
              <w:jc w:val="right"/>
              <w:rPr>
                <w:rFonts w:ascii="Arial" w:hAnsi="Arial" w:cs="Arial"/>
                <w:sz w:val="22"/>
                <w:szCs w:val="22"/>
              </w:rPr>
            </w:pPr>
            <w:r>
              <w:rPr>
                <w:rFonts w:ascii="Arial" w:hAnsi="Arial" w:cs="Arial"/>
                <w:sz w:val="22"/>
                <w:szCs w:val="22"/>
              </w:rPr>
              <w:t>149,566,101</w:t>
            </w:r>
          </w:p>
        </w:tc>
        <w:tc>
          <w:tcPr>
            <w:tcW w:w="1800" w:type="dxa"/>
            <w:tcBorders>
              <w:top w:val="single" w:sz="4" w:space="0" w:color="auto"/>
              <w:bottom w:val="single" w:sz="4" w:space="0" w:color="auto"/>
            </w:tcBorders>
            <w:vAlign w:val="center"/>
          </w:tcPr>
          <w:p>
            <w:pPr>
              <w:widowControl w:val="0"/>
              <w:ind w:left="0" w:firstLine="0"/>
              <w:jc w:val="right"/>
              <w:rPr>
                <w:rFonts w:ascii="Arial" w:hAnsi="Arial" w:cs="Arial"/>
                <w:sz w:val="22"/>
                <w:szCs w:val="22"/>
              </w:rPr>
            </w:pPr>
            <w:r>
              <w:rPr>
                <w:rFonts w:ascii="Arial" w:hAnsi="Arial" w:cs="Arial"/>
                <w:sz w:val="22"/>
                <w:szCs w:val="22"/>
              </w:rPr>
              <w:t>204,698,320</w:t>
            </w:r>
          </w:p>
        </w:tc>
      </w:tr>
      <w:tr>
        <w:tc>
          <w:tcPr>
            <w:tcW w:w="5040" w:type="dxa"/>
            <w:tcBorders>
              <w:top w:val="single" w:sz="4" w:space="0" w:color="auto"/>
            </w:tcBorders>
            <w:shd w:val="clear" w:color="auto" w:fill="auto"/>
            <w:vAlign w:val="bottom"/>
          </w:tcPr>
          <w:p>
            <w:pPr>
              <w:widowControl w:val="0"/>
              <w:ind w:left="0" w:firstLine="0"/>
              <w:rPr>
                <w:rFonts w:ascii="Arial" w:hAnsi="Arial" w:cs="Arial"/>
                <w:b/>
                <w:sz w:val="22"/>
                <w:szCs w:val="22"/>
              </w:rPr>
            </w:pPr>
          </w:p>
        </w:tc>
        <w:tc>
          <w:tcPr>
            <w:tcW w:w="1800" w:type="dxa"/>
            <w:gridSpan w:val="2"/>
            <w:tcBorders>
              <w:top w:val="single" w:sz="4" w:space="0" w:color="auto"/>
            </w:tcBorders>
          </w:tcPr>
          <w:p>
            <w:pPr>
              <w:widowControl w:val="0"/>
              <w:ind w:left="0" w:firstLine="0"/>
              <w:jc w:val="right"/>
              <w:rPr>
                <w:rFonts w:ascii="Arial" w:hAnsi="Arial" w:cs="Arial"/>
                <w:color w:val="FF0000"/>
                <w:sz w:val="22"/>
                <w:szCs w:val="22"/>
              </w:rPr>
            </w:pPr>
          </w:p>
        </w:tc>
        <w:tc>
          <w:tcPr>
            <w:tcW w:w="1800" w:type="dxa"/>
            <w:tcBorders>
              <w:top w:val="single" w:sz="4" w:space="0" w:color="auto"/>
            </w:tcBorders>
          </w:tcPr>
          <w:p>
            <w:pPr>
              <w:widowControl w:val="0"/>
              <w:ind w:left="0" w:firstLine="0"/>
              <w:jc w:val="right"/>
              <w:rPr>
                <w:rFonts w:ascii="Arial" w:hAnsi="Arial" w:cs="Arial"/>
                <w:sz w:val="22"/>
                <w:szCs w:val="22"/>
              </w:rPr>
            </w:pPr>
          </w:p>
        </w:tc>
      </w:tr>
      <w:tr>
        <w:tc>
          <w:tcPr>
            <w:tcW w:w="5220" w:type="dxa"/>
            <w:gridSpan w:val="2"/>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b/>
                <w:sz w:val="22"/>
                <w:szCs w:val="22"/>
              </w:rPr>
              <w:t>Equity holdings in subsidiaries and associates</w:t>
            </w:r>
          </w:p>
        </w:tc>
        <w:tc>
          <w:tcPr>
            <w:tcW w:w="162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4,909,295</w:t>
            </w:r>
          </w:p>
        </w:tc>
        <w:tc>
          <w:tcPr>
            <w:tcW w:w="1800" w:type="dxa"/>
            <w:tcBorders>
              <w:bottom w:val="single" w:sz="4" w:space="0" w:color="auto"/>
            </w:tcBorders>
          </w:tcPr>
          <w:p>
            <w:pPr>
              <w:jc w:val="right"/>
              <w:rPr>
                <w:rFonts w:ascii="Arial" w:hAnsi="Arial" w:cs="Arial"/>
                <w:sz w:val="22"/>
                <w:szCs w:val="22"/>
              </w:rPr>
            </w:pPr>
            <w:r>
              <w:rPr>
                <w:rFonts w:ascii="Arial" w:hAnsi="Arial" w:cs="Arial"/>
                <w:sz w:val="22"/>
                <w:szCs w:val="22"/>
              </w:rPr>
              <w:t>2,252,119</w:t>
            </w:r>
          </w:p>
        </w:tc>
      </w:tr>
      <w:tr>
        <w:trPr>
          <w:trHeight w:val="346"/>
        </w:trPr>
        <w:tc>
          <w:tcPr>
            <w:tcW w:w="5040" w:type="dxa"/>
            <w:tcBorders>
              <w:top w:val="single" w:sz="4" w:space="0" w:color="auto"/>
              <w:bottom w:val="double" w:sz="4" w:space="0" w:color="auto"/>
            </w:tcBorders>
            <w:shd w:val="clear" w:color="auto" w:fill="auto"/>
            <w:vAlign w:val="center"/>
          </w:tcPr>
          <w:p>
            <w:pPr>
              <w:widowControl w:val="0"/>
              <w:ind w:left="0" w:firstLine="0"/>
              <w:jc w:val="right"/>
              <w:rPr>
                <w:rFonts w:ascii="Arial" w:hAnsi="Arial" w:cs="Arial"/>
                <w:b/>
                <w:bCs/>
                <w:sz w:val="22"/>
                <w:szCs w:val="22"/>
              </w:rPr>
            </w:pPr>
          </w:p>
        </w:tc>
        <w:tc>
          <w:tcPr>
            <w:tcW w:w="1800" w:type="dxa"/>
            <w:gridSpan w:val="2"/>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521,641,520</w:t>
            </w: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579,885,587</w:t>
            </w:r>
          </w:p>
        </w:tc>
      </w:tr>
    </w:tbl>
    <w:p>
      <w:pPr>
        <w:pStyle w:val="Heading1"/>
        <w:keepNext w:val="0"/>
        <w:widowControl w:val="0"/>
        <w:tabs>
          <w:tab w:val="clear" w:pos="432"/>
          <w:tab w:val="clear" w:pos="864"/>
        </w:tabs>
        <w:spacing w:line="240" w:lineRule="auto"/>
        <w:ind w:left="0" w:firstLine="0"/>
        <w:rPr>
          <w:rFonts w:ascii="Arial" w:hAnsi="Arial" w:cs="Arial"/>
          <w:szCs w:val="22"/>
        </w:rPr>
      </w:pPr>
    </w:p>
    <w:p/>
    <w:p/>
    <w:p/>
    <w:p/>
    <w:p>
      <w:pPr>
        <w:pStyle w:val="Heading1"/>
        <w:keepNext w:val="0"/>
        <w:widowControl w:val="0"/>
        <w:numPr>
          <w:ilvl w:val="0"/>
          <w:numId w:val="1"/>
        </w:numPr>
        <w:tabs>
          <w:tab w:val="clear" w:pos="432"/>
          <w:tab w:val="clear" w:pos="864"/>
        </w:tabs>
        <w:spacing w:line="240" w:lineRule="auto"/>
        <w:ind w:left="0" w:firstLine="0"/>
        <w:rPr>
          <w:rFonts w:ascii="Arial" w:hAnsi="Arial" w:cs="Arial"/>
          <w:szCs w:val="22"/>
        </w:rPr>
      </w:pPr>
      <w:r>
        <w:rPr>
          <w:rFonts w:ascii="Arial" w:hAnsi="Arial" w:cs="Arial"/>
          <w:szCs w:val="22"/>
        </w:rPr>
        <w:lastRenderedPageBreak/>
        <w:t>DEPRECIATION AND AMORTIZATION</w:t>
      </w:r>
    </w:p>
    <w:p>
      <w:pPr>
        <w:pStyle w:val="BodyText2"/>
        <w:widowControl w:val="0"/>
        <w:tabs>
          <w:tab w:val="clear" w:pos="432"/>
          <w:tab w:val="clear" w:pos="864"/>
        </w:tabs>
        <w:ind w:left="0" w:firstLine="0"/>
        <w:rPr>
          <w:szCs w:val="22"/>
        </w:rPr>
      </w:pPr>
    </w:p>
    <w:p>
      <w:pPr>
        <w:widowControl w:val="0"/>
        <w:ind w:left="0" w:firstLine="0"/>
        <w:rPr>
          <w:rFonts w:ascii="Arial" w:hAnsi="Arial" w:cs="Arial"/>
          <w:sz w:val="22"/>
          <w:szCs w:val="22"/>
        </w:rPr>
      </w:pPr>
      <w:r>
        <w:rPr>
          <w:rFonts w:ascii="Arial" w:hAnsi="Arial" w:cs="Arial"/>
          <w:sz w:val="22"/>
          <w:szCs w:val="22"/>
        </w:rPr>
        <w:t>This account consists of the following:</w:t>
      </w:r>
    </w:p>
    <w:p>
      <w:pPr>
        <w:widowControl w:val="0"/>
        <w:ind w:left="0" w:firstLine="0"/>
        <w:rPr>
          <w:rFonts w:ascii="Arial" w:hAnsi="Arial" w:cs="Arial"/>
          <w:sz w:val="22"/>
          <w:szCs w:val="22"/>
        </w:rPr>
      </w:pPr>
    </w:p>
    <w:tbl>
      <w:tblPr>
        <w:tblW w:w="8640" w:type="dxa"/>
        <w:jc w:val="center"/>
        <w:tblLook w:val="0000" w:firstRow="0" w:lastRow="0" w:firstColumn="0" w:lastColumn="0" w:noHBand="0" w:noVBand="0"/>
      </w:tblPr>
      <w:tblGrid>
        <w:gridCol w:w="5040"/>
        <w:gridCol w:w="1800"/>
        <w:gridCol w:w="1800"/>
      </w:tblGrid>
      <w:tr>
        <w:trPr>
          <w:trHeight w:val="360"/>
          <w:tblHeader/>
          <w:jc w:val="center"/>
        </w:trPr>
        <w:tc>
          <w:tcPr>
            <w:tcW w:w="5040" w:type="dxa"/>
            <w:tcBorders>
              <w:top w:val="single" w:sz="4" w:space="0" w:color="auto"/>
              <w:bottom w:val="single" w:sz="4" w:space="0" w:color="auto"/>
            </w:tcBorders>
            <w:shd w:val="clear" w:color="auto" w:fill="auto"/>
            <w:vAlign w:val="bottom"/>
          </w:tcPr>
          <w:p>
            <w:pPr>
              <w:widowControl w:val="0"/>
              <w:ind w:left="0" w:firstLine="0"/>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2016</w:t>
            </w:r>
          </w:p>
        </w:tc>
      </w:tr>
      <w:tr>
        <w:trPr>
          <w:trHeight w:val="332"/>
          <w:jc w:val="center"/>
        </w:trPr>
        <w:tc>
          <w:tcPr>
            <w:tcW w:w="5040" w:type="dxa"/>
            <w:shd w:val="clear" w:color="auto" w:fill="auto"/>
            <w:vAlign w:val="bottom"/>
          </w:tcPr>
          <w:p>
            <w:pPr>
              <w:widowControl w:val="0"/>
              <w:ind w:left="0" w:firstLine="0"/>
              <w:rPr>
                <w:rFonts w:ascii="Arial" w:hAnsi="Arial" w:cs="Arial"/>
                <w:sz w:val="22"/>
                <w:szCs w:val="22"/>
              </w:rPr>
            </w:pPr>
          </w:p>
          <w:p>
            <w:pPr>
              <w:widowControl w:val="0"/>
              <w:ind w:left="0" w:firstLine="0"/>
              <w:rPr>
                <w:rFonts w:ascii="Arial" w:hAnsi="Arial" w:cs="Arial"/>
                <w:sz w:val="22"/>
                <w:szCs w:val="22"/>
              </w:rPr>
            </w:pPr>
            <w:r>
              <w:rPr>
                <w:rFonts w:ascii="Arial" w:hAnsi="Arial" w:cs="Arial"/>
                <w:sz w:val="22"/>
                <w:szCs w:val="22"/>
              </w:rPr>
              <w:t>Property and equipment</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1,444,383</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2,358,079</w:t>
            </w:r>
          </w:p>
        </w:tc>
      </w:tr>
      <w:tr>
        <w:trPr>
          <w:jc w:val="center"/>
        </w:trPr>
        <w:tc>
          <w:tcPr>
            <w:tcW w:w="5040" w:type="dxa"/>
            <w:tcBorders>
              <w:bottom w:val="single" w:sz="4" w:space="0" w:color="auto"/>
            </w:tcBorders>
            <w:shd w:val="clear" w:color="auto" w:fill="auto"/>
            <w:vAlign w:val="bottom"/>
          </w:tcPr>
          <w:p>
            <w:pPr>
              <w:widowControl w:val="0"/>
              <w:ind w:left="0" w:firstLine="0"/>
              <w:rPr>
                <w:rFonts w:ascii="Arial" w:hAnsi="Arial" w:cs="Arial"/>
                <w:sz w:val="22"/>
                <w:szCs w:val="22"/>
              </w:rPr>
            </w:pPr>
            <w:r>
              <w:rPr>
                <w:rFonts w:ascii="Arial" w:hAnsi="Arial" w:cs="Arial"/>
                <w:sz w:val="22"/>
                <w:szCs w:val="22"/>
              </w:rPr>
              <w:t>Investments in real estate</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2,700,437</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2,700,437</w:t>
            </w:r>
          </w:p>
        </w:tc>
      </w:tr>
      <w:tr>
        <w:trPr>
          <w:trHeight w:val="360"/>
          <w:jc w:val="center"/>
        </w:trPr>
        <w:tc>
          <w:tcPr>
            <w:tcW w:w="5040" w:type="dxa"/>
            <w:tcBorders>
              <w:top w:val="single" w:sz="4" w:space="0" w:color="auto"/>
              <w:bottom w:val="double" w:sz="2" w:space="0" w:color="auto"/>
            </w:tcBorders>
            <w:shd w:val="clear" w:color="auto" w:fill="auto"/>
            <w:vAlign w:val="center"/>
          </w:tcPr>
          <w:p>
            <w:pPr>
              <w:widowControl w:val="0"/>
              <w:ind w:left="0" w:firstLine="0"/>
              <w:jc w:val="right"/>
              <w:rPr>
                <w:rFonts w:ascii="Arial" w:hAnsi="Arial" w:cs="Arial"/>
                <w:b/>
                <w:bCs/>
                <w:sz w:val="22"/>
                <w:szCs w:val="22"/>
              </w:rPr>
            </w:pPr>
          </w:p>
        </w:tc>
        <w:tc>
          <w:tcPr>
            <w:tcW w:w="1800" w:type="dxa"/>
            <w:tcBorders>
              <w:top w:val="single" w:sz="4" w:space="0" w:color="auto"/>
              <w:bottom w:val="double" w:sz="2" w:space="0" w:color="auto"/>
            </w:tcBorders>
            <w:shd w:val="clear" w:color="auto" w:fill="auto"/>
            <w:vAlign w:val="bottom"/>
          </w:tcPr>
          <w:p>
            <w:pPr>
              <w:widowControl w:val="0"/>
              <w:ind w:left="0" w:firstLine="0"/>
              <w:jc w:val="right"/>
              <w:rPr>
                <w:rFonts w:ascii="Arial" w:hAnsi="Arial" w:cs="Arial"/>
                <w:b/>
                <w:bCs/>
                <w:sz w:val="22"/>
                <w:szCs w:val="22"/>
              </w:rPr>
            </w:pPr>
            <w:r>
              <w:rPr>
                <w:rFonts w:ascii="Arial" w:hAnsi="Arial" w:cs="Arial"/>
                <w:b/>
                <w:bCs/>
                <w:sz w:val="22"/>
                <w:szCs w:val="22"/>
              </w:rPr>
              <w:t>4,144,820</w:t>
            </w:r>
          </w:p>
        </w:tc>
        <w:tc>
          <w:tcPr>
            <w:tcW w:w="1800" w:type="dxa"/>
            <w:tcBorders>
              <w:top w:val="single" w:sz="4" w:space="0" w:color="auto"/>
              <w:bottom w:val="double" w:sz="2" w:space="0" w:color="auto"/>
            </w:tcBorders>
            <w:vAlign w:val="bottom"/>
          </w:tcPr>
          <w:p>
            <w:pPr>
              <w:widowControl w:val="0"/>
              <w:ind w:left="0" w:firstLine="0"/>
              <w:jc w:val="right"/>
              <w:rPr>
                <w:rFonts w:ascii="Arial" w:hAnsi="Arial" w:cs="Arial"/>
                <w:bCs/>
                <w:sz w:val="22"/>
                <w:szCs w:val="22"/>
              </w:rPr>
            </w:pPr>
            <w:r>
              <w:rPr>
                <w:rFonts w:ascii="Arial" w:hAnsi="Arial" w:cs="Arial"/>
                <w:bCs/>
                <w:sz w:val="22"/>
                <w:szCs w:val="22"/>
              </w:rPr>
              <w:t>5,058,516</w:t>
            </w:r>
          </w:p>
        </w:tc>
      </w:tr>
    </w:tbl>
    <w:p>
      <w:pPr>
        <w:widowControl w:val="0"/>
        <w:ind w:left="0" w:firstLine="0"/>
        <w:rPr>
          <w:rFonts w:ascii="Arial" w:hAnsi="Arial" w:cs="Arial"/>
          <w:b/>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OTHER REVENUES</w:t>
      </w:r>
    </w:p>
    <w:p>
      <w:pPr>
        <w:pStyle w:val="EndnoteText"/>
        <w:widowControl w:val="0"/>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This account mainly consists of recoveries from defaulting loan accounts, fines and penalties from accounts in default, forfeiture of payments from cancelled sales contracts, dividends, and interest income.</w:t>
      </w:r>
    </w:p>
    <w:p>
      <w:pPr>
        <w:pStyle w:val="BodyText2"/>
        <w:widowControl w:val="0"/>
        <w:tabs>
          <w:tab w:val="clear" w:pos="432"/>
          <w:tab w:val="clear" w:pos="864"/>
        </w:tabs>
        <w:ind w:left="0" w:firstLine="0"/>
        <w:rPr>
          <w:rFonts w:ascii="Arial" w:hAnsi="Arial" w:cs="Arial"/>
          <w:szCs w:val="22"/>
        </w:rPr>
      </w:pPr>
    </w:p>
    <w:p>
      <w:pPr>
        <w:pStyle w:val="BodyText2"/>
        <w:widowControl w:val="0"/>
        <w:tabs>
          <w:tab w:val="clear" w:pos="432"/>
          <w:tab w:val="clear" w:pos="864"/>
        </w:tabs>
        <w:ind w:left="0" w:firstLine="0"/>
        <w:rPr>
          <w:rFonts w:ascii="Arial" w:hAnsi="Arial" w:cs="Arial"/>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szCs w:val="22"/>
        </w:rPr>
      </w:pPr>
      <w:r>
        <w:rPr>
          <w:rFonts w:ascii="Arial" w:hAnsi="Arial" w:cs="Arial"/>
          <w:szCs w:val="22"/>
        </w:rPr>
        <w:t>EMPLOYEE BENEFITS</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 xml:space="preserve">Included in the accrued employee benefits are the accruals made for the provision for employee separation benefits in the total amount of P37.191 million, of which, P13.389 million pertains to accruals for 2017.  The amount is net of the P3.786 million separation costs that were paid to ten separated employees in 2016 and 2017.  </w:t>
      </w:r>
    </w:p>
    <w:p>
      <w:pPr>
        <w:pStyle w:val="BodyText2"/>
        <w:widowControl w:val="0"/>
        <w:tabs>
          <w:tab w:val="clear" w:pos="432"/>
          <w:tab w:val="clear" w:pos="864"/>
        </w:tabs>
        <w:ind w:left="0" w:firstLine="0"/>
        <w:rPr>
          <w:rFonts w:ascii="Arial" w:hAnsi="Arial" w:cs="Arial"/>
          <w:b/>
          <w:szCs w:val="22"/>
        </w:rPr>
      </w:pPr>
    </w:p>
    <w:p>
      <w:pPr>
        <w:pStyle w:val="BodyText2"/>
        <w:widowControl w:val="0"/>
        <w:tabs>
          <w:tab w:val="clear" w:pos="432"/>
          <w:tab w:val="clear" w:pos="864"/>
        </w:tabs>
        <w:ind w:left="0" w:firstLine="0"/>
        <w:rPr>
          <w:rFonts w:ascii="Arial" w:hAnsi="Arial" w:cs="Arial"/>
          <w:b/>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RELATED PARTY TRANSACTIONS</w:t>
      </w:r>
    </w:p>
    <w:p>
      <w:pPr>
        <w:pStyle w:val="BodyText2"/>
        <w:widowControl w:val="0"/>
        <w:tabs>
          <w:tab w:val="clear" w:pos="432"/>
          <w:tab w:val="clear" w:pos="864"/>
        </w:tabs>
        <w:ind w:left="0" w:firstLine="0"/>
        <w:rPr>
          <w:rFonts w:ascii="Arial" w:hAnsi="Arial" w:cs="Arial"/>
          <w:b/>
          <w:szCs w:val="22"/>
        </w:rPr>
      </w:pPr>
    </w:p>
    <w:p>
      <w:pPr>
        <w:widowControl w:val="0"/>
        <w:ind w:left="0" w:firstLine="0"/>
        <w:jc w:val="both"/>
        <w:rPr>
          <w:rFonts w:ascii="Arial" w:hAnsi="Arial" w:cs="Arial"/>
          <w:sz w:val="22"/>
          <w:szCs w:val="22"/>
        </w:rPr>
      </w:pPr>
      <w:r>
        <w:rPr>
          <w:rFonts w:ascii="Arial" w:hAnsi="Arial" w:cs="Arial"/>
          <w:sz w:val="22"/>
          <w:szCs w:val="22"/>
        </w:rPr>
        <w:t>The System enters into various transactions with its subsidiaries, associates and JV partners. Significant transactions with subsidiaries, associates and JV partners consist of non-interest bearing cash advances, interest bearing loans receivable and payables.</w:t>
      </w:r>
    </w:p>
    <w:p>
      <w:pPr>
        <w:ind w:left="0" w:firstLine="0"/>
        <w:rPr>
          <w:rFonts w:ascii="Arial" w:hAnsi="Arial" w:cs="Arial"/>
          <w:sz w:val="22"/>
          <w:szCs w:val="22"/>
        </w:rPr>
      </w:pPr>
    </w:p>
    <w:p>
      <w:pPr>
        <w:pStyle w:val="BodyText2"/>
        <w:widowControl w:val="0"/>
        <w:tabs>
          <w:tab w:val="clear" w:pos="432"/>
          <w:tab w:val="clear" w:pos="864"/>
        </w:tabs>
        <w:ind w:left="0" w:firstLine="0"/>
        <w:rPr>
          <w:rFonts w:ascii="Arial" w:hAnsi="Arial" w:cs="Arial"/>
          <w:szCs w:val="22"/>
        </w:rPr>
      </w:pPr>
      <w:r>
        <w:rPr>
          <w:rFonts w:ascii="Arial" w:hAnsi="Arial" w:cs="Arial"/>
          <w:szCs w:val="22"/>
        </w:rPr>
        <w:t>The year-end balances in respect of related parties included in the financial statements are as follows:</w:t>
      </w:r>
    </w:p>
    <w:p>
      <w:pPr>
        <w:pStyle w:val="BodyText2"/>
        <w:widowControl w:val="0"/>
        <w:tabs>
          <w:tab w:val="clear" w:pos="432"/>
          <w:tab w:val="clear" w:pos="864"/>
        </w:tabs>
        <w:ind w:left="0" w:firstLine="0"/>
        <w:rPr>
          <w:rFonts w:ascii="Arial" w:hAnsi="Arial" w:cs="Arial"/>
          <w:szCs w:val="22"/>
        </w:rPr>
      </w:pPr>
    </w:p>
    <w:tbl>
      <w:tblPr>
        <w:tblW w:w="8640" w:type="dxa"/>
        <w:jc w:val="center"/>
        <w:tblLayout w:type="fixed"/>
        <w:tblLook w:val="0000" w:firstRow="0" w:lastRow="0" w:firstColumn="0" w:lastColumn="0" w:noHBand="0" w:noVBand="0"/>
      </w:tblPr>
      <w:tblGrid>
        <w:gridCol w:w="5400"/>
        <w:gridCol w:w="1530"/>
        <w:gridCol w:w="1710"/>
      </w:tblGrid>
      <w:tr>
        <w:trPr>
          <w:trHeight w:val="368"/>
          <w:tblHeader/>
          <w:jc w:val="center"/>
        </w:trPr>
        <w:tc>
          <w:tcPr>
            <w:tcW w:w="5400"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b/>
                <w:bCs/>
                <w:sz w:val="22"/>
                <w:szCs w:val="22"/>
              </w:rPr>
            </w:pPr>
          </w:p>
        </w:tc>
        <w:tc>
          <w:tcPr>
            <w:tcW w:w="153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2017</w:t>
            </w:r>
          </w:p>
        </w:tc>
        <w:tc>
          <w:tcPr>
            <w:tcW w:w="171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2016</w:t>
            </w:r>
          </w:p>
        </w:tc>
      </w:tr>
      <w:tr>
        <w:trPr>
          <w:trHeight w:val="288"/>
          <w:jc w:val="center"/>
        </w:trPr>
        <w:tc>
          <w:tcPr>
            <w:tcW w:w="5400" w:type="dxa"/>
            <w:shd w:val="clear" w:color="auto" w:fill="auto"/>
            <w:vAlign w:val="bottom"/>
          </w:tcPr>
          <w:p>
            <w:pPr>
              <w:widowControl w:val="0"/>
              <w:ind w:left="252" w:right="-108" w:hanging="252"/>
              <w:jc w:val="both"/>
              <w:rPr>
                <w:rFonts w:ascii="Arial" w:hAnsi="Arial" w:cs="Arial"/>
                <w:sz w:val="22"/>
                <w:szCs w:val="22"/>
              </w:rPr>
            </w:pPr>
          </w:p>
          <w:p>
            <w:pPr>
              <w:widowControl w:val="0"/>
              <w:ind w:left="252" w:right="-108" w:hanging="252"/>
              <w:jc w:val="both"/>
              <w:rPr>
                <w:rFonts w:ascii="Arial" w:hAnsi="Arial" w:cs="Arial"/>
                <w:sz w:val="22"/>
                <w:szCs w:val="22"/>
              </w:rPr>
            </w:pPr>
            <w:r>
              <w:rPr>
                <w:rFonts w:ascii="Arial" w:hAnsi="Arial" w:cs="Arial"/>
                <w:sz w:val="22"/>
                <w:szCs w:val="22"/>
              </w:rPr>
              <w:t xml:space="preserve">Receivables </w:t>
            </w:r>
            <w:r>
              <w:rPr>
                <w:rFonts w:ascii="Arial" w:hAnsi="Arial" w:cs="Arial"/>
                <w:i/>
                <w:sz w:val="20"/>
                <w:szCs w:val="20"/>
              </w:rPr>
              <w:t>(See Note 6)</w:t>
            </w:r>
          </w:p>
        </w:tc>
        <w:tc>
          <w:tcPr>
            <w:tcW w:w="153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3,073,074</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3,073,074</w:t>
            </w:r>
          </w:p>
        </w:tc>
      </w:tr>
      <w:tr>
        <w:trPr>
          <w:trHeight w:val="80"/>
          <w:jc w:val="center"/>
        </w:trPr>
        <w:tc>
          <w:tcPr>
            <w:tcW w:w="540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 xml:space="preserve">Receivable from joint venture partner </w:t>
            </w:r>
            <w:r>
              <w:rPr>
                <w:rFonts w:ascii="Arial" w:hAnsi="Arial" w:cs="Arial"/>
                <w:i/>
                <w:sz w:val="20"/>
                <w:szCs w:val="20"/>
              </w:rPr>
              <w:t>(See Note 6)</w:t>
            </w:r>
          </w:p>
        </w:tc>
        <w:tc>
          <w:tcPr>
            <w:tcW w:w="153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19,634,664</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16,242,192</w:t>
            </w:r>
          </w:p>
        </w:tc>
      </w:tr>
      <w:tr>
        <w:trPr>
          <w:trHeight w:val="135"/>
          <w:jc w:val="center"/>
        </w:trPr>
        <w:tc>
          <w:tcPr>
            <w:tcW w:w="540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 xml:space="preserve">Loans receivable </w:t>
            </w:r>
            <w:r>
              <w:rPr>
                <w:rFonts w:ascii="Arial" w:hAnsi="Arial" w:cs="Arial"/>
                <w:i/>
                <w:sz w:val="20"/>
                <w:szCs w:val="20"/>
              </w:rPr>
              <w:t>(See Note 7)</w:t>
            </w:r>
          </w:p>
        </w:tc>
        <w:tc>
          <w:tcPr>
            <w:tcW w:w="153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49,624,818</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49,624,818</w:t>
            </w:r>
          </w:p>
        </w:tc>
      </w:tr>
      <w:tr>
        <w:trPr>
          <w:trHeight w:val="162"/>
          <w:jc w:val="center"/>
        </w:trPr>
        <w:tc>
          <w:tcPr>
            <w:tcW w:w="540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 xml:space="preserve">Advances to subsidiaries and associates </w:t>
            </w:r>
            <w:r>
              <w:rPr>
                <w:rFonts w:ascii="Arial" w:hAnsi="Arial" w:cs="Arial"/>
                <w:i/>
                <w:sz w:val="20"/>
                <w:szCs w:val="20"/>
              </w:rPr>
              <w:t>(See Note 11)</w:t>
            </w:r>
          </w:p>
        </w:tc>
        <w:tc>
          <w:tcPr>
            <w:tcW w:w="153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35,341,415</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35,071,415</w:t>
            </w:r>
          </w:p>
        </w:tc>
      </w:tr>
      <w:tr>
        <w:trPr>
          <w:trHeight w:val="162"/>
          <w:jc w:val="center"/>
        </w:trPr>
        <w:tc>
          <w:tcPr>
            <w:tcW w:w="5400" w:type="dxa"/>
            <w:tcBorders>
              <w:bottom w:val="single" w:sz="4" w:space="0" w:color="auto"/>
            </w:tcBorders>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Accounts payable and accrued expenses</w:t>
            </w:r>
          </w:p>
        </w:tc>
        <w:tc>
          <w:tcPr>
            <w:tcW w:w="153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99,142,024</w:t>
            </w:r>
          </w:p>
        </w:tc>
        <w:tc>
          <w:tcPr>
            <w:tcW w:w="171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80,006,961</w:t>
            </w:r>
          </w:p>
        </w:tc>
      </w:tr>
      <w:tr>
        <w:trPr>
          <w:trHeight w:val="360"/>
          <w:jc w:val="center"/>
        </w:trPr>
        <w:tc>
          <w:tcPr>
            <w:tcW w:w="5400" w:type="dxa"/>
            <w:tcBorders>
              <w:top w:val="single" w:sz="4" w:space="0" w:color="auto"/>
              <w:bottom w:val="double" w:sz="4" w:space="0" w:color="auto"/>
            </w:tcBorders>
            <w:shd w:val="clear" w:color="auto" w:fill="auto"/>
            <w:vAlign w:val="center"/>
          </w:tcPr>
          <w:p>
            <w:pPr>
              <w:widowControl w:val="0"/>
              <w:ind w:left="0" w:right="-108" w:firstLine="0"/>
              <w:jc w:val="right"/>
              <w:rPr>
                <w:rFonts w:ascii="Arial" w:hAnsi="Arial" w:cs="Arial"/>
                <w:sz w:val="22"/>
                <w:szCs w:val="22"/>
              </w:rPr>
            </w:pPr>
          </w:p>
        </w:tc>
        <w:tc>
          <w:tcPr>
            <w:tcW w:w="153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206,815,994</w:t>
            </w:r>
          </w:p>
        </w:tc>
        <w:tc>
          <w:tcPr>
            <w:tcW w:w="1710" w:type="dxa"/>
            <w:tcBorders>
              <w:top w:val="single" w:sz="4" w:space="0" w:color="auto"/>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184,018,460</w:t>
            </w:r>
          </w:p>
        </w:tc>
      </w:tr>
    </w:tbl>
    <w:p>
      <w:pPr>
        <w:widowControl w:val="0"/>
        <w:ind w:left="0" w:firstLine="0"/>
        <w:rPr>
          <w:rFonts w:ascii="Arial" w:hAnsi="Arial" w:cs="Arial"/>
          <w:b/>
          <w:sz w:val="22"/>
          <w:szCs w:val="22"/>
        </w:rPr>
      </w:pPr>
    </w:p>
    <w:p>
      <w:pPr>
        <w:pStyle w:val="Heading1"/>
        <w:keepNext w:val="0"/>
        <w:widowControl w:val="0"/>
        <w:tabs>
          <w:tab w:val="clear" w:pos="432"/>
          <w:tab w:val="clear" w:pos="864"/>
        </w:tabs>
        <w:spacing w:line="240" w:lineRule="auto"/>
        <w:ind w:left="0" w:firstLine="0"/>
        <w:rPr>
          <w:rFonts w:ascii="Arial" w:hAnsi="Arial" w:cs="Arial"/>
          <w:b w:val="0"/>
          <w:szCs w:val="22"/>
        </w:rPr>
      </w:pPr>
    </w:p>
    <w:p/>
    <w:p/>
    <w:p/>
    <w:p>
      <w:pPr>
        <w:pStyle w:val="Heading1"/>
        <w:keepNext w:val="0"/>
        <w:widowControl w:val="0"/>
        <w:numPr>
          <w:ilvl w:val="0"/>
          <w:numId w:val="1"/>
        </w:numPr>
        <w:tabs>
          <w:tab w:val="clear" w:pos="432"/>
          <w:tab w:val="clear" w:pos="864"/>
        </w:tabs>
        <w:spacing w:line="240" w:lineRule="auto"/>
        <w:ind w:left="0" w:firstLine="0"/>
        <w:rPr>
          <w:rFonts w:ascii="Arial" w:hAnsi="Arial" w:cs="Arial"/>
          <w:szCs w:val="22"/>
        </w:rPr>
      </w:pPr>
      <w:r>
        <w:rPr>
          <w:rFonts w:ascii="Arial" w:hAnsi="Arial" w:cs="Arial"/>
          <w:szCs w:val="22"/>
        </w:rPr>
        <w:lastRenderedPageBreak/>
        <w:t>CONTINGENCIES</w:t>
      </w:r>
    </w:p>
    <w:p>
      <w:pPr>
        <w:pStyle w:val="EndnoteText"/>
        <w:widowControl w:val="0"/>
        <w:ind w:left="0" w:firstLine="0"/>
        <w:rPr>
          <w:rFonts w:ascii="Arial" w:hAnsi="Arial" w:cs="Arial"/>
          <w:szCs w:val="22"/>
        </w:rPr>
      </w:pPr>
    </w:p>
    <w:p>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The System was summoned by the Senate Committees on Accountability of Public Offices and Investigation (Blue Ribbon) and National Defense and Security, joined by the Joint Committees on Banks and Financial Institutions and Currencies and National Defense and Security, for an investigation regarding the deterioration of the System’s financial condition and alleged discrepancies in the purchase price of certain real estate acquisitions.</w:t>
      </w:r>
    </w:p>
    <w:p>
      <w:pPr>
        <w:pStyle w:val="BodyTextIndent3"/>
        <w:widowControl w:val="0"/>
        <w:tabs>
          <w:tab w:val="clear" w:pos="360"/>
          <w:tab w:val="clear" w:pos="864"/>
        </w:tabs>
        <w:ind w:left="0" w:firstLine="0"/>
        <w:jc w:val="both"/>
        <w:rPr>
          <w:rFonts w:ascii="Arial" w:hAnsi="Arial" w:cs="Arial"/>
          <w:szCs w:val="22"/>
        </w:rPr>
      </w:pPr>
    </w:p>
    <w:p>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A final report was subsequently submitted by the Joint Committees recommending, among others, the establishment of a conservatorship committee to preserve the System’s assets, the further actuarial study of the System’s financial condition, the passage of a law revising or creating a new System charter, and the prosecution or censure of former or current officers of the System.</w:t>
      </w:r>
    </w:p>
    <w:p>
      <w:pPr>
        <w:pStyle w:val="BodyTextIndent3"/>
        <w:widowControl w:val="0"/>
        <w:tabs>
          <w:tab w:val="clear" w:pos="360"/>
          <w:tab w:val="clear" w:pos="864"/>
        </w:tabs>
        <w:ind w:left="0" w:firstLine="0"/>
        <w:jc w:val="both"/>
        <w:rPr>
          <w:rFonts w:ascii="Arial" w:hAnsi="Arial" w:cs="Arial"/>
          <w:szCs w:val="22"/>
        </w:rPr>
      </w:pPr>
    </w:p>
    <w:p>
      <w:pPr>
        <w:pStyle w:val="BodyTextIndent3"/>
        <w:widowControl w:val="0"/>
        <w:tabs>
          <w:tab w:val="clear" w:pos="360"/>
          <w:tab w:val="clear" w:pos="864"/>
        </w:tabs>
        <w:ind w:left="0" w:firstLine="0"/>
        <w:jc w:val="both"/>
        <w:rPr>
          <w:rFonts w:ascii="Arial" w:hAnsi="Arial" w:cs="Arial"/>
          <w:szCs w:val="22"/>
        </w:rPr>
      </w:pPr>
      <w:r>
        <w:rPr>
          <w:rFonts w:ascii="Arial" w:hAnsi="Arial" w:cs="Arial"/>
          <w:szCs w:val="22"/>
        </w:rPr>
        <w:t>Various lawsuits, claims and proceedings, including an action filed for the cancellation of titles of certain properties, have been or may be instituted or asserted against the System. While the amounts may be substantial, the ultimate liability cannot presently be determined because of the considerable uncertainties that exist.  Therefore, it is possible that results of operations or liquidity in a particular period could be materially affected by certain contingencies.</w:t>
      </w:r>
    </w:p>
    <w:p>
      <w:pPr>
        <w:widowControl w:val="0"/>
        <w:ind w:left="0" w:firstLine="0"/>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However, based on facts currently available, Management believes that the disposition of matters that are pending or asserted will not have a material effect on the financial position of the System.</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RETAINED EARNINGS</w:t>
      </w:r>
    </w:p>
    <w:p>
      <w:pPr>
        <w:widowControl w:val="0"/>
        <w:ind w:left="0" w:firstLine="0"/>
        <w:jc w:val="both"/>
        <w:rPr>
          <w:rFonts w:ascii="Arial" w:hAnsi="Arial" w:cs="Arial"/>
          <w:sz w:val="22"/>
          <w:szCs w:val="22"/>
        </w:rPr>
      </w:pPr>
    </w:p>
    <w:tbl>
      <w:tblPr>
        <w:tblW w:w="8640" w:type="dxa"/>
        <w:jc w:val="center"/>
        <w:tblLayout w:type="fixed"/>
        <w:tblLook w:val="0000" w:firstRow="0" w:lastRow="0" w:firstColumn="0" w:lastColumn="0" w:noHBand="0" w:noVBand="0"/>
      </w:tblPr>
      <w:tblGrid>
        <w:gridCol w:w="5220"/>
        <w:gridCol w:w="1710"/>
        <w:gridCol w:w="1710"/>
      </w:tblGrid>
      <w:tr>
        <w:trPr>
          <w:trHeight w:val="368"/>
          <w:tblHeader/>
          <w:jc w:val="center"/>
        </w:trPr>
        <w:tc>
          <w:tcPr>
            <w:tcW w:w="5220"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b/>
                <w:bCs/>
                <w:sz w:val="22"/>
                <w:szCs w:val="22"/>
              </w:rPr>
            </w:pPr>
          </w:p>
        </w:tc>
        <w:tc>
          <w:tcPr>
            <w:tcW w:w="171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2017</w:t>
            </w:r>
          </w:p>
        </w:tc>
        <w:tc>
          <w:tcPr>
            <w:tcW w:w="171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2016</w:t>
            </w:r>
          </w:p>
          <w:p>
            <w:pPr>
              <w:widowControl w:val="0"/>
              <w:ind w:left="0" w:firstLine="0"/>
              <w:jc w:val="center"/>
              <w:rPr>
                <w:rFonts w:ascii="Arial" w:hAnsi="Arial" w:cs="Arial"/>
                <w:bCs/>
                <w:sz w:val="22"/>
                <w:szCs w:val="22"/>
              </w:rPr>
            </w:pPr>
            <w:r>
              <w:rPr>
                <w:rFonts w:ascii="Arial" w:hAnsi="Arial" w:cs="Arial"/>
                <w:bCs/>
                <w:sz w:val="22"/>
                <w:szCs w:val="22"/>
              </w:rPr>
              <w:t>(As restated)</w:t>
            </w:r>
          </w:p>
        </w:tc>
      </w:tr>
      <w:tr>
        <w:trPr>
          <w:trHeight w:val="288"/>
          <w:jc w:val="center"/>
        </w:trPr>
        <w:tc>
          <w:tcPr>
            <w:tcW w:w="5220" w:type="dxa"/>
            <w:shd w:val="clear" w:color="auto" w:fill="auto"/>
            <w:vAlign w:val="bottom"/>
          </w:tcPr>
          <w:p>
            <w:pPr>
              <w:widowControl w:val="0"/>
              <w:ind w:left="252" w:right="-108" w:hanging="252"/>
              <w:jc w:val="both"/>
              <w:rPr>
                <w:rFonts w:ascii="Arial" w:hAnsi="Arial" w:cs="Arial"/>
                <w:sz w:val="22"/>
                <w:szCs w:val="22"/>
              </w:rPr>
            </w:pPr>
          </w:p>
          <w:p>
            <w:pPr>
              <w:widowControl w:val="0"/>
              <w:ind w:left="252" w:right="-108" w:hanging="252"/>
              <w:jc w:val="both"/>
              <w:rPr>
                <w:rFonts w:ascii="Arial" w:hAnsi="Arial" w:cs="Arial"/>
                <w:sz w:val="22"/>
                <w:szCs w:val="22"/>
              </w:rPr>
            </w:pPr>
            <w:r>
              <w:rPr>
                <w:rFonts w:ascii="Arial" w:hAnsi="Arial" w:cs="Arial"/>
                <w:sz w:val="22"/>
                <w:szCs w:val="22"/>
              </w:rPr>
              <w:t>Balance, January 1</w:t>
            </w:r>
          </w:p>
        </w:tc>
        <w:tc>
          <w:tcPr>
            <w:tcW w:w="1710"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987,483,703</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646,554,360</w:t>
            </w:r>
          </w:p>
        </w:tc>
      </w:tr>
      <w:tr>
        <w:trPr>
          <w:trHeight w:val="80"/>
          <w:jc w:val="center"/>
        </w:trPr>
        <w:tc>
          <w:tcPr>
            <w:tcW w:w="522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Correction of prior period errors*</w:t>
            </w:r>
          </w:p>
        </w:tc>
        <w:tc>
          <w:tcPr>
            <w:tcW w:w="1710"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w:t>
            </w: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122,480,235</w:t>
            </w:r>
          </w:p>
        </w:tc>
      </w:tr>
      <w:tr>
        <w:trPr>
          <w:trHeight w:val="162"/>
          <w:jc w:val="center"/>
        </w:trPr>
        <w:tc>
          <w:tcPr>
            <w:tcW w:w="5220" w:type="dxa"/>
            <w:tcBorders>
              <w:bottom w:val="single" w:sz="4" w:space="0" w:color="auto"/>
            </w:tcBorders>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Profit for the year</w:t>
            </w:r>
          </w:p>
        </w:tc>
        <w:tc>
          <w:tcPr>
            <w:tcW w:w="1710" w:type="dxa"/>
            <w:tcBorders>
              <w:bottom w:val="single" w:sz="4" w:space="0" w:color="auto"/>
            </w:tcBorders>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406,995,016</w:t>
            </w:r>
          </w:p>
        </w:tc>
        <w:tc>
          <w:tcPr>
            <w:tcW w:w="171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218,449,108</w:t>
            </w:r>
          </w:p>
        </w:tc>
      </w:tr>
      <w:tr>
        <w:trPr>
          <w:trHeight w:val="360"/>
          <w:jc w:val="center"/>
        </w:trPr>
        <w:tc>
          <w:tcPr>
            <w:tcW w:w="5220" w:type="dxa"/>
            <w:tcBorders>
              <w:top w:val="single" w:sz="4" w:space="0" w:color="auto"/>
              <w:bottom w:val="double" w:sz="4" w:space="0" w:color="auto"/>
            </w:tcBorders>
            <w:shd w:val="clear" w:color="auto" w:fill="auto"/>
            <w:vAlign w:val="center"/>
          </w:tcPr>
          <w:p>
            <w:pPr>
              <w:widowControl w:val="0"/>
              <w:ind w:left="0" w:right="-108" w:firstLine="0"/>
              <w:jc w:val="right"/>
              <w:rPr>
                <w:rFonts w:ascii="Arial" w:hAnsi="Arial" w:cs="Arial"/>
                <w:b/>
                <w:sz w:val="22"/>
                <w:szCs w:val="22"/>
              </w:rPr>
            </w:pPr>
          </w:p>
        </w:tc>
        <w:tc>
          <w:tcPr>
            <w:tcW w:w="171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1,394,478,719</w:t>
            </w:r>
          </w:p>
        </w:tc>
        <w:tc>
          <w:tcPr>
            <w:tcW w:w="1710" w:type="dxa"/>
            <w:tcBorders>
              <w:top w:val="single" w:sz="4" w:space="0" w:color="auto"/>
              <w:bottom w:val="doub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987,483,703</w:t>
            </w:r>
          </w:p>
        </w:tc>
      </w:tr>
    </w:tbl>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In consonance with IAS No. 8 (Accounting Policies, Changes in Accounting Estimates and Errors), the Retained Earnings for CY 2016 was restated as follows:</w:t>
      </w:r>
    </w:p>
    <w:p>
      <w:pPr>
        <w:widowControl w:val="0"/>
        <w:ind w:left="0" w:firstLine="0"/>
        <w:jc w:val="both"/>
        <w:rPr>
          <w:rFonts w:ascii="Arial"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1710"/>
      </w:tblGrid>
      <w:tr>
        <w:tc>
          <w:tcPr>
            <w:tcW w:w="6930" w:type="dxa"/>
            <w:tcBorders>
              <w:top w:val="single" w:sz="4" w:space="0" w:color="auto"/>
              <w:bottom w:val="single" w:sz="4" w:space="0" w:color="auto"/>
            </w:tcBorders>
          </w:tcPr>
          <w:p>
            <w:pPr>
              <w:widowControl w:val="0"/>
              <w:ind w:left="0" w:firstLine="0"/>
              <w:jc w:val="center"/>
              <w:rPr>
                <w:rFonts w:ascii="Arial" w:hAnsi="Arial" w:cs="Arial"/>
                <w:b/>
                <w:sz w:val="22"/>
                <w:szCs w:val="22"/>
              </w:rPr>
            </w:pPr>
          </w:p>
        </w:tc>
        <w:tc>
          <w:tcPr>
            <w:tcW w:w="1710" w:type="dxa"/>
            <w:tcBorders>
              <w:top w:val="single" w:sz="4" w:space="0" w:color="auto"/>
              <w:bottom w:val="single" w:sz="4" w:space="0" w:color="auto"/>
            </w:tcBorders>
          </w:tcPr>
          <w:p>
            <w:pPr>
              <w:widowControl w:val="0"/>
              <w:ind w:left="0" w:firstLine="0"/>
              <w:jc w:val="center"/>
              <w:rPr>
                <w:rFonts w:ascii="Arial" w:hAnsi="Arial" w:cs="Arial"/>
                <w:b/>
                <w:sz w:val="22"/>
                <w:szCs w:val="22"/>
              </w:rPr>
            </w:pPr>
            <w:r>
              <w:rPr>
                <w:rFonts w:ascii="Arial" w:hAnsi="Arial" w:cs="Arial"/>
                <w:b/>
                <w:sz w:val="22"/>
                <w:szCs w:val="22"/>
              </w:rPr>
              <w:t>2016</w:t>
            </w:r>
          </w:p>
        </w:tc>
      </w:tr>
      <w:tr>
        <w:tc>
          <w:tcPr>
            <w:tcW w:w="6930" w:type="dxa"/>
            <w:tcBorders>
              <w:top w:val="single" w:sz="4" w:space="0" w:color="auto"/>
            </w:tcBorders>
          </w:tcPr>
          <w:p>
            <w:pPr>
              <w:widowControl w:val="0"/>
              <w:ind w:left="0" w:firstLine="0"/>
              <w:jc w:val="both"/>
              <w:rPr>
                <w:rFonts w:ascii="Arial" w:hAnsi="Arial" w:cs="Arial"/>
                <w:sz w:val="22"/>
                <w:szCs w:val="22"/>
              </w:rPr>
            </w:pPr>
            <w:r>
              <w:rPr>
                <w:rFonts w:ascii="Arial" w:hAnsi="Arial" w:cs="Arial"/>
                <w:sz w:val="22"/>
                <w:szCs w:val="22"/>
              </w:rPr>
              <w:t>Balance at beginning of year as previously reported</w:t>
            </w:r>
          </w:p>
        </w:tc>
        <w:tc>
          <w:tcPr>
            <w:tcW w:w="1710" w:type="dxa"/>
            <w:tcBorders>
              <w:top w:val="single" w:sz="4" w:space="0" w:color="auto"/>
            </w:tcBorders>
          </w:tcPr>
          <w:p>
            <w:pPr>
              <w:widowControl w:val="0"/>
              <w:ind w:left="0" w:firstLine="0"/>
              <w:jc w:val="right"/>
              <w:rPr>
                <w:rFonts w:ascii="Arial" w:hAnsi="Arial" w:cs="Arial"/>
                <w:sz w:val="22"/>
                <w:szCs w:val="22"/>
              </w:rPr>
            </w:pPr>
            <w:r>
              <w:rPr>
                <w:rFonts w:ascii="Arial" w:hAnsi="Arial" w:cs="Arial"/>
                <w:sz w:val="22"/>
                <w:szCs w:val="22"/>
              </w:rPr>
              <w:t>997,231,502</w:t>
            </w:r>
          </w:p>
        </w:tc>
      </w:tr>
    </w:tbl>
    <w:tbl>
      <w:tblPr>
        <w:tblW w:w="8640" w:type="dxa"/>
        <w:jc w:val="center"/>
        <w:tblLayout w:type="fixed"/>
        <w:tblLook w:val="0000" w:firstRow="0" w:lastRow="0" w:firstColumn="0" w:lastColumn="0" w:noHBand="0" w:noVBand="0"/>
      </w:tblPr>
      <w:tblGrid>
        <w:gridCol w:w="5490"/>
        <w:gridCol w:w="1440"/>
        <w:gridCol w:w="1710"/>
      </w:tblGrid>
      <w:tr>
        <w:trPr>
          <w:trHeight w:val="80"/>
          <w:jc w:val="center"/>
        </w:trPr>
        <w:tc>
          <w:tcPr>
            <w:tcW w:w="5490" w:type="dxa"/>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Correction/adjustment of prior years’ errors*</w:t>
            </w:r>
          </w:p>
        </w:tc>
        <w:tc>
          <w:tcPr>
            <w:tcW w:w="1440" w:type="dxa"/>
            <w:shd w:val="clear" w:color="auto" w:fill="auto"/>
            <w:vAlign w:val="bottom"/>
          </w:tcPr>
          <w:p>
            <w:pPr>
              <w:widowControl w:val="0"/>
              <w:ind w:left="0" w:firstLine="0"/>
              <w:jc w:val="right"/>
              <w:rPr>
                <w:rFonts w:ascii="Arial" w:hAnsi="Arial" w:cs="Arial"/>
                <w:b/>
                <w:sz w:val="22"/>
                <w:szCs w:val="22"/>
              </w:rPr>
            </w:pPr>
          </w:p>
        </w:tc>
        <w:tc>
          <w:tcPr>
            <w:tcW w:w="1710" w:type="dxa"/>
            <w:vAlign w:val="bottom"/>
          </w:tcPr>
          <w:p>
            <w:pPr>
              <w:widowControl w:val="0"/>
              <w:ind w:left="0" w:firstLine="0"/>
              <w:jc w:val="right"/>
              <w:rPr>
                <w:rFonts w:ascii="Arial" w:hAnsi="Arial" w:cs="Arial"/>
                <w:sz w:val="22"/>
                <w:szCs w:val="22"/>
              </w:rPr>
            </w:pPr>
            <w:r>
              <w:rPr>
                <w:rFonts w:ascii="Arial" w:hAnsi="Arial" w:cs="Arial"/>
                <w:sz w:val="22"/>
                <w:szCs w:val="22"/>
              </w:rPr>
              <w:t>16,623,070</w:t>
            </w:r>
          </w:p>
        </w:tc>
      </w:tr>
      <w:tr>
        <w:trPr>
          <w:trHeight w:val="135"/>
          <w:jc w:val="center"/>
        </w:trPr>
        <w:tc>
          <w:tcPr>
            <w:tcW w:w="5490" w:type="dxa"/>
            <w:tcBorders>
              <w:bottom w:val="single" w:sz="4" w:space="0" w:color="auto"/>
            </w:tcBorders>
            <w:shd w:val="clear" w:color="auto" w:fill="auto"/>
            <w:vAlign w:val="bottom"/>
          </w:tcPr>
          <w:p>
            <w:pPr>
              <w:widowControl w:val="0"/>
              <w:ind w:left="252" w:right="-108" w:hanging="252"/>
              <w:jc w:val="both"/>
              <w:rPr>
                <w:rFonts w:ascii="Arial" w:hAnsi="Arial" w:cs="Arial"/>
                <w:sz w:val="22"/>
                <w:szCs w:val="22"/>
              </w:rPr>
            </w:pPr>
            <w:r>
              <w:rPr>
                <w:rFonts w:ascii="Arial" w:hAnsi="Arial" w:cs="Arial"/>
                <w:sz w:val="22"/>
                <w:szCs w:val="22"/>
              </w:rPr>
              <w:t>Loss for CY 2015 as reported</w:t>
            </w:r>
          </w:p>
        </w:tc>
        <w:tc>
          <w:tcPr>
            <w:tcW w:w="1440" w:type="dxa"/>
            <w:shd w:val="clear" w:color="auto" w:fill="auto"/>
            <w:vAlign w:val="bottom"/>
          </w:tcPr>
          <w:p>
            <w:pPr>
              <w:widowControl w:val="0"/>
              <w:ind w:left="0" w:firstLine="0"/>
              <w:jc w:val="right"/>
              <w:rPr>
                <w:rFonts w:ascii="Arial" w:hAnsi="Arial" w:cs="Arial"/>
                <w:b/>
                <w:sz w:val="22"/>
                <w:szCs w:val="22"/>
              </w:rPr>
            </w:pPr>
          </w:p>
        </w:tc>
        <w:tc>
          <w:tcPr>
            <w:tcW w:w="171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(367,300,212)</w:t>
            </w:r>
          </w:p>
        </w:tc>
      </w:tr>
      <w:tr>
        <w:trPr>
          <w:trHeight w:val="135"/>
          <w:jc w:val="center"/>
        </w:trPr>
        <w:tc>
          <w:tcPr>
            <w:tcW w:w="6930" w:type="dxa"/>
            <w:gridSpan w:val="2"/>
            <w:tcBorders>
              <w:top w:val="single" w:sz="4" w:space="0" w:color="auto"/>
              <w:bottom w:val="single" w:sz="4" w:space="0" w:color="auto"/>
            </w:tcBorders>
            <w:shd w:val="clear" w:color="auto" w:fill="auto"/>
            <w:vAlign w:val="bottom"/>
          </w:tcPr>
          <w:p>
            <w:pPr>
              <w:widowControl w:val="0"/>
              <w:ind w:left="0" w:firstLine="0"/>
              <w:rPr>
                <w:rFonts w:ascii="Arial" w:hAnsi="Arial" w:cs="Arial"/>
                <w:b/>
                <w:sz w:val="22"/>
                <w:szCs w:val="22"/>
              </w:rPr>
            </w:pPr>
            <w:r>
              <w:rPr>
                <w:rFonts w:ascii="Arial" w:hAnsi="Arial" w:cs="Arial"/>
                <w:b/>
                <w:sz w:val="22"/>
                <w:szCs w:val="22"/>
              </w:rPr>
              <w:t>Restated balance at January 1, 2016</w:t>
            </w:r>
          </w:p>
        </w:tc>
        <w:tc>
          <w:tcPr>
            <w:tcW w:w="1710" w:type="dxa"/>
            <w:tcBorders>
              <w:top w:val="single" w:sz="4" w:space="0" w:color="auto"/>
              <w:bottom w:val="single" w:sz="4" w:space="0" w:color="auto"/>
            </w:tcBorders>
            <w:vAlign w:val="bottom"/>
          </w:tcPr>
          <w:p>
            <w:pPr>
              <w:widowControl w:val="0"/>
              <w:ind w:left="0" w:firstLine="0"/>
              <w:jc w:val="right"/>
              <w:rPr>
                <w:rFonts w:ascii="Arial" w:hAnsi="Arial" w:cs="Arial"/>
                <w:b/>
                <w:sz w:val="22"/>
                <w:szCs w:val="22"/>
              </w:rPr>
            </w:pPr>
            <w:r>
              <w:rPr>
                <w:rFonts w:ascii="Arial" w:hAnsi="Arial" w:cs="Arial"/>
                <w:b/>
                <w:sz w:val="22"/>
                <w:szCs w:val="22"/>
              </w:rPr>
              <w:t>646,554,360</w:t>
            </w:r>
          </w:p>
        </w:tc>
      </w:tr>
    </w:tbl>
    <w:p>
      <w:pPr>
        <w:widowControl w:val="0"/>
        <w:ind w:left="0" w:firstLine="0"/>
        <w:jc w:val="both"/>
        <w:rPr>
          <w:rFonts w:ascii="Arial" w:hAnsi="Arial" w:cs="Arial"/>
          <w:sz w:val="22"/>
          <w:szCs w:val="22"/>
        </w:rPr>
      </w:pPr>
      <w:r>
        <w:rPr>
          <w:rFonts w:ascii="Arial" w:hAnsi="Arial" w:cs="Arial"/>
          <w:sz w:val="22"/>
          <w:szCs w:val="22"/>
        </w:rPr>
        <w:t xml:space="preserve"> </w:t>
      </w:r>
    </w:p>
    <w:p>
      <w:pPr>
        <w:widowControl w:val="0"/>
        <w:ind w:left="0" w:firstLine="0"/>
        <w:jc w:val="both"/>
        <w:rPr>
          <w:rFonts w:ascii="Arial" w:hAnsi="Arial" w:cs="Arial"/>
          <w:sz w:val="22"/>
          <w:szCs w:val="22"/>
        </w:rPr>
      </w:pPr>
      <w:r>
        <w:rPr>
          <w:rFonts w:ascii="Arial" w:hAnsi="Arial" w:cs="Arial"/>
          <w:sz w:val="22"/>
          <w:szCs w:val="22"/>
        </w:rPr>
        <w:t>*Correction/adjustment of prior years’ errors consists of various income from lending and real estate operations and other expenses amounting to P16.623 million and P122.480 million.</w:t>
      </w:r>
    </w:p>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r>
        <w:rPr>
          <w:rFonts w:ascii="Arial" w:hAnsi="Arial" w:cs="Arial"/>
          <w:sz w:val="22"/>
          <w:szCs w:val="22"/>
        </w:rPr>
        <w:t>The profit for CY 2016 was restated as follows:</w:t>
      </w:r>
    </w:p>
    <w:p>
      <w:pPr>
        <w:widowControl w:val="0"/>
        <w:ind w:left="0" w:firstLine="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1530"/>
        <w:gridCol w:w="2718"/>
      </w:tblGrid>
      <w:tr>
        <w:tc>
          <w:tcPr>
            <w:tcW w:w="4608" w:type="dxa"/>
            <w:tcBorders>
              <w:top w:val="single" w:sz="4" w:space="0" w:color="auto"/>
              <w:bottom w:val="single" w:sz="4" w:space="0" w:color="auto"/>
            </w:tcBorders>
          </w:tcPr>
          <w:p>
            <w:pPr>
              <w:widowControl w:val="0"/>
              <w:ind w:left="0" w:firstLine="0"/>
              <w:jc w:val="both"/>
              <w:rPr>
                <w:rFonts w:ascii="Arial" w:hAnsi="Arial" w:cs="Arial"/>
                <w:b/>
                <w:sz w:val="22"/>
                <w:szCs w:val="22"/>
              </w:rPr>
            </w:pPr>
          </w:p>
        </w:tc>
        <w:tc>
          <w:tcPr>
            <w:tcW w:w="1530" w:type="dxa"/>
            <w:tcBorders>
              <w:top w:val="single" w:sz="4" w:space="0" w:color="auto"/>
              <w:bottom w:val="single" w:sz="4" w:space="0" w:color="auto"/>
            </w:tcBorders>
          </w:tcPr>
          <w:p>
            <w:pPr>
              <w:widowControl w:val="0"/>
              <w:ind w:left="0" w:firstLine="0"/>
              <w:jc w:val="both"/>
              <w:rPr>
                <w:rFonts w:ascii="Arial" w:hAnsi="Arial" w:cs="Arial"/>
                <w:b/>
                <w:sz w:val="22"/>
                <w:szCs w:val="22"/>
              </w:rPr>
            </w:pPr>
          </w:p>
        </w:tc>
        <w:tc>
          <w:tcPr>
            <w:tcW w:w="2718" w:type="dxa"/>
            <w:tcBorders>
              <w:top w:val="single" w:sz="4" w:space="0" w:color="auto"/>
              <w:bottom w:val="single" w:sz="4" w:space="0" w:color="auto"/>
            </w:tcBorders>
          </w:tcPr>
          <w:p>
            <w:pPr>
              <w:widowControl w:val="0"/>
              <w:ind w:left="0" w:firstLine="0"/>
              <w:jc w:val="center"/>
              <w:rPr>
                <w:rFonts w:ascii="Arial" w:hAnsi="Arial" w:cs="Arial"/>
                <w:b/>
                <w:sz w:val="22"/>
                <w:szCs w:val="22"/>
              </w:rPr>
            </w:pPr>
            <w:r>
              <w:rPr>
                <w:rFonts w:ascii="Arial" w:hAnsi="Arial" w:cs="Arial"/>
                <w:b/>
                <w:sz w:val="22"/>
                <w:szCs w:val="22"/>
              </w:rPr>
              <w:t xml:space="preserve">  2016</w:t>
            </w:r>
          </w:p>
        </w:tc>
      </w:tr>
      <w:tr>
        <w:tc>
          <w:tcPr>
            <w:tcW w:w="4608" w:type="dxa"/>
            <w:tcBorders>
              <w:top w:val="single" w:sz="4" w:space="0" w:color="auto"/>
            </w:tcBorders>
          </w:tcPr>
          <w:p>
            <w:pPr>
              <w:widowControl w:val="0"/>
              <w:ind w:left="0" w:firstLine="0"/>
              <w:jc w:val="both"/>
              <w:rPr>
                <w:rFonts w:ascii="Arial" w:hAnsi="Arial" w:cs="Arial"/>
                <w:sz w:val="22"/>
                <w:szCs w:val="22"/>
              </w:rPr>
            </w:pPr>
            <w:r>
              <w:rPr>
                <w:rFonts w:ascii="Arial" w:hAnsi="Arial" w:cs="Arial"/>
                <w:sz w:val="22"/>
                <w:szCs w:val="22"/>
              </w:rPr>
              <w:t>Balance at the beginning of the year as</w:t>
            </w:r>
          </w:p>
        </w:tc>
        <w:tc>
          <w:tcPr>
            <w:tcW w:w="1530" w:type="dxa"/>
            <w:tcBorders>
              <w:top w:val="single" w:sz="4" w:space="0" w:color="auto"/>
            </w:tcBorders>
          </w:tcPr>
          <w:p>
            <w:pPr>
              <w:widowControl w:val="0"/>
              <w:ind w:left="0" w:firstLine="0"/>
              <w:jc w:val="both"/>
              <w:rPr>
                <w:rFonts w:ascii="Arial" w:hAnsi="Arial" w:cs="Arial"/>
                <w:sz w:val="22"/>
                <w:szCs w:val="22"/>
              </w:rPr>
            </w:pPr>
          </w:p>
        </w:tc>
        <w:tc>
          <w:tcPr>
            <w:tcW w:w="2718" w:type="dxa"/>
            <w:tcBorders>
              <w:top w:val="single" w:sz="4" w:space="0" w:color="auto"/>
            </w:tcBorders>
          </w:tcPr>
          <w:p>
            <w:pPr>
              <w:widowControl w:val="0"/>
              <w:ind w:left="0" w:firstLine="0"/>
              <w:jc w:val="center"/>
              <w:rPr>
                <w:rFonts w:ascii="Arial" w:hAnsi="Arial" w:cs="Arial"/>
                <w:sz w:val="22"/>
                <w:szCs w:val="22"/>
              </w:rPr>
            </w:pPr>
          </w:p>
        </w:tc>
      </w:tr>
      <w:tr>
        <w:tc>
          <w:tcPr>
            <w:tcW w:w="4608" w:type="dxa"/>
          </w:tcPr>
          <w:p>
            <w:pPr>
              <w:widowControl w:val="0"/>
              <w:ind w:left="0" w:firstLine="0"/>
              <w:jc w:val="both"/>
              <w:rPr>
                <w:rFonts w:ascii="Arial" w:hAnsi="Arial" w:cs="Arial"/>
                <w:sz w:val="22"/>
                <w:szCs w:val="22"/>
              </w:rPr>
            </w:pPr>
            <w:r>
              <w:rPr>
                <w:rFonts w:ascii="Arial" w:hAnsi="Arial" w:cs="Arial"/>
                <w:sz w:val="22"/>
                <w:szCs w:val="22"/>
              </w:rPr>
              <w:t xml:space="preserve">     previously reported</w:t>
            </w:r>
          </w:p>
        </w:tc>
        <w:tc>
          <w:tcPr>
            <w:tcW w:w="1530" w:type="dxa"/>
          </w:tcPr>
          <w:p>
            <w:pPr>
              <w:widowControl w:val="0"/>
              <w:ind w:left="0" w:firstLine="0"/>
              <w:jc w:val="both"/>
              <w:rPr>
                <w:rFonts w:ascii="Arial" w:hAnsi="Arial" w:cs="Arial"/>
                <w:sz w:val="22"/>
                <w:szCs w:val="22"/>
              </w:rPr>
            </w:pPr>
          </w:p>
        </w:tc>
        <w:tc>
          <w:tcPr>
            <w:tcW w:w="2718" w:type="dxa"/>
          </w:tcPr>
          <w:p>
            <w:pPr>
              <w:widowControl w:val="0"/>
              <w:ind w:left="0" w:firstLine="0"/>
              <w:jc w:val="right"/>
              <w:rPr>
                <w:rFonts w:ascii="Arial" w:hAnsi="Arial" w:cs="Arial"/>
                <w:sz w:val="22"/>
                <w:szCs w:val="22"/>
              </w:rPr>
            </w:pPr>
            <w:r>
              <w:rPr>
                <w:rFonts w:ascii="Arial" w:hAnsi="Arial" w:cs="Arial"/>
                <w:sz w:val="22"/>
                <w:szCs w:val="22"/>
              </w:rPr>
              <w:t>221,002,766</w:t>
            </w:r>
          </w:p>
        </w:tc>
      </w:tr>
      <w:tr>
        <w:tc>
          <w:tcPr>
            <w:tcW w:w="4608" w:type="dxa"/>
          </w:tcPr>
          <w:p>
            <w:pPr>
              <w:widowControl w:val="0"/>
              <w:ind w:left="0" w:firstLine="0"/>
              <w:jc w:val="both"/>
              <w:rPr>
                <w:rFonts w:ascii="Arial" w:hAnsi="Arial" w:cs="Arial"/>
                <w:sz w:val="22"/>
                <w:szCs w:val="22"/>
              </w:rPr>
            </w:pPr>
            <w:r>
              <w:rPr>
                <w:rFonts w:ascii="Arial" w:hAnsi="Arial" w:cs="Arial"/>
                <w:sz w:val="22"/>
                <w:szCs w:val="22"/>
              </w:rPr>
              <w:t>Correction/adjustment of prior year errors:</w:t>
            </w:r>
          </w:p>
        </w:tc>
        <w:tc>
          <w:tcPr>
            <w:tcW w:w="1530" w:type="dxa"/>
          </w:tcPr>
          <w:p>
            <w:pPr>
              <w:widowControl w:val="0"/>
              <w:ind w:left="0" w:firstLine="0"/>
              <w:jc w:val="both"/>
              <w:rPr>
                <w:rFonts w:ascii="Arial" w:hAnsi="Arial" w:cs="Arial"/>
                <w:sz w:val="22"/>
                <w:szCs w:val="22"/>
              </w:rPr>
            </w:pPr>
          </w:p>
        </w:tc>
        <w:tc>
          <w:tcPr>
            <w:tcW w:w="2718" w:type="dxa"/>
          </w:tcPr>
          <w:p>
            <w:pPr>
              <w:widowControl w:val="0"/>
              <w:ind w:left="0" w:firstLine="0"/>
              <w:jc w:val="right"/>
              <w:rPr>
                <w:rFonts w:ascii="Arial" w:hAnsi="Arial" w:cs="Arial"/>
                <w:sz w:val="22"/>
                <w:szCs w:val="22"/>
              </w:rPr>
            </w:pPr>
          </w:p>
        </w:tc>
      </w:tr>
      <w:tr>
        <w:tc>
          <w:tcPr>
            <w:tcW w:w="4608" w:type="dxa"/>
          </w:tcPr>
          <w:p>
            <w:pPr>
              <w:widowControl w:val="0"/>
              <w:ind w:left="0" w:firstLine="0"/>
              <w:jc w:val="both"/>
              <w:rPr>
                <w:rFonts w:ascii="Arial" w:hAnsi="Arial" w:cs="Arial"/>
                <w:sz w:val="22"/>
                <w:szCs w:val="22"/>
              </w:rPr>
            </w:pPr>
            <w:r>
              <w:rPr>
                <w:rFonts w:ascii="Arial" w:hAnsi="Arial" w:cs="Arial"/>
                <w:sz w:val="22"/>
                <w:szCs w:val="22"/>
              </w:rPr>
              <w:t>Decrease in revenues</w:t>
            </w:r>
          </w:p>
        </w:tc>
        <w:tc>
          <w:tcPr>
            <w:tcW w:w="1530" w:type="dxa"/>
          </w:tcPr>
          <w:p>
            <w:pPr>
              <w:widowControl w:val="0"/>
              <w:ind w:left="0" w:firstLine="0"/>
              <w:jc w:val="right"/>
              <w:rPr>
                <w:rFonts w:ascii="Arial" w:hAnsi="Arial" w:cs="Arial"/>
                <w:sz w:val="22"/>
                <w:szCs w:val="22"/>
              </w:rPr>
            </w:pPr>
            <w:r>
              <w:rPr>
                <w:rFonts w:ascii="Arial" w:hAnsi="Arial" w:cs="Arial"/>
                <w:sz w:val="22"/>
                <w:szCs w:val="22"/>
              </w:rPr>
              <w:t>(1,554,876)</w:t>
            </w:r>
          </w:p>
        </w:tc>
        <w:tc>
          <w:tcPr>
            <w:tcW w:w="2718" w:type="dxa"/>
          </w:tcPr>
          <w:p>
            <w:pPr>
              <w:widowControl w:val="0"/>
              <w:ind w:left="0" w:firstLine="0"/>
              <w:jc w:val="right"/>
              <w:rPr>
                <w:rFonts w:ascii="Arial" w:hAnsi="Arial" w:cs="Arial"/>
                <w:sz w:val="22"/>
                <w:szCs w:val="22"/>
              </w:rPr>
            </w:pPr>
          </w:p>
        </w:tc>
      </w:tr>
      <w:tr>
        <w:tc>
          <w:tcPr>
            <w:tcW w:w="4608" w:type="dxa"/>
          </w:tcPr>
          <w:p>
            <w:pPr>
              <w:widowControl w:val="0"/>
              <w:ind w:left="0" w:firstLine="0"/>
              <w:jc w:val="both"/>
              <w:rPr>
                <w:rFonts w:ascii="Arial" w:hAnsi="Arial" w:cs="Arial"/>
                <w:sz w:val="22"/>
                <w:szCs w:val="22"/>
              </w:rPr>
            </w:pPr>
            <w:r>
              <w:rPr>
                <w:rFonts w:ascii="Arial" w:hAnsi="Arial" w:cs="Arial"/>
                <w:sz w:val="22"/>
                <w:szCs w:val="22"/>
              </w:rPr>
              <w:t>Investment and operating expenses</w:t>
            </w:r>
          </w:p>
        </w:tc>
        <w:tc>
          <w:tcPr>
            <w:tcW w:w="1530" w:type="dxa"/>
          </w:tcPr>
          <w:p>
            <w:pPr>
              <w:widowControl w:val="0"/>
              <w:ind w:left="0" w:firstLine="0"/>
              <w:jc w:val="right"/>
              <w:rPr>
                <w:rFonts w:ascii="Arial" w:hAnsi="Arial" w:cs="Arial"/>
                <w:sz w:val="22"/>
                <w:szCs w:val="22"/>
              </w:rPr>
            </w:pPr>
            <w:r>
              <w:rPr>
                <w:rFonts w:ascii="Arial" w:hAnsi="Arial" w:cs="Arial"/>
                <w:sz w:val="22"/>
                <w:szCs w:val="22"/>
              </w:rPr>
              <w:t>421,207</w:t>
            </w:r>
          </w:p>
        </w:tc>
        <w:tc>
          <w:tcPr>
            <w:tcW w:w="2718" w:type="dxa"/>
          </w:tcPr>
          <w:p>
            <w:pPr>
              <w:widowControl w:val="0"/>
              <w:ind w:left="0" w:firstLine="0"/>
              <w:jc w:val="right"/>
              <w:rPr>
                <w:rFonts w:ascii="Arial" w:hAnsi="Arial" w:cs="Arial"/>
                <w:sz w:val="22"/>
                <w:szCs w:val="22"/>
              </w:rPr>
            </w:pPr>
          </w:p>
        </w:tc>
      </w:tr>
      <w:tr>
        <w:tc>
          <w:tcPr>
            <w:tcW w:w="4608" w:type="dxa"/>
            <w:tcBorders>
              <w:bottom w:val="single" w:sz="4" w:space="0" w:color="auto"/>
            </w:tcBorders>
          </w:tcPr>
          <w:p>
            <w:pPr>
              <w:widowControl w:val="0"/>
              <w:ind w:left="0" w:firstLine="0"/>
              <w:jc w:val="both"/>
              <w:rPr>
                <w:rFonts w:ascii="Arial" w:hAnsi="Arial" w:cs="Arial"/>
                <w:sz w:val="22"/>
                <w:szCs w:val="22"/>
              </w:rPr>
            </w:pPr>
            <w:r>
              <w:rPr>
                <w:rFonts w:ascii="Arial" w:hAnsi="Arial" w:cs="Arial"/>
                <w:sz w:val="22"/>
                <w:szCs w:val="22"/>
              </w:rPr>
              <w:t>General and administrative expenses</w:t>
            </w:r>
          </w:p>
        </w:tc>
        <w:tc>
          <w:tcPr>
            <w:tcW w:w="1530"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577,575</w:t>
            </w:r>
          </w:p>
        </w:tc>
        <w:tc>
          <w:tcPr>
            <w:tcW w:w="2718" w:type="dxa"/>
            <w:tcBorders>
              <w:bottom w:val="single" w:sz="4" w:space="0" w:color="auto"/>
            </w:tcBorders>
          </w:tcPr>
          <w:p>
            <w:pPr>
              <w:widowControl w:val="0"/>
              <w:ind w:left="0" w:firstLine="0"/>
              <w:jc w:val="right"/>
              <w:rPr>
                <w:rFonts w:ascii="Arial" w:hAnsi="Arial" w:cs="Arial"/>
                <w:sz w:val="22"/>
                <w:szCs w:val="22"/>
              </w:rPr>
            </w:pPr>
            <w:r>
              <w:rPr>
                <w:rFonts w:ascii="Arial" w:hAnsi="Arial" w:cs="Arial"/>
                <w:sz w:val="22"/>
                <w:szCs w:val="22"/>
              </w:rPr>
              <w:t>(2,553,658)</w:t>
            </w:r>
          </w:p>
        </w:tc>
      </w:tr>
      <w:tr>
        <w:tc>
          <w:tcPr>
            <w:tcW w:w="4608" w:type="dxa"/>
            <w:tcBorders>
              <w:top w:val="single" w:sz="4" w:space="0" w:color="auto"/>
              <w:bottom w:val="double" w:sz="4" w:space="0" w:color="auto"/>
            </w:tcBorders>
          </w:tcPr>
          <w:p>
            <w:pPr>
              <w:widowControl w:val="0"/>
              <w:ind w:left="0" w:firstLine="0"/>
              <w:jc w:val="both"/>
              <w:rPr>
                <w:rFonts w:ascii="Arial" w:hAnsi="Arial" w:cs="Arial"/>
                <w:b/>
                <w:sz w:val="22"/>
                <w:szCs w:val="22"/>
              </w:rPr>
            </w:pPr>
            <w:r>
              <w:rPr>
                <w:rFonts w:ascii="Arial" w:hAnsi="Arial" w:cs="Arial"/>
                <w:b/>
                <w:sz w:val="22"/>
                <w:szCs w:val="22"/>
              </w:rPr>
              <w:t>Profit for CY 2016, as restated</w:t>
            </w:r>
          </w:p>
        </w:tc>
        <w:tc>
          <w:tcPr>
            <w:tcW w:w="1530" w:type="dxa"/>
            <w:tcBorders>
              <w:top w:val="single" w:sz="4" w:space="0" w:color="auto"/>
              <w:bottom w:val="double" w:sz="4" w:space="0" w:color="auto"/>
            </w:tcBorders>
          </w:tcPr>
          <w:p>
            <w:pPr>
              <w:widowControl w:val="0"/>
              <w:ind w:left="0" w:firstLine="0"/>
              <w:jc w:val="right"/>
              <w:rPr>
                <w:rFonts w:ascii="Arial" w:hAnsi="Arial" w:cs="Arial"/>
                <w:b/>
                <w:sz w:val="22"/>
                <w:szCs w:val="22"/>
              </w:rPr>
            </w:pPr>
          </w:p>
        </w:tc>
        <w:tc>
          <w:tcPr>
            <w:tcW w:w="2718" w:type="dxa"/>
            <w:tcBorders>
              <w:top w:val="single" w:sz="4" w:space="0" w:color="auto"/>
              <w:bottom w:val="double" w:sz="4" w:space="0" w:color="auto"/>
            </w:tcBorders>
          </w:tcPr>
          <w:p>
            <w:pPr>
              <w:widowControl w:val="0"/>
              <w:tabs>
                <w:tab w:val="left" w:pos="1515"/>
              </w:tabs>
              <w:ind w:left="0" w:firstLine="0"/>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=SUM(ABOVE) </w:instrText>
            </w:r>
            <w:r>
              <w:rPr>
                <w:rFonts w:ascii="Arial" w:hAnsi="Arial" w:cs="Arial"/>
                <w:b/>
                <w:sz w:val="22"/>
                <w:szCs w:val="22"/>
              </w:rPr>
              <w:fldChar w:fldCharType="separate"/>
            </w:r>
            <w:r>
              <w:rPr>
                <w:rFonts w:ascii="Arial" w:hAnsi="Arial" w:cs="Arial"/>
                <w:b/>
                <w:noProof/>
                <w:sz w:val="22"/>
                <w:szCs w:val="22"/>
              </w:rPr>
              <w:t>218,449,108</w:t>
            </w:r>
            <w:r>
              <w:rPr>
                <w:rFonts w:ascii="Arial" w:hAnsi="Arial" w:cs="Arial"/>
                <w:b/>
                <w:sz w:val="22"/>
                <w:szCs w:val="22"/>
              </w:rPr>
              <w:fldChar w:fldCharType="end"/>
            </w:r>
          </w:p>
        </w:tc>
      </w:tr>
    </w:tbl>
    <w:p>
      <w:pPr>
        <w:widowControl w:val="0"/>
        <w:ind w:left="0" w:firstLine="0"/>
        <w:jc w:val="both"/>
        <w:rPr>
          <w:rFonts w:ascii="Arial" w:hAnsi="Arial" w:cs="Arial"/>
          <w:sz w:val="22"/>
          <w:szCs w:val="22"/>
        </w:rPr>
      </w:pPr>
    </w:p>
    <w:p>
      <w:pPr>
        <w:widowControl w:val="0"/>
        <w:ind w:left="0" w:firstLine="0"/>
        <w:jc w:val="both"/>
        <w:rPr>
          <w:rFonts w:ascii="Arial" w:hAnsi="Arial" w:cs="Arial"/>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szCs w:val="22"/>
        </w:rPr>
      </w:pPr>
      <w:r>
        <w:rPr>
          <w:rFonts w:ascii="Arial" w:hAnsi="Arial" w:cs="Arial"/>
          <w:szCs w:val="22"/>
        </w:rPr>
        <w:t>RECONCILIATION OF LIABILITIES ARISING FROM FINANCING ACTIVITIES</w:t>
      </w:r>
    </w:p>
    <w:p>
      <w:pPr>
        <w:rPr>
          <w:color w:val="FF0000"/>
          <w:sz w:val="20"/>
          <w:szCs w:val="20"/>
        </w:rPr>
      </w:pPr>
    </w:p>
    <w:tbl>
      <w:tblPr>
        <w:tblW w:w="8672" w:type="dxa"/>
        <w:jc w:val="center"/>
        <w:tblLayout w:type="fixed"/>
        <w:tblLook w:val="0000" w:firstRow="0" w:lastRow="0" w:firstColumn="0" w:lastColumn="0" w:noHBand="0" w:noVBand="0"/>
      </w:tblPr>
      <w:tblGrid>
        <w:gridCol w:w="6246"/>
        <w:gridCol w:w="2426"/>
      </w:tblGrid>
      <w:tr>
        <w:trPr>
          <w:trHeight w:val="368"/>
          <w:jc w:val="center"/>
        </w:trPr>
        <w:tc>
          <w:tcPr>
            <w:tcW w:w="6246"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b/>
                <w:bCs/>
                <w:sz w:val="22"/>
                <w:szCs w:val="22"/>
              </w:rPr>
            </w:pPr>
            <w:r>
              <w:rPr>
                <w:rFonts w:ascii="Arial" w:hAnsi="Arial" w:cs="Arial"/>
                <w:b/>
                <w:sz w:val="22"/>
                <w:szCs w:val="22"/>
              </w:rPr>
              <w:t>Liabilities to the Members</w:t>
            </w:r>
          </w:p>
        </w:tc>
        <w:tc>
          <w:tcPr>
            <w:tcW w:w="2426"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 xml:space="preserve">           2017</w:t>
            </w:r>
          </w:p>
        </w:tc>
      </w:tr>
      <w:tr>
        <w:trPr>
          <w:trHeight w:val="288"/>
          <w:jc w:val="center"/>
        </w:trPr>
        <w:tc>
          <w:tcPr>
            <w:tcW w:w="6246" w:type="dxa"/>
            <w:shd w:val="clear" w:color="auto" w:fill="auto"/>
            <w:vAlign w:val="bottom"/>
          </w:tcPr>
          <w:p>
            <w:pPr>
              <w:widowControl w:val="0"/>
              <w:ind w:left="0" w:right="-108" w:firstLine="0"/>
              <w:rPr>
                <w:rFonts w:ascii="Arial" w:hAnsi="Arial" w:cs="Arial"/>
                <w:b/>
                <w:sz w:val="22"/>
                <w:szCs w:val="22"/>
              </w:rPr>
            </w:pPr>
            <w:r>
              <w:rPr>
                <w:rFonts w:ascii="Arial" w:hAnsi="Arial" w:cs="Arial"/>
                <w:sz w:val="22"/>
                <w:szCs w:val="22"/>
              </w:rPr>
              <w:t>Balance, January 01, 2017</w:t>
            </w:r>
          </w:p>
        </w:tc>
        <w:tc>
          <w:tcPr>
            <w:tcW w:w="2426"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14,649,550,687</w:t>
            </w:r>
          </w:p>
        </w:tc>
      </w:tr>
      <w:tr>
        <w:trPr>
          <w:trHeight w:val="180"/>
          <w:jc w:val="center"/>
        </w:trPr>
        <w:tc>
          <w:tcPr>
            <w:tcW w:w="6246"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Cash flows from Financing Activities</w:t>
            </w:r>
          </w:p>
        </w:tc>
        <w:tc>
          <w:tcPr>
            <w:tcW w:w="2426" w:type="dxa"/>
            <w:shd w:val="clear" w:color="auto" w:fill="auto"/>
            <w:vAlign w:val="bottom"/>
          </w:tcPr>
          <w:p>
            <w:pPr>
              <w:widowControl w:val="0"/>
              <w:ind w:left="0" w:firstLine="0"/>
              <w:jc w:val="right"/>
              <w:rPr>
                <w:rFonts w:ascii="Arial" w:hAnsi="Arial" w:cs="Arial"/>
                <w:sz w:val="22"/>
                <w:szCs w:val="22"/>
              </w:rPr>
            </w:pPr>
          </w:p>
        </w:tc>
      </w:tr>
      <w:tr>
        <w:trPr>
          <w:trHeight w:val="135"/>
          <w:jc w:val="center"/>
        </w:trPr>
        <w:tc>
          <w:tcPr>
            <w:tcW w:w="6246"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 xml:space="preserve">     Additional Contributions</w:t>
            </w:r>
          </w:p>
        </w:tc>
        <w:tc>
          <w:tcPr>
            <w:tcW w:w="2426"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80,133</w:t>
            </w:r>
          </w:p>
        </w:tc>
      </w:tr>
      <w:tr>
        <w:trPr>
          <w:trHeight w:val="135"/>
          <w:jc w:val="center"/>
        </w:trPr>
        <w:tc>
          <w:tcPr>
            <w:tcW w:w="6246"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 xml:space="preserve">     Payment of Contributions</w:t>
            </w:r>
          </w:p>
        </w:tc>
        <w:tc>
          <w:tcPr>
            <w:tcW w:w="2426"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(572,259,203)</w:t>
            </w:r>
          </w:p>
        </w:tc>
      </w:tr>
      <w:tr>
        <w:trPr>
          <w:trHeight w:val="162"/>
          <w:jc w:val="center"/>
        </w:trPr>
        <w:tc>
          <w:tcPr>
            <w:tcW w:w="6246"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Non-cash Financing Activities</w:t>
            </w:r>
          </w:p>
        </w:tc>
        <w:tc>
          <w:tcPr>
            <w:tcW w:w="2426" w:type="dxa"/>
            <w:shd w:val="clear" w:color="auto" w:fill="auto"/>
            <w:vAlign w:val="bottom"/>
          </w:tcPr>
          <w:p>
            <w:pPr>
              <w:widowControl w:val="0"/>
              <w:ind w:left="0" w:firstLine="0"/>
              <w:jc w:val="right"/>
              <w:rPr>
                <w:rFonts w:ascii="Arial" w:hAnsi="Arial" w:cs="Arial"/>
                <w:sz w:val="22"/>
                <w:szCs w:val="22"/>
              </w:rPr>
            </w:pPr>
          </w:p>
        </w:tc>
      </w:tr>
      <w:tr>
        <w:trPr>
          <w:trHeight w:val="162"/>
          <w:jc w:val="center"/>
        </w:trPr>
        <w:tc>
          <w:tcPr>
            <w:tcW w:w="6246" w:type="dxa"/>
            <w:shd w:val="clear" w:color="auto" w:fill="auto"/>
            <w:vAlign w:val="bottom"/>
          </w:tcPr>
          <w:p>
            <w:pPr>
              <w:widowControl w:val="0"/>
              <w:ind w:left="0" w:right="-108" w:firstLine="0"/>
              <w:rPr>
                <w:rFonts w:ascii="Arial" w:hAnsi="Arial" w:cs="Arial"/>
                <w:sz w:val="22"/>
                <w:szCs w:val="22"/>
              </w:rPr>
            </w:pPr>
            <w:r>
              <w:rPr>
                <w:rFonts w:ascii="Arial" w:hAnsi="Arial" w:cs="Arial"/>
                <w:b/>
                <w:sz w:val="22"/>
                <w:szCs w:val="22"/>
              </w:rPr>
              <w:t xml:space="preserve">     </w:t>
            </w:r>
            <w:r>
              <w:rPr>
                <w:rFonts w:ascii="Arial" w:hAnsi="Arial" w:cs="Arial"/>
                <w:sz w:val="22"/>
                <w:szCs w:val="22"/>
              </w:rPr>
              <w:t>Adjustment of matured loans/Others</w:t>
            </w:r>
          </w:p>
        </w:tc>
        <w:tc>
          <w:tcPr>
            <w:tcW w:w="2426" w:type="dxa"/>
            <w:shd w:val="clear" w:color="auto" w:fill="auto"/>
            <w:vAlign w:val="bottom"/>
          </w:tcPr>
          <w:p>
            <w:pPr>
              <w:widowControl w:val="0"/>
              <w:ind w:left="0" w:firstLine="0"/>
              <w:jc w:val="right"/>
              <w:rPr>
                <w:rFonts w:ascii="Arial" w:hAnsi="Arial" w:cs="Arial"/>
                <w:sz w:val="22"/>
                <w:szCs w:val="22"/>
              </w:rPr>
            </w:pPr>
            <w:r>
              <w:rPr>
                <w:rFonts w:ascii="Arial" w:hAnsi="Arial" w:cs="Arial"/>
                <w:sz w:val="22"/>
                <w:szCs w:val="22"/>
              </w:rPr>
              <w:t>(345,239,826)</w:t>
            </w:r>
          </w:p>
        </w:tc>
      </w:tr>
      <w:tr>
        <w:trPr>
          <w:trHeight w:val="360"/>
          <w:jc w:val="center"/>
        </w:trPr>
        <w:tc>
          <w:tcPr>
            <w:tcW w:w="6246" w:type="dxa"/>
            <w:tcBorders>
              <w:top w:val="single" w:sz="4" w:space="0" w:color="auto"/>
              <w:bottom w:val="double" w:sz="4" w:space="0" w:color="auto"/>
            </w:tcBorders>
            <w:shd w:val="clear" w:color="auto" w:fill="auto"/>
            <w:vAlign w:val="center"/>
          </w:tcPr>
          <w:p>
            <w:pPr>
              <w:widowControl w:val="0"/>
              <w:ind w:left="0" w:right="-108" w:firstLine="0"/>
              <w:rPr>
                <w:rFonts w:ascii="Arial" w:hAnsi="Arial" w:cs="Arial"/>
                <w:sz w:val="22"/>
                <w:szCs w:val="22"/>
              </w:rPr>
            </w:pPr>
            <w:r>
              <w:rPr>
                <w:rFonts w:ascii="Arial" w:hAnsi="Arial" w:cs="Arial"/>
                <w:sz w:val="22"/>
                <w:szCs w:val="22"/>
              </w:rPr>
              <w:t>Balance, December 31, 2017</w:t>
            </w:r>
          </w:p>
        </w:tc>
        <w:tc>
          <w:tcPr>
            <w:tcW w:w="2426"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13,732,131,791</w:t>
            </w:r>
          </w:p>
        </w:tc>
      </w:tr>
    </w:tbl>
    <w:p>
      <w:pPr>
        <w:rPr>
          <w:rFonts w:ascii="Arial" w:hAnsi="Arial" w:cs="Arial"/>
          <w:sz w:val="22"/>
          <w:szCs w:val="22"/>
        </w:rPr>
      </w:pPr>
    </w:p>
    <w:p>
      <w:pPr>
        <w:rPr>
          <w:sz w:val="22"/>
          <w:szCs w:val="22"/>
        </w:rPr>
      </w:pP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EXEMPTION FROM TAX</w:t>
      </w:r>
    </w:p>
    <w:p>
      <w:pPr>
        <w:widowControl w:val="0"/>
        <w:jc w:val="both"/>
        <w:rPr>
          <w:rFonts w:ascii="Arial" w:hAnsi="Arial" w:cs="Arial"/>
          <w:b/>
          <w:sz w:val="22"/>
          <w:szCs w:val="22"/>
        </w:rPr>
      </w:pPr>
    </w:p>
    <w:p>
      <w:pPr>
        <w:widowControl w:val="0"/>
        <w:ind w:left="0" w:firstLine="0"/>
        <w:jc w:val="both"/>
        <w:rPr>
          <w:rFonts w:ascii="Arial" w:hAnsi="Arial" w:cs="Arial"/>
          <w:sz w:val="22"/>
          <w:szCs w:val="22"/>
        </w:rPr>
      </w:pPr>
      <w:r>
        <w:rPr>
          <w:rFonts w:ascii="Arial" w:hAnsi="Arial" w:cs="Arial"/>
          <w:sz w:val="22"/>
          <w:szCs w:val="22"/>
        </w:rPr>
        <w:t>Pursuant to Section 2(c) of PD No. 361, as amended by PD No. 1656, all earnings of the System shall not be subject to any tax whatsoever. The System has likewise secured an affirmation of its tax exemption from the BIR pursuant to Section 60(B) of the National Internal Revenue Code. The latest affirmation was issued on August 11, 2009.</w:t>
      </w:r>
    </w:p>
    <w:p>
      <w:pPr>
        <w:widowControl w:val="0"/>
        <w:ind w:left="0" w:firstLine="0"/>
        <w:jc w:val="both"/>
        <w:rPr>
          <w:rFonts w:ascii="Arial" w:hAnsi="Arial" w:cs="Arial"/>
          <w:sz w:val="20"/>
          <w:szCs w:val="20"/>
        </w:rPr>
      </w:pPr>
    </w:p>
    <w:p>
      <w:pPr>
        <w:widowControl w:val="0"/>
        <w:tabs>
          <w:tab w:val="left" w:pos="7545"/>
        </w:tabs>
        <w:ind w:left="0" w:firstLine="0"/>
        <w:jc w:val="both"/>
        <w:rPr>
          <w:rFonts w:ascii="Arial" w:hAnsi="Arial" w:cs="Arial"/>
          <w:sz w:val="20"/>
          <w:szCs w:val="20"/>
        </w:rPr>
      </w:pPr>
      <w:r>
        <w:rPr>
          <w:rFonts w:ascii="Arial" w:hAnsi="Arial" w:cs="Arial"/>
          <w:sz w:val="20"/>
          <w:szCs w:val="20"/>
        </w:rPr>
        <w:tab/>
      </w:r>
    </w:p>
    <w:p>
      <w:pPr>
        <w:pStyle w:val="Heading1"/>
        <w:keepNext w:val="0"/>
        <w:widowControl w:val="0"/>
        <w:numPr>
          <w:ilvl w:val="0"/>
          <w:numId w:val="1"/>
        </w:numPr>
        <w:tabs>
          <w:tab w:val="clear" w:pos="432"/>
          <w:tab w:val="clear" w:pos="864"/>
        </w:tabs>
        <w:spacing w:line="240" w:lineRule="auto"/>
        <w:ind w:left="0" w:firstLine="0"/>
        <w:rPr>
          <w:rFonts w:ascii="Arial" w:hAnsi="Arial" w:cs="Arial"/>
          <w:b w:val="0"/>
          <w:szCs w:val="22"/>
        </w:rPr>
      </w:pPr>
      <w:r>
        <w:rPr>
          <w:rFonts w:ascii="Arial" w:hAnsi="Arial" w:cs="Arial"/>
          <w:szCs w:val="22"/>
        </w:rPr>
        <w:t>COMPLIANCE WITH REVENUE REGULATIONS (RR) NO.15-2010</w:t>
      </w:r>
    </w:p>
    <w:p>
      <w:pPr>
        <w:pStyle w:val="ListParagraph"/>
        <w:widowControl w:val="0"/>
        <w:tabs>
          <w:tab w:val="left" w:pos="720"/>
        </w:tabs>
        <w:ind w:left="0" w:firstLine="0"/>
        <w:jc w:val="both"/>
        <w:rPr>
          <w:rFonts w:ascii="Arial" w:hAnsi="Arial" w:cs="Arial"/>
          <w:sz w:val="22"/>
          <w:szCs w:val="22"/>
        </w:rPr>
      </w:pPr>
    </w:p>
    <w:p>
      <w:pPr>
        <w:pStyle w:val="ListParagraph"/>
        <w:widowControl w:val="0"/>
        <w:tabs>
          <w:tab w:val="left" w:pos="720"/>
        </w:tabs>
        <w:ind w:left="0" w:firstLine="0"/>
        <w:jc w:val="both"/>
        <w:rPr>
          <w:rFonts w:ascii="Arial" w:hAnsi="Arial" w:cs="Arial"/>
          <w:sz w:val="22"/>
          <w:szCs w:val="22"/>
        </w:rPr>
      </w:pPr>
      <w:r>
        <w:rPr>
          <w:rFonts w:ascii="Arial" w:hAnsi="Arial" w:cs="Arial"/>
          <w:sz w:val="22"/>
          <w:szCs w:val="22"/>
        </w:rPr>
        <w:t>In compliance with the requirements set forth by BIR RR No. 15-2010, hereunder are the information on taxes, duties and license fees paid or accrued during the taxable year 2017.</w:t>
      </w:r>
    </w:p>
    <w:p>
      <w:pPr>
        <w:ind w:left="0" w:firstLine="0"/>
        <w:rPr>
          <w:rFonts w:ascii="Arial" w:hAnsi="Arial" w:cs="Arial"/>
          <w:sz w:val="22"/>
          <w:szCs w:val="22"/>
        </w:rPr>
      </w:pPr>
    </w:p>
    <w:p>
      <w:pPr>
        <w:pStyle w:val="ListParagraph"/>
        <w:widowControl w:val="0"/>
        <w:numPr>
          <w:ilvl w:val="1"/>
          <w:numId w:val="15"/>
        </w:numPr>
        <w:tabs>
          <w:tab w:val="left" w:pos="720"/>
        </w:tabs>
        <w:ind w:hanging="840"/>
        <w:jc w:val="both"/>
        <w:rPr>
          <w:rFonts w:ascii="Arial" w:hAnsi="Arial" w:cs="Arial"/>
          <w:b/>
          <w:sz w:val="22"/>
          <w:szCs w:val="22"/>
        </w:rPr>
      </w:pPr>
      <w:r>
        <w:rPr>
          <w:rFonts w:ascii="Arial" w:hAnsi="Arial" w:cs="Arial"/>
          <w:b/>
          <w:sz w:val="22"/>
          <w:szCs w:val="22"/>
        </w:rPr>
        <w:t>Withholding Taxes</w:t>
      </w:r>
    </w:p>
    <w:p>
      <w:pPr>
        <w:pStyle w:val="ListParagraph"/>
        <w:widowControl w:val="0"/>
        <w:tabs>
          <w:tab w:val="left" w:pos="720"/>
        </w:tabs>
        <w:ind w:left="840" w:firstLine="0"/>
        <w:jc w:val="both"/>
        <w:rPr>
          <w:rFonts w:ascii="Arial" w:hAnsi="Arial" w:cs="Arial"/>
          <w:b/>
          <w:sz w:val="22"/>
          <w:szCs w:val="22"/>
        </w:rPr>
      </w:pPr>
    </w:p>
    <w:tbl>
      <w:tblPr>
        <w:tblW w:w="8550" w:type="dxa"/>
        <w:jc w:val="center"/>
        <w:tblLayout w:type="fixed"/>
        <w:tblLook w:val="0000" w:firstRow="0" w:lastRow="0" w:firstColumn="0" w:lastColumn="0" w:noHBand="0" w:noVBand="0"/>
      </w:tblPr>
      <w:tblGrid>
        <w:gridCol w:w="4950"/>
        <w:gridCol w:w="1800"/>
        <w:gridCol w:w="1800"/>
      </w:tblGrid>
      <w:tr>
        <w:trPr>
          <w:trHeight w:val="360"/>
          <w:jc w:val="center"/>
        </w:trPr>
        <w:tc>
          <w:tcPr>
            <w:tcW w:w="4950"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 xml:space="preserve">         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 xml:space="preserve">       2016</w:t>
            </w:r>
          </w:p>
        </w:tc>
      </w:tr>
      <w:tr>
        <w:trPr>
          <w:trHeight w:val="288"/>
          <w:jc w:val="center"/>
        </w:trPr>
        <w:tc>
          <w:tcPr>
            <w:tcW w:w="4950" w:type="dxa"/>
            <w:shd w:val="clear" w:color="auto" w:fill="auto"/>
            <w:vAlign w:val="bottom"/>
          </w:tcPr>
          <w:p>
            <w:pPr>
              <w:widowControl w:val="0"/>
              <w:ind w:left="-18" w:right="-108" w:firstLine="18"/>
              <w:rPr>
                <w:rFonts w:ascii="Arial" w:hAnsi="Arial" w:cs="Arial"/>
                <w:sz w:val="22"/>
                <w:szCs w:val="22"/>
              </w:rPr>
            </w:pPr>
            <w:r>
              <w:rPr>
                <w:rFonts w:ascii="Arial" w:hAnsi="Arial" w:cs="Arial"/>
                <w:sz w:val="22"/>
                <w:szCs w:val="22"/>
              </w:rPr>
              <w:t>Tax on compensation and benefits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9,761,816</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9,338,109</w:t>
            </w:r>
          </w:p>
        </w:tc>
      </w:tr>
      <w:tr>
        <w:trPr>
          <w:trHeight w:val="288"/>
          <w:jc w:val="center"/>
        </w:trPr>
        <w:tc>
          <w:tcPr>
            <w:tcW w:w="495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Expanded withholding taxes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4,943,011</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6,616,221</w:t>
            </w:r>
          </w:p>
        </w:tc>
      </w:tr>
      <w:tr>
        <w:trPr>
          <w:trHeight w:val="180"/>
          <w:jc w:val="center"/>
        </w:trPr>
        <w:tc>
          <w:tcPr>
            <w:tcW w:w="495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Final withholding on value-added taxes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3,262,964</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5,205,757</w:t>
            </w:r>
          </w:p>
        </w:tc>
      </w:tr>
      <w:tr>
        <w:trPr>
          <w:trHeight w:val="162"/>
          <w:jc w:val="center"/>
        </w:trPr>
        <w:tc>
          <w:tcPr>
            <w:tcW w:w="495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 xml:space="preserve">Percentage taxes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67,378</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102,165</w:t>
            </w:r>
          </w:p>
        </w:tc>
      </w:tr>
      <w:tr>
        <w:trPr>
          <w:trHeight w:val="360"/>
          <w:jc w:val="center"/>
        </w:trPr>
        <w:tc>
          <w:tcPr>
            <w:tcW w:w="4950" w:type="dxa"/>
            <w:tcBorders>
              <w:top w:val="single" w:sz="4" w:space="0" w:color="auto"/>
              <w:bottom w:val="double" w:sz="4" w:space="0" w:color="auto"/>
            </w:tcBorders>
            <w:shd w:val="clear" w:color="auto" w:fill="auto"/>
            <w:vAlign w:val="center"/>
          </w:tcPr>
          <w:p>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18,035,169</w:t>
            </w: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21,262,252</w:t>
            </w:r>
          </w:p>
        </w:tc>
      </w:tr>
    </w:tbl>
    <w:p>
      <w:pPr>
        <w:pStyle w:val="ListParagraph"/>
        <w:widowControl w:val="0"/>
        <w:tabs>
          <w:tab w:val="left" w:pos="720"/>
        </w:tabs>
        <w:ind w:left="840" w:firstLine="0"/>
        <w:jc w:val="both"/>
        <w:rPr>
          <w:rFonts w:ascii="Arial" w:hAnsi="Arial" w:cs="Arial"/>
          <w:b/>
          <w:sz w:val="22"/>
          <w:szCs w:val="22"/>
        </w:rPr>
      </w:pPr>
    </w:p>
    <w:p>
      <w:pPr>
        <w:pStyle w:val="ListParagraph"/>
        <w:widowControl w:val="0"/>
        <w:numPr>
          <w:ilvl w:val="1"/>
          <w:numId w:val="15"/>
        </w:numPr>
        <w:tabs>
          <w:tab w:val="left" w:pos="720"/>
        </w:tabs>
        <w:ind w:hanging="840"/>
        <w:jc w:val="both"/>
        <w:rPr>
          <w:rFonts w:ascii="Arial" w:hAnsi="Arial" w:cs="Arial"/>
          <w:b/>
          <w:sz w:val="22"/>
          <w:szCs w:val="22"/>
        </w:rPr>
      </w:pPr>
      <w:r>
        <w:rPr>
          <w:rFonts w:ascii="Arial" w:hAnsi="Arial" w:cs="Arial"/>
          <w:b/>
          <w:sz w:val="22"/>
          <w:szCs w:val="22"/>
        </w:rPr>
        <w:t>Other Taxes</w:t>
      </w:r>
    </w:p>
    <w:p>
      <w:pPr>
        <w:ind w:left="0" w:firstLine="0"/>
        <w:rPr>
          <w:rFonts w:ascii="Arial" w:hAnsi="Arial" w:cs="Arial"/>
          <w:b/>
          <w:sz w:val="22"/>
          <w:szCs w:val="22"/>
        </w:rPr>
      </w:pPr>
    </w:p>
    <w:tbl>
      <w:tblPr>
        <w:tblW w:w="8550" w:type="dxa"/>
        <w:jc w:val="center"/>
        <w:tblLayout w:type="fixed"/>
        <w:tblLook w:val="0000" w:firstRow="0" w:lastRow="0" w:firstColumn="0" w:lastColumn="0" w:noHBand="0" w:noVBand="0"/>
      </w:tblPr>
      <w:tblGrid>
        <w:gridCol w:w="4950"/>
        <w:gridCol w:w="1800"/>
        <w:gridCol w:w="1800"/>
      </w:tblGrid>
      <w:tr>
        <w:trPr>
          <w:trHeight w:val="368"/>
          <w:jc w:val="center"/>
        </w:trPr>
        <w:tc>
          <w:tcPr>
            <w:tcW w:w="4950" w:type="dxa"/>
            <w:tcBorders>
              <w:top w:val="single" w:sz="4" w:space="0" w:color="auto"/>
              <w:bottom w:val="single" w:sz="4" w:space="0" w:color="auto"/>
            </w:tcBorders>
            <w:shd w:val="clear" w:color="auto" w:fill="auto"/>
            <w:vAlign w:val="center"/>
          </w:tcPr>
          <w:p>
            <w:pPr>
              <w:widowControl w:val="0"/>
              <w:ind w:left="0" w:right="-108" w:firstLine="0"/>
              <w:jc w:val="center"/>
              <w:rPr>
                <w:rFonts w:ascii="Arial" w:hAnsi="Arial" w:cs="Arial"/>
                <w:b/>
                <w:bCs/>
                <w:sz w:val="22"/>
                <w:szCs w:val="22"/>
              </w:rPr>
            </w:pPr>
          </w:p>
        </w:tc>
        <w:tc>
          <w:tcPr>
            <w:tcW w:w="1800" w:type="dxa"/>
            <w:tcBorders>
              <w:top w:val="single" w:sz="4" w:space="0" w:color="auto"/>
              <w:bottom w:val="single" w:sz="4" w:space="0" w:color="auto"/>
            </w:tcBorders>
            <w:shd w:val="clear" w:color="auto" w:fill="auto"/>
            <w:vAlign w:val="bottom"/>
          </w:tcPr>
          <w:p>
            <w:pPr>
              <w:widowControl w:val="0"/>
              <w:ind w:left="0" w:firstLine="0"/>
              <w:jc w:val="center"/>
              <w:rPr>
                <w:rFonts w:ascii="Arial" w:hAnsi="Arial" w:cs="Arial"/>
                <w:b/>
                <w:bCs/>
                <w:sz w:val="22"/>
                <w:szCs w:val="22"/>
              </w:rPr>
            </w:pPr>
            <w:r>
              <w:rPr>
                <w:rFonts w:ascii="Arial" w:hAnsi="Arial" w:cs="Arial"/>
                <w:b/>
                <w:bCs/>
                <w:sz w:val="22"/>
                <w:szCs w:val="22"/>
              </w:rPr>
              <w:t xml:space="preserve">        2017</w:t>
            </w:r>
          </w:p>
        </w:tc>
        <w:tc>
          <w:tcPr>
            <w:tcW w:w="1800" w:type="dxa"/>
            <w:tcBorders>
              <w:top w:val="single" w:sz="4" w:space="0" w:color="auto"/>
              <w:bottom w:val="single" w:sz="4" w:space="0" w:color="auto"/>
            </w:tcBorders>
            <w:vAlign w:val="bottom"/>
          </w:tcPr>
          <w:p>
            <w:pPr>
              <w:widowControl w:val="0"/>
              <w:ind w:left="0" w:firstLine="0"/>
              <w:jc w:val="center"/>
              <w:rPr>
                <w:rFonts w:ascii="Arial" w:hAnsi="Arial" w:cs="Arial"/>
                <w:bCs/>
                <w:sz w:val="22"/>
                <w:szCs w:val="22"/>
              </w:rPr>
            </w:pPr>
            <w:r>
              <w:rPr>
                <w:rFonts w:ascii="Arial" w:hAnsi="Arial" w:cs="Arial"/>
                <w:bCs/>
                <w:sz w:val="22"/>
                <w:szCs w:val="22"/>
              </w:rPr>
              <w:t xml:space="preserve">      2016</w:t>
            </w:r>
          </w:p>
        </w:tc>
      </w:tr>
      <w:tr>
        <w:trPr>
          <w:trHeight w:val="288"/>
          <w:jc w:val="center"/>
        </w:trPr>
        <w:tc>
          <w:tcPr>
            <w:tcW w:w="4950" w:type="dxa"/>
            <w:shd w:val="clear" w:color="auto" w:fill="auto"/>
            <w:vAlign w:val="bottom"/>
          </w:tcPr>
          <w:p>
            <w:pPr>
              <w:widowControl w:val="0"/>
              <w:ind w:left="0" w:right="-108" w:firstLine="0"/>
              <w:rPr>
                <w:rFonts w:ascii="Arial" w:hAnsi="Arial" w:cs="Arial"/>
                <w:b/>
                <w:sz w:val="22"/>
                <w:szCs w:val="22"/>
              </w:rPr>
            </w:pPr>
            <w:r>
              <w:rPr>
                <w:rFonts w:ascii="Arial" w:hAnsi="Arial" w:cs="Arial"/>
                <w:b/>
                <w:sz w:val="22"/>
                <w:szCs w:val="22"/>
              </w:rPr>
              <w:t>Local</w:t>
            </w:r>
          </w:p>
        </w:tc>
        <w:tc>
          <w:tcPr>
            <w:tcW w:w="1800" w:type="dxa"/>
            <w:shd w:val="clear" w:color="auto" w:fill="auto"/>
            <w:vAlign w:val="bottom"/>
          </w:tcPr>
          <w:p>
            <w:pPr>
              <w:widowControl w:val="0"/>
              <w:ind w:left="0" w:firstLine="0"/>
              <w:jc w:val="right"/>
              <w:rPr>
                <w:rFonts w:ascii="Arial" w:hAnsi="Arial" w:cs="Arial"/>
                <w:b/>
                <w:sz w:val="22"/>
                <w:szCs w:val="22"/>
              </w:rPr>
            </w:pPr>
          </w:p>
        </w:tc>
        <w:tc>
          <w:tcPr>
            <w:tcW w:w="1800" w:type="dxa"/>
            <w:vAlign w:val="bottom"/>
          </w:tcPr>
          <w:p>
            <w:pPr>
              <w:widowControl w:val="0"/>
              <w:ind w:left="0" w:firstLine="0"/>
              <w:jc w:val="right"/>
              <w:rPr>
                <w:rFonts w:ascii="Arial" w:hAnsi="Arial" w:cs="Arial"/>
                <w:sz w:val="22"/>
                <w:szCs w:val="22"/>
              </w:rPr>
            </w:pPr>
          </w:p>
        </w:tc>
      </w:tr>
      <w:tr>
        <w:trPr>
          <w:trHeight w:val="288"/>
          <w:jc w:val="center"/>
        </w:trPr>
        <w:tc>
          <w:tcPr>
            <w:tcW w:w="4950" w:type="dxa"/>
            <w:shd w:val="clear" w:color="auto" w:fill="auto"/>
            <w:vAlign w:val="bottom"/>
          </w:tcPr>
          <w:p>
            <w:pPr>
              <w:widowControl w:val="0"/>
              <w:ind w:left="0" w:right="-108" w:firstLine="0"/>
              <w:rPr>
                <w:rFonts w:ascii="Arial" w:hAnsi="Arial" w:cs="Arial"/>
                <w:b/>
                <w:sz w:val="22"/>
                <w:szCs w:val="22"/>
              </w:rPr>
            </w:pPr>
            <w:r>
              <w:rPr>
                <w:rFonts w:ascii="Arial" w:hAnsi="Arial" w:cs="Arial"/>
                <w:sz w:val="22"/>
                <w:szCs w:val="22"/>
              </w:rPr>
              <w:t>Real estate taxes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14,563,283</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14,641,625</w:t>
            </w:r>
          </w:p>
        </w:tc>
      </w:tr>
      <w:tr>
        <w:trPr>
          <w:trHeight w:val="180"/>
          <w:jc w:val="center"/>
        </w:trPr>
        <w:tc>
          <w:tcPr>
            <w:tcW w:w="495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Capital gains taxes</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12,659,922</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11,471,218</w:t>
            </w:r>
          </w:p>
        </w:tc>
      </w:tr>
      <w:tr>
        <w:trPr>
          <w:trHeight w:val="135"/>
          <w:jc w:val="center"/>
        </w:trPr>
        <w:tc>
          <w:tcPr>
            <w:tcW w:w="4950" w:type="dxa"/>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 xml:space="preserve">Transfer taxes/Others </w:t>
            </w:r>
          </w:p>
        </w:tc>
        <w:tc>
          <w:tcPr>
            <w:tcW w:w="1800" w:type="dxa"/>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417,510</w:t>
            </w:r>
          </w:p>
        </w:tc>
        <w:tc>
          <w:tcPr>
            <w:tcW w:w="1800" w:type="dxa"/>
            <w:vAlign w:val="bottom"/>
          </w:tcPr>
          <w:p>
            <w:pPr>
              <w:widowControl w:val="0"/>
              <w:ind w:left="0" w:firstLine="0"/>
              <w:jc w:val="right"/>
              <w:rPr>
                <w:rFonts w:ascii="Arial" w:hAnsi="Arial" w:cs="Arial"/>
                <w:sz w:val="22"/>
                <w:szCs w:val="22"/>
              </w:rPr>
            </w:pPr>
            <w:r>
              <w:rPr>
                <w:rFonts w:ascii="Arial" w:hAnsi="Arial" w:cs="Arial"/>
                <w:sz w:val="22"/>
                <w:szCs w:val="22"/>
              </w:rPr>
              <w:t>113,878</w:t>
            </w:r>
          </w:p>
        </w:tc>
      </w:tr>
      <w:tr>
        <w:trPr>
          <w:trHeight w:val="135"/>
          <w:jc w:val="center"/>
        </w:trPr>
        <w:tc>
          <w:tcPr>
            <w:tcW w:w="4950" w:type="dxa"/>
            <w:shd w:val="clear" w:color="auto" w:fill="auto"/>
            <w:vAlign w:val="bottom"/>
          </w:tcPr>
          <w:p>
            <w:pPr>
              <w:widowControl w:val="0"/>
              <w:ind w:left="0" w:right="-108" w:firstLine="0"/>
              <w:rPr>
                <w:rFonts w:ascii="Arial" w:hAnsi="Arial" w:cs="Arial"/>
                <w:sz w:val="22"/>
                <w:szCs w:val="22"/>
              </w:rPr>
            </w:pPr>
          </w:p>
        </w:tc>
        <w:tc>
          <w:tcPr>
            <w:tcW w:w="1800" w:type="dxa"/>
            <w:shd w:val="clear" w:color="auto" w:fill="auto"/>
            <w:vAlign w:val="bottom"/>
          </w:tcPr>
          <w:p>
            <w:pPr>
              <w:widowControl w:val="0"/>
              <w:ind w:left="0" w:firstLine="0"/>
              <w:jc w:val="right"/>
              <w:rPr>
                <w:rFonts w:ascii="Arial" w:hAnsi="Arial" w:cs="Arial"/>
                <w:b/>
                <w:sz w:val="22"/>
                <w:szCs w:val="22"/>
              </w:rPr>
            </w:pPr>
          </w:p>
        </w:tc>
        <w:tc>
          <w:tcPr>
            <w:tcW w:w="1800" w:type="dxa"/>
            <w:vAlign w:val="bottom"/>
          </w:tcPr>
          <w:p>
            <w:pPr>
              <w:widowControl w:val="0"/>
              <w:ind w:left="0" w:firstLine="0"/>
              <w:jc w:val="right"/>
              <w:rPr>
                <w:rFonts w:ascii="Arial" w:hAnsi="Arial" w:cs="Arial"/>
                <w:sz w:val="22"/>
                <w:szCs w:val="22"/>
              </w:rPr>
            </w:pPr>
          </w:p>
        </w:tc>
      </w:tr>
      <w:tr>
        <w:trPr>
          <w:trHeight w:val="162"/>
          <w:jc w:val="center"/>
        </w:trPr>
        <w:tc>
          <w:tcPr>
            <w:tcW w:w="4950" w:type="dxa"/>
            <w:shd w:val="clear" w:color="auto" w:fill="auto"/>
            <w:vAlign w:val="bottom"/>
          </w:tcPr>
          <w:p>
            <w:pPr>
              <w:widowControl w:val="0"/>
              <w:ind w:left="0" w:right="-108" w:firstLine="0"/>
              <w:rPr>
                <w:rFonts w:ascii="Arial" w:hAnsi="Arial" w:cs="Arial"/>
                <w:b/>
                <w:sz w:val="22"/>
                <w:szCs w:val="22"/>
              </w:rPr>
            </w:pPr>
            <w:r>
              <w:rPr>
                <w:rFonts w:ascii="Arial" w:hAnsi="Arial" w:cs="Arial"/>
                <w:b/>
                <w:sz w:val="22"/>
                <w:szCs w:val="22"/>
              </w:rPr>
              <w:t>National</w:t>
            </w:r>
          </w:p>
        </w:tc>
        <w:tc>
          <w:tcPr>
            <w:tcW w:w="1800" w:type="dxa"/>
            <w:shd w:val="clear" w:color="auto" w:fill="auto"/>
            <w:vAlign w:val="bottom"/>
          </w:tcPr>
          <w:p>
            <w:pPr>
              <w:widowControl w:val="0"/>
              <w:ind w:left="0" w:firstLine="0"/>
              <w:jc w:val="right"/>
              <w:rPr>
                <w:rFonts w:ascii="Arial" w:hAnsi="Arial" w:cs="Arial"/>
                <w:b/>
                <w:sz w:val="22"/>
                <w:szCs w:val="22"/>
              </w:rPr>
            </w:pPr>
          </w:p>
        </w:tc>
        <w:tc>
          <w:tcPr>
            <w:tcW w:w="1800" w:type="dxa"/>
            <w:vAlign w:val="bottom"/>
          </w:tcPr>
          <w:p>
            <w:pPr>
              <w:widowControl w:val="0"/>
              <w:ind w:left="0" w:firstLine="0"/>
              <w:jc w:val="right"/>
              <w:rPr>
                <w:rFonts w:ascii="Arial" w:hAnsi="Arial" w:cs="Arial"/>
                <w:sz w:val="22"/>
                <w:szCs w:val="22"/>
              </w:rPr>
            </w:pPr>
          </w:p>
        </w:tc>
      </w:tr>
      <w:tr>
        <w:trPr>
          <w:trHeight w:val="162"/>
          <w:jc w:val="center"/>
        </w:trPr>
        <w:tc>
          <w:tcPr>
            <w:tcW w:w="4950" w:type="dxa"/>
            <w:tcBorders>
              <w:bottom w:val="single" w:sz="4" w:space="0" w:color="auto"/>
            </w:tcBorders>
            <w:shd w:val="clear" w:color="auto" w:fill="auto"/>
            <w:vAlign w:val="bottom"/>
          </w:tcPr>
          <w:p>
            <w:pPr>
              <w:widowControl w:val="0"/>
              <w:ind w:left="0" w:right="-108" w:firstLine="0"/>
              <w:rPr>
                <w:rFonts w:ascii="Arial" w:hAnsi="Arial" w:cs="Arial"/>
                <w:sz w:val="22"/>
                <w:szCs w:val="22"/>
              </w:rPr>
            </w:pPr>
            <w:r>
              <w:rPr>
                <w:rFonts w:ascii="Arial" w:hAnsi="Arial" w:cs="Arial"/>
                <w:sz w:val="22"/>
                <w:szCs w:val="22"/>
              </w:rPr>
              <w:t>BIR annual registration</w:t>
            </w:r>
          </w:p>
        </w:tc>
        <w:tc>
          <w:tcPr>
            <w:tcW w:w="1800" w:type="dxa"/>
            <w:tcBorders>
              <w:bottom w:val="sing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500</w:t>
            </w:r>
          </w:p>
        </w:tc>
        <w:tc>
          <w:tcPr>
            <w:tcW w:w="1800" w:type="dxa"/>
            <w:tcBorders>
              <w:bottom w:val="sing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500</w:t>
            </w:r>
          </w:p>
        </w:tc>
      </w:tr>
      <w:tr>
        <w:trPr>
          <w:trHeight w:val="360"/>
          <w:jc w:val="center"/>
        </w:trPr>
        <w:tc>
          <w:tcPr>
            <w:tcW w:w="4950" w:type="dxa"/>
            <w:tcBorders>
              <w:top w:val="single" w:sz="4" w:space="0" w:color="auto"/>
              <w:bottom w:val="double" w:sz="4" w:space="0" w:color="auto"/>
            </w:tcBorders>
            <w:shd w:val="clear" w:color="auto" w:fill="auto"/>
            <w:vAlign w:val="center"/>
          </w:tcPr>
          <w:p>
            <w:pPr>
              <w:widowControl w:val="0"/>
              <w:ind w:left="0" w:right="-108" w:firstLine="0"/>
              <w:jc w:val="right"/>
              <w:rPr>
                <w:rFonts w:ascii="Arial" w:hAnsi="Arial" w:cs="Arial"/>
                <w:sz w:val="22"/>
                <w:szCs w:val="22"/>
              </w:rPr>
            </w:pPr>
          </w:p>
        </w:tc>
        <w:tc>
          <w:tcPr>
            <w:tcW w:w="1800" w:type="dxa"/>
            <w:tcBorders>
              <w:top w:val="single" w:sz="4" w:space="0" w:color="auto"/>
              <w:bottom w:val="double" w:sz="4" w:space="0" w:color="auto"/>
            </w:tcBorders>
            <w:shd w:val="clear" w:color="auto" w:fill="auto"/>
            <w:vAlign w:val="bottom"/>
          </w:tcPr>
          <w:p>
            <w:pPr>
              <w:widowControl w:val="0"/>
              <w:ind w:left="0" w:firstLine="0"/>
              <w:jc w:val="right"/>
              <w:rPr>
                <w:rFonts w:ascii="Arial" w:hAnsi="Arial" w:cs="Arial"/>
                <w:b/>
                <w:sz w:val="22"/>
                <w:szCs w:val="22"/>
              </w:rPr>
            </w:pPr>
            <w:r>
              <w:rPr>
                <w:rFonts w:ascii="Arial" w:hAnsi="Arial" w:cs="Arial"/>
                <w:b/>
                <w:sz w:val="22"/>
                <w:szCs w:val="22"/>
              </w:rPr>
              <w:t>27,641,215</w:t>
            </w:r>
          </w:p>
        </w:tc>
        <w:tc>
          <w:tcPr>
            <w:tcW w:w="1800" w:type="dxa"/>
            <w:tcBorders>
              <w:top w:val="single" w:sz="4" w:space="0" w:color="auto"/>
              <w:bottom w:val="double" w:sz="4" w:space="0" w:color="auto"/>
            </w:tcBorders>
            <w:vAlign w:val="bottom"/>
          </w:tcPr>
          <w:p>
            <w:pPr>
              <w:widowControl w:val="0"/>
              <w:ind w:left="0" w:firstLine="0"/>
              <w:jc w:val="right"/>
              <w:rPr>
                <w:rFonts w:ascii="Arial" w:hAnsi="Arial" w:cs="Arial"/>
                <w:sz w:val="22"/>
                <w:szCs w:val="22"/>
              </w:rPr>
            </w:pPr>
            <w:r>
              <w:rPr>
                <w:rFonts w:ascii="Arial" w:hAnsi="Arial" w:cs="Arial"/>
                <w:sz w:val="22"/>
                <w:szCs w:val="22"/>
              </w:rPr>
              <w:t>26,227,221</w:t>
            </w:r>
          </w:p>
        </w:tc>
      </w:tr>
    </w:tbl>
    <w:p>
      <w:pPr>
        <w:widowControl w:val="0"/>
        <w:tabs>
          <w:tab w:val="left" w:pos="720"/>
        </w:tabs>
        <w:ind w:left="0" w:firstLine="0"/>
        <w:jc w:val="both"/>
        <w:rPr>
          <w:rFonts w:ascii="Arial" w:hAnsi="Arial" w:cs="Arial"/>
          <w:b/>
          <w:sz w:val="22"/>
          <w:szCs w:val="22"/>
        </w:rPr>
      </w:pPr>
    </w:p>
    <w:sectPr>
      <w:headerReference w:type="default" r:id="rId8"/>
      <w:footerReference w:type="even" r:id="rId9"/>
      <w:footerReference w:type="default" r:id="rId10"/>
      <w:footerReference w:type="first" r:id="rId11"/>
      <w:pgSz w:w="12240" w:h="15840" w:code="1"/>
      <w:pgMar w:top="1440" w:right="1440" w:bottom="1440" w:left="1440" w:header="720" w:footer="1296" w:gutter="72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rPr>
          <w:sz w:val="21"/>
          <w:szCs w:val="21"/>
        </w:rPr>
      </w:pPr>
      <w:r>
        <w:rPr>
          <w:sz w:val="21"/>
          <w:szCs w:val="21"/>
        </w:rPr>
        <w:separator/>
      </w:r>
    </w:p>
  </w:endnote>
  <w:endnote w:type="continuationSeparator" w:id="0">
    <w:p>
      <w:pPr>
        <w:rPr>
          <w:sz w:val="21"/>
          <w:szCs w:val="21"/>
        </w:rPr>
      </w:pPr>
      <w:r>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pPr>
      <w:pStyle w:val="Footer"/>
      <w:ind w:right="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rFonts w:ascii="Arial" w:hAnsi="Arial" w:cs="Arial"/>
        <w:sz w:val="20"/>
      </w:rPr>
    </w:pPr>
  </w:p>
  <w:p>
    <w:pPr>
      <w:pStyle w:val="Footer"/>
      <w:jc w:val="right"/>
      <w:rPr>
        <w:rFonts w:ascii="Arial" w:hAnsi="Arial" w:cs="Arial"/>
        <w:sz w:val="20"/>
      </w:rPr>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10</w:t>
    </w:r>
    <w:r>
      <w:rPr>
        <w:rFonts w:ascii="Arial" w:hAnsi="Arial" w:cs="Arial"/>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jc w:val="right"/>
      <w:rPr>
        <w:vanish/>
        <w:sz w:val="42"/>
        <w:szCs w:val="4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rPr>
          <w:sz w:val="21"/>
          <w:szCs w:val="21"/>
        </w:rPr>
      </w:pPr>
      <w:r>
        <w:rPr>
          <w:sz w:val="21"/>
          <w:szCs w:val="21"/>
        </w:rPr>
        <w:separator/>
      </w:r>
    </w:p>
  </w:footnote>
  <w:footnote w:type="continuationSeparator" w:id="0">
    <w:p>
      <w:pPr>
        <w:rPr>
          <w:sz w:val="21"/>
          <w:szCs w:val="21"/>
        </w:rPr>
      </w:pPr>
      <w:r>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54D"/>
    <w:multiLevelType w:val="hybridMultilevel"/>
    <w:tmpl w:val="66B0D080"/>
    <w:lvl w:ilvl="0" w:tplc="2E76C9B2">
      <w:start w:val="8"/>
      <w:numFmt w:val="low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 w15:restartNumberingAfterBreak="0">
    <w:nsid w:val="00847F0C"/>
    <w:multiLevelType w:val="hybridMultilevel"/>
    <w:tmpl w:val="ED243802"/>
    <w:lvl w:ilvl="0" w:tplc="2152BB5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 w15:restartNumberingAfterBreak="0">
    <w:nsid w:val="03F0331D"/>
    <w:multiLevelType w:val="hybridMultilevel"/>
    <w:tmpl w:val="B192D4EE"/>
    <w:lvl w:ilvl="0" w:tplc="2152BB5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3" w15:restartNumberingAfterBreak="0">
    <w:nsid w:val="0630187F"/>
    <w:multiLevelType w:val="hybridMultilevel"/>
    <w:tmpl w:val="385ED414"/>
    <w:lvl w:ilvl="0" w:tplc="9AF67878">
      <w:start w:val="1"/>
      <w:numFmt w:val="bullet"/>
      <w:lvlText w:val=""/>
      <w:lvlJc w:val="left"/>
      <w:pPr>
        <w:ind w:left="1440" w:hanging="360"/>
      </w:pPr>
      <w:rPr>
        <w:rFonts w:ascii="Symbol" w:hAnsi="Symbol" w:hint="default"/>
        <w:b w:val="0"/>
        <w:bCs w:val="0"/>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D24340"/>
    <w:multiLevelType w:val="hybridMultilevel"/>
    <w:tmpl w:val="4A50651A"/>
    <w:lvl w:ilvl="0" w:tplc="F8FA2CD0">
      <w:start w:val="1"/>
      <w:numFmt w:val="lowerRoman"/>
      <w:lvlText w:val="(%1)"/>
      <w:lvlJc w:val="left"/>
      <w:pPr>
        <w:ind w:left="2520" w:hanging="720"/>
      </w:pPr>
      <w:rPr>
        <w:rFonts w:hint="default"/>
        <w:i w:val="0"/>
      </w:rPr>
    </w:lvl>
    <w:lvl w:ilvl="1" w:tplc="04640019" w:tentative="1">
      <w:start w:val="1"/>
      <w:numFmt w:val="lowerLetter"/>
      <w:lvlText w:val="%2."/>
      <w:lvlJc w:val="left"/>
      <w:pPr>
        <w:ind w:left="2880" w:hanging="360"/>
      </w:pPr>
    </w:lvl>
    <w:lvl w:ilvl="2" w:tplc="0464001B" w:tentative="1">
      <w:start w:val="1"/>
      <w:numFmt w:val="lowerRoman"/>
      <w:lvlText w:val="%3."/>
      <w:lvlJc w:val="right"/>
      <w:pPr>
        <w:ind w:left="3600" w:hanging="180"/>
      </w:pPr>
    </w:lvl>
    <w:lvl w:ilvl="3" w:tplc="0464000F" w:tentative="1">
      <w:start w:val="1"/>
      <w:numFmt w:val="decimal"/>
      <w:lvlText w:val="%4."/>
      <w:lvlJc w:val="left"/>
      <w:pPr>
        <w:ind w:left="4320" w:hanging="360"/>
      </w:pPr>
    </w:lvl>
    <w:lvl w:ilvl="4" w:tplc="04640019" w:tentative="1">
      <w:start w:val="1"/>
      <w:numFmt w:val="lowerLetter"/>
      <w:lvlText w:val="%5."/>
      <w:lvlJc w:val="left"/>
      <w:pPr>
        <w:ind w:left="5040" w:hanging="360"/>
      </w:pPr>
    </w:lvl>
    <w:lvl w:ilvl="5" w:tplc="0464001B" w:tentative="1">
      <w:start w:val="1"/>
      <w:numFmt w:val="lowerRoman"/>
      <w:lvlText w:val="%6."/>
      <w:lvlJc w:val="right"/>
      <w:pPr>
        <w:ind w:left="5760" w:hanging="180"/>
      </w:pPr>
    </w:lvl>
    <w:lvl w:ilvl="6" w:tplc="0464000F" w:tentative="1">
      <w:start w:val="1"/>
      <w:numFmt w:val="decimal"/>
      <w:lvlText w:val="%7."/>
      <w:lvlJc w:val="left"/>
      <w:pPr>
        <w:ind w:left="6480" w:hanging="360"/>
      </w:pPr>
    </w:lvl>
    <w:lvl w:ilvl="7" w:tplc="04640019" w:tentative="1">
      <w:start w:val="1"/>
      <w:numFmt w:val="lowerLetter"/>
      <w:lvlText w:val="%8."/>
      <w:lvlJc w:val="left"/>
      <w:pPr>
        <w:ind w:left="7200" w:hanging="360"/>
      </w:pPr>
    </w:lvl>
    <w:lvl w:ilvl="8" w:tplc="0464001B" w:tentative="1">
      <w:start w:val="1"/>
      <w:numFmt w:val="lowerRoman"/>
      <w:lvlText w:val="%9."/>
      <w:lvlJc w:val="right"/>
      <w:pPr>
        <w:ind w:left="7920" w:hanging="180"/>
      </w:pPr>
    </w:lvl>
  </w:abstractNum>
  <w:abstractNum w:abstractNumId="5" w15:restartNumberingAfterBreak="0">
    <w:nsid w:val="08CB0AB3"/>
    <w:multiLevelType w:val="hybridMultilevel"/>
    <w:tmpl w:val="F612AB6C"/>
    <w:lvl w:ilvl="0" w:tplc="3F6EC2E2">
      <w:start w:val="1"/>
      <w:numFmt w:val="lowerRoman"/>
      <w:lvlText w:val="(%1)"/>
      <w:lvlJc w:val="left"/>
      <w:pPr>
        <w:ind w:left="1800" w:hanging="720"/>
      </w:pPr>
      <w:rPr>
        <w:rFonts w:hint="default"/>
      </w:rPr>
    </w:lvl>
    <w:lvl w:ilvl="1" w:tplc="04640019" w:tentative="1">
      <w:start w:val="1"/>
      <w:numFmt w:val="lowerLetter"/>
      <w:lvlText w:val="%2."/>
      <w:lvlJc w:val="left"/>
      <w:pPr>
        <w:ind w:left="2160" w:hanging="360"/>
      </w:pPr>
    </w:lvl>
    <w:lvl w:ilvl="2" w:tplc="0464001B" w:tentative="1">
      <w:start w:val="1"/>
      <w:numFmt w:val="lowerRoman"/>
      <w:lvlText w:val="%3."/>
      <w:lvlJc w:val="right"/>
      <w:pPr>
        <w:ind w:left="2880" w:hanging="180"/>
      </w:pPr>
    </w:lvl>
    <w:lvl w:ilvl="3" w:tplc="0464000F" w:tentative="1">
      <w:start w:val="1"/>
      <w:numFmt w:val="decimal"/>
      <w:lvlText w:val="%4."/>
      <w:lvlJc w:val="left"/>
      <w:pPr>
        <w:ind w:left="3600" w:hanging="360"/>
      </w:pPr>
    </w:lvl>
    <w:lvl w:ilvl="4" w:tplc="04640019" w:tentative="1">
      <w:start w:val="1"/>
      <w:numFmt w:val="lowerLetter"/>
      <w:lvlText w:val="%5."/>
      <w:lvlJc w:val="left"/>
      <w:pPr>
        <w:ind w:left="4320" w:hanging="360"/>
      </w:pPr>
    </w:lvl>
    <w:lvl w:ilvl="5" w:tplc="0464001B" w:tentative="1">
      <w:start w:val="1"/>
      <w:numFmt w:val="lowerRoman"/>
      <w:lvlText w:val="%6."/>
      <w:lvlJc w:val="right"/>
      <w:pPr>
        <w:ind w:left="5040" w:hanging="180"/>
      </w:pPr>
    </w:lvl>
    <w:lvl w:ilvl="6" w:tplc="0464000F" w:tentative="1">
      <w:start w:val="1"/>
      <w:numFmt w:val="decimal"/>
      <w:lvlText w:val="%7."/>
      <w:lvlJc w:val="left"/>
      <w:pPr>
        <w:ind w:left="5760" w:hanging="360"/>
      </w:pPr>
    </w:lvl>
    <w:lvl w:ilvl="7" w:tplc="04640019" w:tentative="1">
      <w:start w:val="1"/>
      <w:numFmt w:val="lowerLetter"/>
      <w:lvlText w:val="%8."/>
      <w:lvlJc w:val="left"/>
      <w:pPr>
        <w:ind w:left="6480" w:hanging="360"/>
      </w:pPr>
    </w:lvl>
    <w:lvl w:ilvl="8" w:tplc="0464001B" w:tentative="1">
      <w:start w:val="1"/>
      <w:numFmt w:val="lowerRoman"/>
      <w:lvlText w:val="%9."/>
      <w:lvlJc w:val="right"/>
      <w:pPr>
        <w:ind w:left="7200" w:hanging="180"/>
      </w:pPr>
    </w:lvl>
  </w:abstractNum>
  <w:abstractNum w:abstractNumId="6" w15:restartNumberingAfterBreak="0">
    <w:nsid w:val="1923124A"/>
    <w:multiLevelType w:val="hybridMultilevel"/>
    <w:tmpl w:val="57B6413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4D310E"/>
    <w:multiLevelType w:val="multilevel"/>
    <w:tmpl w:val="67F0F64E"/>
    <w:lvl w:ilvl="0">
      <w:start w:val="1"/>
      <w:numFmt w:val="decimal"/>
      <w:lvlText w:val="%1."/>
      <w:lvlJc w:val="left"/>
      <w:pPr>
        <w:tabs>
          <w:tab w:val="num" w:pos="360"/>
        </w:tabs>
        <w:ind w:left="360" w:hanging="360"/>
      </w:pPr>
      <w:rPr>
        <w:rFonts w:hint="default"/>
        <w:b/>
      </w:rPr>
    </w:lvl>
    <w:lvl w:ilvl="1">
      <w:start w:val="1"/>
      <w:numFmt w:val="decimal"/>
      <w:lvlText w:val="%1.%2."/>
      <w:lvlJc w:val="left"/>
      <w:pPr>
        <w:ind w:left="0" w:firstLine="0"/>
      </w:pPr>
      <w:rPr>
        <w:rFonts w:hint="default"/>
        <w:b/>
        <w:i w:val="0"/>
        <w:sz w:val="22"/>
        <w:szCs w:val="22"/>
      </w:rPr>
    </w:lvl>
    <w:lvl w:ilvl="2">
      <w:start w:val="1"/>
      <w:numFmt w:val="decimal"/>
      <w:lvlText w:val="3.2.%3."/>
      <w:lvlJc w:val="left"/>
      <w:pPr>
        <w:tabs>
          <w:tab w:val="num" w:pos="1440"/>
        </w:tabs>
        <w:ind w:left="1224" w:hanging="504"/>
      </w:pPr>
      <w:rPr>
        <w:rFonts w:hint="default"/>
        <w:b w:val="0"/>
        <w:i w:val="0"/>
      </w:rPr>
    </w:lvl>
    <w:lvl w:ilvl="3">
      <w:start w:val="1"/>
      <w:numFmt w:val="lowerLetter"/>
      <w:lvlText w:val="%4."/>
      <w:lvlJc w:val="left"/>
      <w:pPr>
        <w:tabs>
          <w:tab w:val="num" w:pos="2160"/>
        </w:tabs>
        <w:ind w:left="1728" w:hanging="648"/>
      </w:pPr>
      <w:rPr>
        <w:rFonts w:hint="default"/>
        <w:b w:val="0"/>
      </w:rPr>
    </w:lvl>
    <w:lvl w:ilvl="4">
      <w:start w:val="1"/>
      <w:numFmt w:val="lowerRoman"/>
      <w:lvlText w:val="(%5)"/>
      <w:lvlJc w:val="left"/>
      <w:pPr>
        <w:tabs>
          <w:tab w:val="num" w:pos="2520"/>
        </w:tabs>
        <w:ind w:left="2232" w:hanging="792"/>
      </w:pPr>
      <w:rPr>
        <w:rFonts w:hint="default"/>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BC92C4F"/>
    <w:multiLevelType w:val="multilevel"/>
    <w:tmpl w:val="279A9758"/>
    <w:lvl w:ilvl="0">
      <w:start w:val="3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2BC3DD8"/>
    <w:multiLevelType w:val="multilevel"/>
    <w:tmpl w:val="A3D25FBC"/>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E41BB0"/>
    <w:multiLevelType w:val="hybridMultilevel"/>
    <w:tmpl w:val="ED243802"/>
    <w:lvl w:ilvl="0" w:tplc="2152BB5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1" w15:restartNumberingAfterBreak="0">
    <w:nsid w:val="2C9C2B30"/>
    <w:multiLevelType w:val="multilevel"/>
    <w:tmpl w:val="67F0F64E"/>
    <w:lvl w:ilvl="0">
      <w:start w:val="1"/>
      <w:numFmt w:val="decimal"/>
      <w:lvlText w:val="%1."/>
      <w:lvlJc w:val="left"/>
      <w:pPr>
        <w:tabs>
          <w:tab w:val="num" w:pos="360"/>
        </w:tabs>
        <w:ind w:left="360" w:hanging="360"/>
      </w:pPr>
      <w:rPr>
        <w:rFonts w:hint="default"/>
        <w:b/>
      </w:rPr>
    </w:lvl>
    <w:lvl w:ilvl="1">
      <w:start w:val="1"/>
      <w:numFmt w:val="decimal"/>
      <w:lvlText w:val="%1.%2."/>
      <w:lvlJc w:val="left"/>
      <w:pPr>
        <w:ind w:left="0" w:firstLine="0"/>
      </w:pPr>
      <w:rPr>
        <w:rFonts w:hint="default"/>
        <w:b/>
        <w:i w:val="0"/>
        <w:sz w:val="22"/>
        <w:szCs w:val="22"/>
      </w:rPr>
    </w:lvl>
    <w:lvl w:ilvl="2">
      <w:start w:val="1"/>
      <w:numFmt w:val="decimal"/>
      <w:lvlText w:val="3.2.%3."/>
      <w:lvlJc w:val="left"/>
      <w:pPr>
        <w:tabs>
          <w:tab w:val="num" w:pos="1440"/>
        </w:tabs>
        <w:ind w:left="1224" w:hanging="504"/>
      </w:pPr>
      <w:rPr>
        <w:rFonts w:hint="default"/>
        <w:b w:val="0"/>
        <w:i w:val="0"/>
      </w:rPr>
    </w:lvl>
    <w:lvl w:ilvl="3">
      <w:start w:val="1"/>
      <w:numFmt w:val="lowerLetter"/>
      <w:lvlText w:val="%4."/>
      <w:lvlJc w:val="left"/>
      <w:pPr>
        <w:tabs>
          <w:tab w:val="num" w:pos="2160"/>
        </w:tabs>
        <w:ind w:left="1728" w:hanging="648"/>
      </w:pPr>
      <w:rPr>
        <w:rFonts w:hint="default"/>
        <w:b w:val="0"/>
      </w:rPr>
    </w:lvl>
    <w:lvl w:ilvl="4">
      <w:start w:val="1"/>
      <w:numFmt w:val="lowerRoman"/>
      <w:lvlText w:val="(%5)"/>
      <w:lvlJc w:val="left"/>
      <w:pPr>
        <w:tabs>
          <w:tab w:val="num" w:pos="2520"/>
        </w:tabs>
        <w:ind w:left="2232" w:hanging="792"/>
      </w:pPr>
      <w:rPr>
        <w:rFonts w:hint="default"/>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E107C1"/>
    <w:multiLevelType w:val="hybridMultilevel"/>
    <w:tmpl w:val="4A50651A"/>
    <w:lvl w:ilvl="0" w:tplc="F8FA2CD0">
      <w:start w:val="1"/>
      <w:numFmt w:val="lowerRoman"/>
      <w:lvlText w:val="(%1)"/>
      <w:lvlJc w:val="left"/>
      <w:pPr>
        <w:ind w:left="2520" w:hanging="720"/>
      </w:pPr>
      <w:rPr>
        <w:rFonts w:hint="default"/>
        <w:i w:val="0"/>
      </w:rPr>
    </w:lvl>
    <w:lvl w:ilvl="1" w:tplc="04640019" w:tentative="1">
      <w:start w:val="1"/>
      <w:numFmt w:val="lowerLetter"/>
      <w:lvlText w:val="%2."/>
      <w:lvlJc w:val="left"/>
      <w:pPr>
        <w:ind w:left="2880" w:hanging="360"/>
      </w:pPr>
    </w:lvl>
    <w:lvl w:ilvl="2" w:tplc="0464001B" w:tentative="1">
      <w:start w:val="1"/>
      <w:numFmt w:val="lowerRoman"/>
      <w:lvlText w:val="%3."/>
      <w:lvlJc w:val="right"/>
      <w:pPr>
        <w:ind w:left="3600" w:hanging="180"/>
      </w:pPr>
    </w:lvl>
    <w:lvl w:ilvl="3" w:tplc="0464000F" w:tentative="1">
      <w:start w:val="1"/>
      <w:numFmt w:val="decimal"/>
      <w:lvlText w:val="%4."/>
      <w:lvlJc w:val="left"/>
      <w:pPr>
        <w:ind w:left="4320" w:hanging="360"/>
      </w:pPr>
    </w:lvl>
    <w:lvl w:ilvl="4" w:tplc="04640019" w:tentative="1">
      <w:start w:val="1"/>
      <w:numFmt w:val="lowerLetter"/>
      <w:lvlText w:val="%5."/>
      <w:lvlJc w:val="left"/>
      <w:pPr>
        <w:ind w:left="5040" w:hanging="360"/>
      </w:pPr>
    </w:lvl>
    <w:lvl w:ilvl="5" w:tplc="0464001B" w:tentative="1">
      <w:start w:val="1"/>
      <w:numFmt w:val="lowerRoman"/>
      <w:lvlText w:val="%6."/>
      <w:lvlJc w:val="right"/>
      <w:pPr>
        <w:ind w:left="5760" w:hanging="180"/>
      </w:pPr>
    </w:lvl>
    <w:lvl w:ilvl="6" w:tplc="0464000F" w:tentative="1">
      <w:start w:val="1"/>
      <w:numFmt w:val="decimal"/>
      <w:lvlText w:val="%7."/>
      <w:lvlJc w:val="left"/>
      <w:pPr>
        <w:ind w:left="6480" w:hanging="360"/>
      </w:pPr>
    </w:lvl>
    <w:lvl w:ilvl="7" w:tplc="04640019" w:tentative="1">
      <w:start w:val="1"/>
      <w:numFmt w:val="lowerLetter"/>
      <w:lvlText w:val="%8."/>
      <w:lvlJc w:val="left"/>
      <w:pPr>
        <w:ind w:left="7200" w:hanging="360"/>
      </w:pPr>
    </w:lvl>
    <w:lvl w:ilvl="8" w:tplc="0464001B" w:tentative="1">
      <w:start w:val="1"/>
      <w:numFmt w:val="lowerRoman"/>
      <w:lvlText w:val="%9."/>
      <w:lvlJc w:val="right"/>
      <w:pPr>
        <w:ind w:left="7920" w:hanging="180"/>
      </w:pPr>
    </w:lvl>
  </w:abstractNum>
  <w:abstractNum w:abstractNumId="13" w15:restartNumberingAfterBreak="0">
    <w:nsid w:val="659544DB"/>
    <w:multiLevelType w:val="hybridMultilevel"/>
    <w:tmpl w:val="8C5AF3A6"/>
    <w:lvl w:ilvl="0" w:tplc="F256680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B100673"/>
    <w:multiLevelType w:val="hybridMultilevel"/>
    <w:tmpl w:val="4A50651A"/>
    <w:lvl w:ilvl="0" w:tplc="F8FA2CD0">
      <w:start w:val="1"/>
      <w:numFmt w:val="lowerRoman"/>
      <w:lvlText w:val="(%1)"/>
      <w:lvlJc w:val="left"/>
      <w:pPr>
        <w:ind w:left="2520" w:hanging="720"/>
      </w:pPr>
      <w:rPr>
        <w:rFonts w:hint="default"/>
        <w:i w:val="0"/>
      </w:rPr>
    </w:lvl>
    <w:lvl w:ilvl="1" w:tplc="04640019" w:tentative="1">
      <w:start w:val="1"/>
      <w:numFmt w:val="lowerLetter"/>
      <w:lvlText w:val="%2."/>
      <w:lvlJc w:val="left"/>
      <w:pPr>
        <w:ind w:left="2880" w:hanging="360"/>
      </w:pPr>
    </w:lvl>
    <w:lvl w:ilvl="2" w:tplc="0464001B" w:tentative="1">
      <w:start w:val="1"/>
      <w:numFmt w:val="lowerRoman"/>
      <w:lvlText w:val="%3."/>
      <w:lvlJc w:val="right"/>
      <w:pPr>
        <w:ind w:left="3600" w:hanging="180"/>
      </w:pPr>
    </w:lvl>
    <w:lvl w:ilvl="3" w:tplc="0464000F" w:tentative="1">
      <w:start w:val="1"/>
      <w:numFmt w:val="decimal"/>
      <w:lvlText w:val="%4."/>
      <w:lvlJc w:val="left"/>
      <w:pPr>
        <w:ind w:left="4320" w:hanging="360"/>
      </w:pPr>
    </w:lvl>
    <w:lvl w:ilvl="4" w:tplc="04640019" w:tentative="1">
      <w:start w:val="1"/>
      <w:numFmt w:val="lowerLetter"/>
      <w:lvlText w:val="%5."/>
      <w:lvlJc w:val="left"/>
      <w:pPr>
        <w:ind w:left="5040" w:hanging="360"/>
      </w:pPr>
    </w:lvl>
    <w:lvl w:ilvl="5" w:tplc="0464001B" w:tentative="1">
      <w:start w:val="1"/>
      <w:numFmt w:val="lowerRoman"/>
      <w:lvlText w:val="%6."/>
      <w:lvlJc w:val="right"/>
      <w:pPr>
        <w:ind w:left="5760" w:hanging="180"/>
      </w:pPr>
    </w:lvl>
    <w:lvl w:ilvl="6" w:tplc="0464000F" w:tentative="1">
      <w:start w:val="1"/>
      <w:numFmt w:val="decimal"/>
      <w:lvlText w:val="%7."/>
      <w:lvlJc w:val="left"/>
      <w:pPr>
        <w:ind w:left="6480" w:hanging="360"/>
      </w:pPr>
    </w:lvl>
    <w:lvl w:ilvl="7" w:tplc="04640019" w:tentative="1">
      <w:start w:val="1"/>
      <w:numFmt w:val="lowerLetter"/>
      <w:lvlText w:val="%8."/>
      <w:lvlJc w:val="left"/>
      <w:pPr>
        <w:ind w:left="7200" w:hanging="360"/>
      </w:pPr>
    </w:lvl>
    <w:lvl w:ilvl="8" w:tplc="0464001B" w:tentative="1">
      <w:start w:val="1"/>
      <w:numFmt w:val="lowerRoman"/>
      <w:lvlText w:val="%9."/>
      <w:lvlJc w:val="right"/>
      <w:pPr>
        <w:ind w:left="7920" w:hanging="180"/>
      </w:pPr>
    </w:lvl>
  </w:abstractNum>
  <w:abstractNum w:abstractNumId="15" w15:restartNumberingAfterBreak="0">
    <w:nsid w:val="732A5639"/>
    <w:multiLevelType w:val="hybridMultilevel"/>
    <w:tmpl w:val="EE6EA8F2"/>
    <w:lvl w:ilvl="0" w:tplc="076AEF2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456CF"/>
    <w:multiLevelType w:val="hybridMultilevel"/>
    <w:tmpl w:val="B192D4EE"/>
    <w:lvl w:ilvl="0" w:tplc="2152BB58">
      <w:start w:val="1"/>
      <w:numFmt w:val="lowerLetter"/>
      <w:lvlText w:val="(%1)"/>
      <w:lvlJc w:val="left"/>
      <w:pPr>
        <w:ind w:left="1170" w:hanging="360"/>
      </w:pPr>
      <w:rPr>
        <w:rFonts w:hint="default"/>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7" w15:restartNumberingAfterBreak="0">
    <w:nsid w:val="7EFA103F"/>
    <w:multiLevelType w:val="hybridMultilevel"/>
    <w:tmpl w:val="0F3E1BCA"/>
    <w:lvl w:ilvl="0" w:tplc="B99C1B7E">
      <w:start w:val="1"/>
      <w:numFmt w:val="decimal"/>
      <w:lvlText w:val="%1."/>
      <w:lvlJc w:val="left"/>
      <w:pPr>
        <w:ind w:left="900" w:hanging="360"/>
      </w:pPr>
      <w:rPr>
        <w:rFonts w:hint="default"/>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num w:numId="1">
    <w:abstractNumId w:val="7"/>
  </w:num>
  <w:num w:numId="2">
    <w:abstractNumId w:val="1"/>
  </w:num>
  <w:num w:numId="3">
    <w:abstractNumId w:val="2"/>
  </w:num>
  <w:num w:numId="4">
    <w:abstractNumId w:val="16"/>
  </w:num>
  <w:num w:numId="5">
    <w:abstractNumId w:val="9"/>
  </w:num>
  <w:num w:numId="6">
    <w:abstractNumId w:val="10"/>
  </w:num>
  <w:num w:numId="7">
    <w:abstractNumId w:val="6"/>
  </w:num>
  <w:num w:numId="8">
    <w:abstractNumId w:val="15"/>
  </w:num>
  <w:num w:numId="9">
    <w:abstractNumId w:val="13"/>
  </w:num>
  <w:num w:numId="10">
    <w:abstractNumId w:val="4"/>
  </w:num>
  <w:num w:numId="11">
    <w:abstractNumId w:val="5"/>
  </w:num>
  <w:num w:numId="12">
    <w:abstractNumId w:val="3"/>
  </w:num>
  <w:num w:numId="13">
    <w:abstractNumId w:val="0"/>
  </w:num>
  <w:num w:numId="14">
    <w:abstractNumId w:val="17"/>
  </w:num>
  <w:num w:numId="15">
    <w:abstractNumId w:val="8"/>
  </w:num>
  <w:num w:numId="16">
    <w:abstractNumId w:val="11"/>
  </w:num>
  <w:num w:numId="17">
    <w:abstractNumId w:val="12"/>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o2bpue5j+RX9/sji/6SNXdEmUKuURY2VtpI/xcmHvAmzJ0soEC8HXTAUPN71zJd0LmXEQmDloB8/RIOJgKtw==" w:salt="On7M8Yn8NI9uXlJSdzw0uA=="/>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6B8347-4519-4133-939D-E0AEAC29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360" w:hanging="360"/>
    </w:pPr>
    <w:rPr>
      <w:sz w:val="24"/>
      <w:szCs w:val="24"/>
    </w:rPr>
  </w:style>
  <w:style w:type="paragraph" w:styleId="Heading1">
    <w:name w:val="heading 1"/>
    <w:basedOn w:val="Normal"/>
    <w:next w:val="Normal"/>
    <w:qFormat/>
    <w:pPr>
      <w:keepNext/>
      <w:tabs>
        <w:tab w:val="left" w:pos="432"/>
        <w:tab w:val="left" w:pos="864"/>
      </w:tabs>
      <w:overflowPunct w:val="0"/>
      <w:autoSpaceDE w:val="0"/>
      <w:autoSpaceDN w:val="0"/>
      <w:adjustRightInd w:val="0"/>
      <w:spacing w:line="480" w:lineRule="atLeast"/>
      <w:textAlignment w:val="baseline"/>
      <w:outlineLvl w:val="0"/>
    </w:pPr>
    <w:rPr>
      <w:b/>
      <w:sz w:val="22"/>
      <w:szCs w:val="20"/>
    </w:rPr>
  </w:style>
  <w:style w:type="paragraph" w:styleId="Heading2">
    <w:name w:val="heading 2"/>
    <w:basedOn w:val="Normal"/>
    <w:next w:val="Normal"/>
    <w:qFormat/>
    <w:pPr>
      <w:keepNext/>
      <w:tabs>
        <w:tab w:val="left" w:pos="396"/>
        <w:tab w:val="left" w:pos="756"/>
      </w:tabs>
      <w:overflowPunct w:val="0"/>
      <w:autoSpaceDE w:val="0"/>
      <w:autoSpaceDN w:val="0"/>
      <w:adjustRightInd w:val="0"/>
      <w:spacing w:line="240" w:lineRule="exact"/>
      <w:ind w:right="115"/>
      <w:textAlignment w:val="baseline"/>
      <w:outlineLvl w:val="1"/>
    </w:pPr>
    <w:rPr>
      <w:b/>
      <w:sz w:val="22"/>
      <w:szCs w:val="20"/>
    </w:rPr>
  </w:style>
  <w:style w:type="paragraph" w:styleId="Heading3">
    <w:name w:val="heading 3"/>
    <w:basedOn w:val="Normal"/>
    <w:next w:val="Normal"/>
    <w:qFormat/>
    <w:pPr>
      <w:keepNext/>
      <w:tabs>
        <w:tab w:val="left" w:pos="396"/>
        <w:tab w:val="left" w:pos="756"/>
      </w:tabs>
      <w:overflowPunct w:val="0"/>
      <w:autoSpaceDE w:val="0"/>
      <w:autoSpaceDN w:val="0"/>
      <w:adjustRightInd w:val="0"/>
      <w:spacing w:line="240" w:lineRule="exact"/>
      <w:ind w:right="115"/>
      <w:textAlignment w:val="baseline"/>
      <w:outlineLvl w:val="2"/>
    </w:pPr>
    <w:rPr>
      <w:sz w:val="22"/>
      <w:szCs w:val="20"/>
      <w:u w:val="single"/>
    </w:rPr>
  </w:style>
  <w:style w:type="paragraph" w:styleId="Heading4">
    <w:name w:val="heading 4"/>
    <w:basedOn w:val="Normal"/>
    <w:next w:val="Normal"/>
    <w:qFormat/>
    <w:pPr>
      <w:keepNext/>
      <w:overflowPunct w:val="0"/>
      <w:autoSpaceDE w:val="0"/>
      <w:autoSpaceDN w:val="0"/>
      <w:adjustRightInd w:val="0"/>
      <w:ind w:right="115"/>
      <w:jc w:val="right"/>
      <w:textAlignment w:val="baseline"/>
      <w:outlineLvl w:val="3"/>
    </w:pPr>
    <w:rPr>
      <w:b/>
      <w:sz w:val="22"/>
      <w:szCs w:val="20"/>
    </w:rPr>
  </w:style>
  <w:style w:type="paragraph" w:styleId="Heading5">
    <w:name w:val="heading 5"/>
    <w:basedOn w:val="Normal"/>
    <w:next w:val="Normal"/>
    <w:qFormat/>
    <w:pPr>
      <w:keepNext/>
      <w:spacing w:line="240" w:lineRule="atLeast"/>
      <w:outlineLvl w:val="4"/>
    </w:pPr>
    <w:rPr>
      <w:smallCaps/>
      <w:sz w:val="38"/>
    </w:rPr>
  </w:style>
  <w:style w:type="paragraph" w:styleId="Heading6">
    <w:name w:val="heading 6"/>
    <w:basedOn w:val="Normal"/>
    <w:next w:val="Normal"/>
    <w:qFormat/>
    <w:pPr>
      <w:keepNext/>
      <w:overflowPunct w:val="0"/>
      <w:autoSpaceDE w:val="0"/>
      <w:autoSpaceDN w:val="0"/>
      <w:adjustRightInd w:val="0"/>
      <w:textAlignment w:val="baseline"/>
      <w:outlineLvl w:val="5"/>
    </w:pPr>
    <w:rPr>
      <w:sz w:val="22"/>
      <w:szCs w:val="20"/>
      <w:u w:val="single"/>
    </w:rPr>
  </w:style>
  <w:style w:type="paragraph" w:styleId="Heading7">
    <w:name w:val="heading 7"/>
    <w:basedOn w:val="Normal"/>
    <w:next w:val="Normal"/>
    <w:qFormat/>
    <w:pPr>
      <w:keepNext/>
      <w:overflowPunct w:val="0"/>
      <w:autoSpaceDE w:val="0"/>
      <w:autoSpaceDN w:val="0"/>
      <w:adjustRightInd w:val="0"/>
      <w:textAlignment w:val="baseline"/>
      <w:outlineLvl w:val="6"/>
    </w:pPr>
    <w:rPr>
      <w:sz w:val="22"/>
      <w:szCs w:val="20"/>
      <w:u w:val="single"/>
    </w:rPr>
  </w:style>
  <w:style w:type="paragraph" w:styleId="Heading8">
    <w:name w:val="heading 8"/>
    <w:basedOn w:val="Normal"/>
    <w:next w:val="Normal"/>
    <w:qFormat/>
    <w:pPr>
      <w:keepNext/>
      <w:spacing w:line="240" w:lineRule="atLeast"/>
      <w:jc w:val="both"/>
      <w:outlineLvl w:val="7"/>
    </w:pPr>
    <w:rPr>
      <w:sz w:val="22"/>
      <w:u w:val="single"/>
    </w:rPr>
  </w:style>
  <w:style w:type="paragraph" w:styleId="Heading9">
    <w:name w:val="heading 9"/>
    <w:basedOn w:val="Normal"/>
    <w:next w:val="Normal"/>
    <w:qFormat/>
    <w:pPr>
      <w:keepNext/>
      <w:pBdr>
        <w:top w:val="single" w:sz="6" w:space="1" w:color="auto"/>
      </w:pBdr>
      <w:overflowPunct w:val="0"/>
      <w:autoSpaceDE w:val="0"/>
      <w:autoSpaceDN w:val="0"/>
      <w:adjustRightInd w:val="0"/>
      <w:textAlignment w:val="baseline"/>
      <w:outlineLvl w:val="8"/>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sz w:val="22"/>
      <w:szCs w:val="20"/>
    </w:rPr>
  </w:style>
  <w:style w:type="paragraph" w:styleId="BodyText3">
    <w:name w:val="Body Text 3"/>
    <w:basedOn w:val="Normal"/>
    <w:pPr>
      <w:overflowPunct w:val="0"/>
      <w:autoSpaceDE w:val="0"/>
      <w:autoSpaceDN w:val="0"/>
      <w:adjustRightInd w:val="0"/>
      <w:textAlignment w:val="baseline"/>
    </w:pPr>
    <w:rPr>
      <w:sz w:val="22"/>
      <w:szCs w:val="20"/>
    </w:rPr>
  </w:style>
  <w:style w:type="paragraph" w:styleId="Caption">
    <w:name w:val="caption"/>
    <w:basedOn w:val="Normal"/>
    <w:next w:val="Normal"/>
    <w:qFormat/>
    <w:pPr>
      <w:overflowPunct w:val="0"/>
      <w:autoSpaceDE w:val="0"/>
      <w:autoSpaceDN w:val="0"/>
      <w:adjustRightInd w:val="0"/>
      <w:spacing w:before="120" w:after="120"/>
      <w:textAlignment w:val="baseline"/>
    </w:pPr>
    <w:rPr>
      <w:b/>
      <w:sz w:val="22"/>
      <w:szCs w:val="20"/>
    </w:rPr>
  </w:style>
  <w:style w:type="paragraph" w:styleId="List">
    <w:name w:val="List"/>
    <w:basedOn w:val="Normal"/>
    <w:pPr>
      <w:overflowPunct w:val="0"/>
      <w:autoSpaceDE w:val="0"/>
      <w:autoSpaceDN w:val="0"/>
      <w:adjustRightInd w:val="0"/>
      <w:textAlignment w:val="baseline"/>
    </w:pPr>
    <w:rPr>
      <w:sz w:val="22"/>
      <w:szCs w:val="20"/>
    </w:rPr>
  </w:style>
  <w:style w:type="paragraph" w:styleId="BodyText2">
    <w:name w:val="Body Text 2"/>
    <w:basedOn w:val="Normal"/>
    <w:link w:val="BodyText2Char"/>
    <w:pPr>
      <w:tabs>
        <w:tab w:val="left" w:pos="432"/>
        <w:tab w:val="left" w:pos="864"/>
      </w:tabs>
      <w:overflowPunct w:val="0"/>
      <w:autoSpaceDE w:val="0"/>
      <w:autoSpaceDN w:val="0"/>
      <w:adjustRightInd w:val="0"/>
      <w:ind w:left="432" w:hanging="432"/>
      <w:jc w:val="both"/>
      <w:textAlignment w:val="baseline"/>
    </w:pPr>
    <w:rPr>
      <w:sz w:val="22"/>
      <w:szCs w:val="20"/>
    </w:rPr>
  </w:style>
  <w:style w:type="paragraph" w:styleId="BodyTextIndent">
    <w:name w:val="Body Text Indent"/>
    <w:basedOn w:val="Normal"/>
    <w:pPr>
      <w:numPr>
        <w:ilvl w:val="12"/>
      </w:numPr>
      <w:overflowPunct w:val="0"/>
      <w:autoSpaceDE w:val="0"/>
      <w:autoSpaceDN w:val="0"/>
      <w:adjustRightInd w:val="0"/>
      <w:spacing w:line="240" w:lineRule="atLeast"/>
      <w:ind w:left="360" w:hanging="360"/>
      <w:textAlignment w:val="baseline"/>
    </w:pPr>
    <w:rPr>
      <w:sz w:val="22"/>
      <w:szCs w:val="20"/>
    </w:rPr>
  </w:style>
  <w:style w:type="paragraph" w:styleId="ListContinue">
    <w:name w:val="List Continue"/>
    <w:basedOn w:val="Normal"/>
    <w:pPr>
      <w:overflowPunct w:val="0"/>
      <w:autoSpaceDE w:val="0"/>
      <w:autoSpaceDN w:val="0"/>
      <w:adjustRightInd w:val="0"/>
      <w:spacing w:after="120"/>
      <w:textAlignment w:val="baseline"/>
    </w:pPr>
    <w:rPr>
      <w:sz w:val="22"/>
      <w:szCs w:val="20"/>
    </w:rPr>
  </w:style>
  <w:style w:type="paragraph" w:styleId="BodyTextIndent3">
    <w:name w:val="Body Text Indent 3"/>
    <w:basedOn w:val="Normal"/>
    <w:link w:val="BodyTextIndent3Char"/>
    <w:pPr>
      <w:tabs>
        <w:tab w:val="left" w:pos="360"/>
        <w:tab w:val="left" w:pos="864"/>
      </w:tabs>
      <w:overflowPunct w:val="0"/>
      <w:autoSpaceDE w:val="0"/>
      <w:autoSpaceDN w:val="0"/>
      <w:adjustRightInd w:val="0"/>
      <w:textAlignment w:val="baseline"/>
    </w:pPr>
    <w:rPr>
      <w:sz w:val="22"/>
      <w:szCs w:val="20"/>
    </w:rPr>
  </w:style>
  <w:style w:type="paragraph" w:styleId="BodyTextIndent2">
    <w:name w:val="Body Text Indent 2"/>
    <w:basedOn w:val="Normal"/>
    <w:pPr>
      <w:tabs>
        <w:tab w:val="left" w:pos="432"/>
        <w:tab w:val="left" w:pos="864"/>
      </w:tabs>
      <w:overflowPunct w:val="0"/>
      <w:autoSpaceDE w:val="0"/>
      <w:autoSpaceDN w:val="0"/>
      <w:adjustRightInd w:val="0"/>
      <w:spacing w:line="240" w:lineRule="exact"/>
      <w:ind w:left="432"/>
      <w:jc w:val="both"/>
      <w:textAlignment w:val="baseline"/>
    </w:pPr>
    <w:rPr>
      <w:sz w:val="22"/>
      <w:szCs w:val="20"/>
    </w:rPr>
  </w:style>
  <w:style w:type="paragraph" w:styleId="BlockText">
    <w:name w:val="Block Text"/>
    <w:basedOn w:val="Normal"/>
    <w:pPr>
      <w:tabs>
        <w:tab w:val="left" w:pos="360"/>
        <w:tab w:val="left" w:pos="720"/>
      </w:tabs>
      <w:overflowPunct w:val="0"/>
      <w:autoSpaceDE w:val="0"/>
      <w:autoSpaceDN w:val="0"/>
      <w:adjustRightInd w:val="0"/>
      <w:ind w:right="-108"/>
      <w:textAlignment w:val="baseline"/>
    </w:pPr>
    <w:rPr>
      <w:sz w:val="22"/>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 w:val="22"/>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0"/>
      </w:tabs>
      <w:jc w:val="both"/>
    </w:pPr>
    <w:rPr>
      <w:rFonts w:ascii="Arial" w:hAnsi="Arial" w:cs="Arial"/>
    </w:rPr>
  </w:style>
  <w:style w:type="paragraph" w:customStyle="1" w:styleId="ps-020-bullet">
    <w:name w:val="ps-020-bullet"/>
    <w:basedOn w:val="Normal"/>
    <w:pPr>
      <w:spacing w:before="100" w:after="100"/>
      <w:ind w:left="480" w:hanging="440"/>
    </w:pPr>
    <w:rPr>
      <w:rFonts w:ascii="Verdana" w:hAnsi="Verdana"/>
      <w:color w:val="000000"/>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ind w:left="360" w:hanging="360"/>
    </w:pPr>
    <w:rPr>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character" w:customStyle="1" w:styleId="FooterChar">
    <w:name w:val="Footer Char"/>
    <w:link w:val="Footer"/>
    <w:uiPriority w:val="99"/>
    <w:rPr>
      <w:sz w:val="22"/>
    </w:rPr>
  </w:style>
  <w:style w:type="paragraph" w:styleId="NoSpacing">
    <w:name w:val="No Spacing"/>
    <w:uiPriority w:val="1"/>
    <w:qFormat/>
    <w:pPr>
      <w:ind w:left="360" w:hanging="360"/>
    </w:pPr>
    <w:rPr>
      <w:sz w:val="24"/>
      <w:szCs w:val="24"/>
    </w:rPr>
  </w:style>
  <w:style w:type="character" w:customStyle="1" w:styleId="BodyText2Char">
    <w:name w:val="Body Text 2 Char"/>
    <w:basedOn w:val="DefaultParagraphFont"/>
    <w:link w:val="BodyText2"/>
    <w:rPr>
      <w:sz w:val="22"/>
    </w:rPr>
  </w:style>
  <w:style w:type="character" w:customStyle="1" w:styleId="BodyTextIndent3Char">
    <w:name w:val="Body Text Indent 3 Char"/>
    <w:basedOn w:val="DefaultParagraphFont"/>
    <w:link w:val="BodyTextIndent3"/>
    <w:rPr>
      <w:sz w:val="22"/>
    </w:rPr>
  </w:style>
  <w:style w:type="paragraph" w:styleId="Title">
    <w:name w:val="Title"/>
    <w:basedOn w:val="Normal"/>
    <w:link w:val="TitleChar"/>
    <w:pPr>
      <w:suppressAutoHyphens/>
      <w:autoSpaceDN w:val="0"/>
      <w:ind w:left="0" w:firstLine="0"/>
      <w:jc w:val="center"/>
      <w:textAlignment w:val="baseline"/>
    </w:pPr>
    <w:rPr>
      <w:rFonts w:ascii="Arial" w:hAnsi="Arial" w:cs="Arial"/>
      <w:sz w:val="28"/>
    </w:rPr>
  </w:style>
  <w:style w:type="character" w:customStyle="1" w:styleId="TitleChar">
    <w:name w:val="Title Char"/>
    <w:basedOn w:val="DefaultParagraphFont"/>
    <w:link w:val="Title"/>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720">
      <w:bodyDiv w:val="1"/>
      <w:marLeft w:val="0"/>
      <w:marRight w:val="0"/>
      <w:marTop w:val="0"/>
      <w:marBottom w:val="0"/>
      <w:divBdr>
        <w:top w:val="none" w:sz="0" w:space="0" w:color="auto"/>
        <w:left w:val="none" w:sz="0" w:space="0" w:color="auto"/>
        <w:bottom w:val="none" w:sz="0" w:space="0" w:color="auto"/>
        <w:right w:val="none" w:sz="0" w:space="0" w:color="auto"/>
      </w:divBdr>
    </w:div>
    <w:div w:id="70583281">
      <w:bodyDiv w:val="1"/>
      <w:marLeft w:val="0"/>
      <w:marRight w:val="0"/>
      <w:marTop w:val="0"/>
      <w:marBottom w:val="0"/>
      <w:divBdr>
        <w:top w:val="none" w:sz="0" w:space="0" w:color="auto"/>
        <w:left w:val="none" w:sz="0" w:space="0" w:color="auto"/>
        <w:bottom w:val="none" w:sz="0" w:space="0" w:color="auto"/>
        <w:right w:val="none" w:sz="0" w:space="0" w:color="auto"/>
      </w:divBdr>
    </w:div>
    <w:div w:id="79181062">
      <w:bodyDiv w:val="1"/>
      <w:marLeft w:val="0"/>
      <w:marRight w:val="0"/>
      <w:marTop w:val="0"/>
      <w:marBottom w:val="0"/>
      <w:divBdr>
        <w:top w:val="none" w:sz="0" w:space="0" w:color="auto"/>
        <w:left w:val="none" w:sz="0" w:space="0" w:color="auto"/>
        <w:bottom w:val="none" w:sz="0" w:space="0" w:color="auto"/>
        <w:right w:val="none" w:sz="0" w:space="0" w:color="auto"/>
      </w:divBdr>
    </w:div>
    <w:div w:id="121509704">
      <w:bodyDiv w:val="1"/>
      <w:marLeft w:val="0"/>
      <w:marRight w:val="0"/>
      <w:marTop w:val="0"/>
      <w:marBottom w:val="0"/>
      <w:divBdr>
        <w:top w:val="none" w:sz="0" w:space="0" w:color="auto"/>
        <w:left w:val="none" w:sz="0" w:space="0" w:color="auto"/>
        <w:bottom w:val="none" w:sz="0" w:space="0" w:color="auto"/>
        <w:right w:val="none" w:sz="0" w:space="0" w:color="auto"/>
      </w:divBdr>
    </w:div>
    <w:div w:id="170996654">
      <w:bodyDiv w:val="1"/>
      <w:marLeft w:val="0"/>
      <w:marRight w:val="0"/>
      <w:marTop w:val="0"/>
      <w:marBottom w:val="0"/>
      <w:divBdr>
        <w:top w:val="none" w:sz="0" w:space="0" w:color="auto"/>
        <w:left w:val="none" w:sz="0" w:space="0" w:color="auto"/>
        <w:bottom w:val="none" w:sz="0" w:space="0" w:color="auto"/>
        <w:right w:val="none" w:sz="0" w:space="0" w:color="auto"/>
      </w:divBdr>
    </w:div>
    <w:div w:id="179050637">
      <w:bodyDiv w:val="1"/>
      <w:marLeft w:val="0"/>
      <w:marRight w:val="0"/>
      <w:marTop w:val="0"/>
      <w:marBottom w:val="0"/>
      <w:divBdr>
        <w:top w:val="none" w:sz="0" w:space="0" w:color="auto"/>
        <w:left w:val="none" w:sz="0" w:space="0" w:color="auto"/>
        <w:bottom w:val="none" w:sz="0" w:space="0" w:color="auto"/>
        <w:right w:val="none" w:sz="0" w:space="0" w:color="auto"/>
      </w:divBdr>
    </w:div>
    <w:div w:id="202404975">
      <w:bodyDiv w:val="1"/>
      <w:marLeft w:val="0"/>
      <w:marRight w:val="0"/>
      <w:marTop w:val="0"/>
      <w:marBottom w:val="0"/>
      <w:divBdr>
        <w:top w:val="none" w:sz="0" w:space="0" w:color="auto"/>
        <w:left w:val="none" w:sz="0" w:space="0" w:color="auto"/>
        <w:bottom w:val="none" w:sz="0" w:space="0" w:color="auto"/>
        <w:right w:val="none" w:sz="0" w:space="0" w:color="auto"/>
      </w:divBdr>
    </w:div>
    <w:div w:id="213003131">
      <w:bodyDiv w:val="1"/>
      <w:marLeft w:val="0"/>
      <w:marRight w:val="0"/>
      <w:marTop w:val="0"/>
      <w:marBottom w:val="0"/>
      <w:divBdr>
        <w:top w:val="none" w:sz="0" w:space="0" w:color="auto"/>
        <w:left w:val="none" w:sz="0" w:space="0" w:color="auto"/>
        <w:bottom w:val="none" w:sz="0" w:space="0" w:color="auto"/>
        <w:right w:val="none" w:sz="0" w:space="0" w:color="auto"/>
      </w:divBdr>
    </w:div>
    <w:div w:id="262036837">
      <w:bodyDiv w:val="1"/>
      <w:marLeft w:val="0"/>
      <w:marRight w:val="0"/>
      <w:marTop w:val="0"/>
      <w:marBottom w:val="0"/>
      <w:divBdr>
        <w:top w:val="none" w:sz="0" w:space="0" w:color="auto"/>
        <w:left w:val="none" w:sz="0" w:space="0" w:color="auto"/>
        <w:bottom w:val="none" w:sz="0" w:space="0" w:color="auto"/>
        <w:right w:val="none" w:sz="0" w:space="0" w:color="auto"/>
      </w:divBdr>
    </w:div>
    <w:div w:id="271515965">
      <w:bodyDiv w:val="1"/>
      <w:marLeft w:val="0"/>
      <w:marRight w:val="0"/>
      <w:marTop w:val="0"/>
      <w:marBottom w:val="0"/>
      <w:divBdr>
        <w:top w:val="none" w:sz="0" w:space="0" w:color="auto"/>
        <w:left w:val="none" w:sz="0" w:space="0" w:color="auto"/>
        <w:bottom w:val="none" w:sz="0" w:space="0" w:color="auto"/>
        <w:right w:val="none" w:sz="0" w:space="0" w:color="auto"/>
      </w:divBdr>
    </w:div>
    <w:div w:id="311832214">
      <w:bodyDiv w:val="1"/>
      <w:marLeft w:val="0"/>
      <w:marRight w:val="0"/>
      <w:marTop w:val="0"/>
      <w:marBottom w:val="0"/>
      <w:divBdr>
        <w:top w:val="none" w:sz="0" w:space="0" w:color="auto"/>
        <w:left w:val="none" w:sz="0" w:space="0" w:color="auto"/>
        <w:bottom w:val="none" w:sz="0" w:space="0" w:color="auto"/>
        <w:right w:val="none" w:sz="0" w:space="0" w:color="auto"/>
      </w:divBdr>
    </w:div>
    <w:div w:id="474219324">
      <w:bodyDiv w:val="1"/>
      <w:marLeft w:val="0"/>
      <w:marRight w:val="0"/>
      <w:marTop w:val="0"/>
      <w:marBottom w:val="0"/>
      <w:divBdr>
        <w:top w:val="none" w:sz="0" w:space="0" w:color="auto"/>
        <w:left w:val="none" w:sz="0" w:space="0" w:color="auto"/>
        <w:bottom w:val="none" w:sz="0" w:space="0" w:color="auto"/>
        <w:right w:val="none" w:sz="0" w:space="0" w:color="auto"/>
      </w:divBdr>
    </w:div>
    <w:div w:id="482964388">
      <w:bodyDiv w:val="1"/>
      <w:marLeft w:val="0"/>
      <w:marRight w:val="0"/>
      <w:marTop w:val="0"/>
      <w:marBottom w:val="0"/>
      <w:divBdr>
        <w:top w:val="none" w:sz="0" w:space="0" w:color="auto"/>
        <w:left w:val="none" w:sz="0" w:space="0" w:color="auto"/>
        <w:bottom w:val="none" w:sz="0" w:space="0" w:color="auto"/>
        <w:right w:val="none" w:sz="0" w:space="0" w:color="auto"/>
      </w:divBdr>
    </w:div>
    <w:div w:id="538905704">
      <w:bodyDiv w:val="1"/>
      <w:marLeft w:val="0"/>
      <w:marRight w:val="0"/>
      <w:marTop w:val="0"/>
      <w:marBottom w:val="0"/>
      <w:divBdr>
        <w:top w:val="none" w:sz="0" w:space="0" w:color="auto"/>
        <w:left w:val="none" w:sz="0" w:space="0" w:color="auto"/>
        <w:bottom w:val="none" w:sz="0" w:space="0" w:color="auto"/>
        <w:right w:val="none" w:sz="0" w:space="0" w:color="auto"/>
      </w:divBdr>
    </w:div>
    <w:div w:id="587465357">
      <w:bodyDiv w:val="1"/>
      <w:marLeft w:val="0"/>
      <w:marRight w:val="0"/>
      <w:marTop w:val="0"/>
      <w:marBottom w:val="0"/>
      <w:divBdr>
        <w:top w:val="none" w:sz="0" w:space="0" w:color="auto"/>
        <w:left w:val="none" w:sz="0" w:space="0" w:color="auto"/>
        <w:bottom w:val="none" w:sz="0" w:space="0" w:color="auto"/>
        <w:right w:val="none" w:sz="0" w:space="0" w:color="auto"/>
      </w:divBdr>
    </w:div>
    <w:div w:id="604844000">
      <w:bodyDiv w:val="1"/>
      <w:marLeft w:val="0"/>
      <w:marRight w:val="0"/>
      <w:marTop w:val="0"/>
      <w:marBottom w:val="0"/>
      <w:divBdr>
        <w:top w:val="none" w:sz="0" w:space="0" w:color="auto"/>
        <w:left w:val="none" w:sz="0" w:space="0" w:color="auto"/>
        <w:bottom w:val="none" w:sz="0" w:space="0" w:color="auto"/>
        <w:right w:val="none" w:sz="0" w:space="0" w:color="auto"/>
      </w:divBdr>
    </w:div>
    <w:div w:id="623535214">
      <w:bodyDiv w:val="1"/>
      <w:marLeft w:val="0"/>
      <w:marRight w:val="0"/>
      <w:marTop w:val="0"/>
      <w:marBottom w:val="0"/>
      <w:divBdr>
        <w:top w:val="none" w:sz="0" w:space="0" w:color="auto"/>
        <w:left w:val="none" w:sz="0" w:space="0" w:color="auto"/>
        <w:bottom w:val="none" w:sz="0" w:space="0" w:color="auto"/>
        <w:right w:val="none" w:sz="0" w:space="0" w:color="auto"/>
      </w:divBdr>
    </w:div>
    <w:div w:id="663048583">
      <w:bodyDiv w:val="1"/>
      <w:marLeft w:val="0"/>
      <w:marRight w:val="0"/>
      <w:marTop w:val="0"/>
      <w:marBottom w:val="0"/>
      <w:divBdr>
        <w:top w:val="none" w:sz="0" w:space="0" w:color="auto"/>
        <w:left w:val="none" w:sz="0" w:space="0" w:color="auto"/>
        <w:bottom w:val="none" w:sz="0" w:space="0" w:color="auto"/>
        <w:right w:val="none" w:sz="0" w:space="0" w:color="auto"/>
      </w:divBdr>
    </w:div>
    <w:div w:id="674845730">
      <w:bodyDiv w:val="1"/>
      <w:marLeft w:val="0"/>
      <w:marRight w:val="0"/>
      <w:marTop w:val="0"/>
      <w:marBottom w:val="0"/>
      <w:divBdr>
        <w:top w:val="none" w:sz="0" w:space="0" w:color="auto"/>
        <w:left w:val="none" w:sz="0" w:space="0" w:color="auto"/>
        <w:bottom w:val="none" w:sz="0" w:space="0" w:color="auto"/>
        <w:right w:val="none" w:sz="0" w:space="0" w:color="auto"/>
      </w:divBdr>
    </w:div>
    <w:div w:id="688064319">
      <w:bodyDiv w:val="1"/>
      <w:marLeft w:val="0"/>
      <w:marRight w:val="0"/>
      <w:marTop w:val="0"/>
      <w:marBottom w:val="0"/>
      <w:divBdr>
        <w:top w:val="none" w:sz="0" w:space="0" w:color="auto"/>
        <w:left w:val="none" w:sz="0" w:space="0" w:color="auto"/>
        <w:bottom w:val="none" w:sz="0" w:space="0" w:color="auto"/>
        <w:right w:val="none" w:sz="0" w:space="0" w:color="auto"/>
      </w:divBdr>
    </w:div>
    <w:div w:id="776366581">
      <w:bodyDiv w:val="1"/>
      <w:marLeft w:val="0"/>
      <w:marRight w:val="0"/>
      <w:marTop w:val="0"/>
      <w:marBottom w:val="0"/>
      <w:divBdr>
        <w:top w:val="none" w:sz="0" w:space="0" w:color="auto"/>
        <w:left w:val="none" w:sz="0" w:space="0" w:color="auto"/>
        <w:bottom w:val="none" w:sz="0" w:space="0" w:color="auto"/>
        <w:right w:val="none" w:sz="0" w:space="0" w:color="auto"/>
      </w:divBdr>
    </w:div>
    <w:div w:id="835149700">
      <w:bodyDiv w:val="1"/>
      <w:marLeft w:val="0"/>
      <w:marRight w:val="0"/>
      <w:marTop w:val="0"/>
      <w:marBottom w:val="0"/>
      <w:divBdr>
        <w:top w:val="none" w:sz="0" w:space="0" w:color="auto"/>
        <w:left w:val="none" w:sz="0" w:space="0" w:color="auto"/>
        <w:bottom w:val="none" w:sz="0" w:space="0" w:color="auto"/>
        <w:right w:val="none" w:sz="0" w:space="0" w:color="auto"/>
      </w:divBdr>
    </w:div>
    <w:div w:id="847211655">
      <w:bodyDiv w:val="1"/>
      <w:marLeft w:val="0"/>
      <w:marRight w:val="0"/>
      <w:marTop w:val="0"/>
      <w:marBottom w:val="0"/>
      <w:divBdr>
        <w:top w:val="none" w:sz="0" w:space="0" w:color="auto"/>
        <w:left w:val="none" w:sz="0" w:space="0" w:color="auto"/>
        <w:bottom w:val="none" w:sz="0" w:space="0" w:color="auto"/>
        <w:right w:val="none" w:sz="0" w:space="0" w:color="auto"/>
      </w:divBdr>
    </w:div>
    <w:div w:id="910503342">
      <w:bodyDiv w:val="1"/>
      <w:marLeft w:val="0"/>
      <w:marRight w:val="0"/>
      <w:marTop w:val="0"/>
      <w:marBottom w:val="0"/>
      <w:divBdr>
        <w:top w:val="none" w:sz="0" w:space="0" w:color="auto"/>
        <w:left w:val="none" w:sz="0" w:space="0" w:color="auto"/>
        <w:bottom w:val="none" w:sz="0" w:space="0" w:color="auto"/>
        <w:right w:val="none" w:sz="0" w:space="0" w:color="auto"/>
      </w:divBdr>
    </w:div>
    <w:div w:id="935947187">
      <w:bodyDiv w:val="1"/>
      <w:marLeft w:val="0"/>
      <w:marRight w:val="0"/>
      <w:marTop w:val="0"/>
      <w:marBottom w:val="0"/>
      <w:divBdr>
        <w:top w:val="none" w:sz="0" w:space="0" w:color="auto"/>
        <w:left w:val="none" w:sz="0" w:space="0" w:color="auto"/>
        <w:bottom w:val="none" w:sz="0" w:space="0" w:color="auto"/>
        <w:right w:val="none" w:sz="0" w:space="0" w:color="auto"/>
      </w:divBdr>
    </w:div>
    <w:div w:id="993724064">
      <w:bodyDiv w:val="1"/>
      <w:marLeft w:val="0"/>
      <w:marRight w:val="0"/>
      <w:marTop w:val="0"/>
      <w:marBottom w:val="0"/>
      <w:divBdr>
        <w:top w:val="none" w:sz="0" w:space="0" w:color="auto"/>
        <w:left w:val="none" w:sz="0" w:space="0" w:color="auto"/>
        <w:bottom w:val="none" w:sz="0" w:space="0" w:color="auto"/>
        <w:right w:val="none" w:sz="0" w:space="0" w:color="auto"/>
      </w:divBdr>
    </w:div>
    <w:div w:id="1038966633">
      <w:bodyDiv w:val="1"/>
      <w:marLeft w:val="0"/>
      <w:marRight w:val="0"/>
      <w:marTop w:val="0"/>
      <w:marBottom w:val="0"/>
      <w:divBdr>
        <w:top w:val="none" w:sz="0" w:space="0" w:color="auto"/>
        <w:left w:val="none" w:sz="0" w:space="0" w:color="auto"/>
        <w:bottom w:val="none" w:sz="0" w:space="0" w:color="auto"/>
        <w:right w:val="none" w:sz="0" w:space="0" w:color="auto"/>
      </w:divBdr>
    </w:div>
    <w:div w:id="1060398697">
      <w:bodyDiv w:val="1"/>
      <w:marLeft w:val="0"/>
      <w:marRight w:val="0"/>
      <w:marTop w:val="0"/>
      <w:marBottom w:val="0"/>
      <w:divBdr>
        <w:top w:val="none" w:sz="0" w:space="0" w:color="auto"/>
        <w:left w:val="none" w:sz="0" w:space="0" w:color="auto"/>
        <w:bottom w:val="none" w:sz="0" w:space="0" w:color="auto"/>
        <w:right w:val="none" w:sz="0" w:space="0" w:color="auto"/>
      </w:divBdr>
    </w:div>
    <w:div w:id="1090463909">
      <w:bodyDiv w:val="1"/>
      <w:marLeft w:val="0"/>
      <w:marRight w:val="0"/>
      <w:marTop w:val="0"/>
      <w:marBottom w:val="0"/>
      <w:divBdr>
        <w:top w:val="none" w:sz="0" w:space="0" w:color="auto"/>
        <w:left w:val="none" w:sz="0" w:space="0" w:color="auto"/>
        <w:bottom w:val="none" w:sz="0" w:space="0" w:color="auto"/>
        <w:right w:val="none" w:sz="0" w:space="0" w:color="auto"/>
      </w:divBdr>
    </w:div>
    <w:div w:id="1103526446">
      <w:bodyDiv w:val="1"/>
      <w:marLeft w:val="0"/>
      <w:marRight w:val="0"/>
      <w:marTop w:val="0"/>
      <w:marBottom w:val="0"/>
      <w:divBdr>
        <w:top w:val="none" w:sz="0" w:space="0" w:color="auto"/>
        <w:left w:val="none" w:sz="0" w:space="0" w:color="auto"/>
        <w:bottom w:val="none" w:sz="0" w:space="0" w:color="auto"/>
        <w:right w:val="none" w:sz="0" w:space="0" w:color="auto"/>
      </w:divBdr>
    </w:div>
    <w:div w:id="1160736842">
      <w:bodyDiv w:val="1"/>
      <w:marLeft w:val="0"/>
      <w:marRight w:val="0"/>
      <w:marTop w:val="0"/>
      <w:marBottom w:val="0"/>
      <w:divBdr>
        <w:top w:val="none" w:sz="0" w:space="0" w:color="auto"/>
        <w:left w:val="none" w:sz="0" w:space="0" w:color="auto"/>
        <w:bottom w:val="none" w:sz="0" w:space="0" w:color="auto"/>
        <w:right w:val="none" w:sz="0" w:space="0" w:color="auto"/>
      </w:divBdr>
    </w:div>
    <w:div w:id="1165583894">
      <w:bodyDiv w:val="1"/>
      <w:marLeft w:val="0"/>
      <w:marRight w:val="0"/>
      <w:marTop w:val="0"/>
      <w:marBottom w:val="0"/>
      <w:divBdr>
        <w:top w:val="none" w:sz="0" w:space="0" w:color="auto"/>
        <w:left w:val="none" w:sz="0" w:space="0" w:color="auto"/>
        <w:bottom w:val="none" w:sz="0" w:space="0" w:color="auto"/>
        <w:right w:val="none" w:sz="0" w:space="0" w:color="auto"/>
      </w:divBdr>
    </w:div>
    <w:div w:id="1181354935">
      <w:bodyDiv w:val="1"/>
      <w:marLeft w:val="0"/>
      <w:marRight w:val="0"/>
      <w:marTop w:val="0"/>
      <w:marBottom w:val="0"/>
      <w:divBdr>
        <w:top w:val="none" w:sz="0" w:space="0" w:color="auto"/>
        <w:left w:val="none" w:sz="0" w:space="0" w:color="auto"/>
        <w:bottom w:val="none" w:sz="0" w:space="0" w:color="auto"/>
        <w:right w:val="none" w:sz="0" w:space="0" w:color="auto"/>
      </w:divBdr>
    </w:div>
    <w:div w:id="1231650444">
      <w:bodyDiv w:val="1"/>
      <w:marLeft w:val="0"/>
      <w:marRight w:val="0"/>
      <w:marTop w:val="0"/>
      <w:marBottom w:val="0"/>
      <w:divBdr>
        <w:top w:val="none" w:sz="0" w:space="0" w:color="auto"/>
        <w:left w:val="none" w:sz="0" w:space="0" w:color="auto"/>
        <w:bottom w:val="none" w:sz="0" w:space="0" w:color="auto"/>
        <w:right w:val="none" w:sz="0" w:space="0" w:color="auto"/>
      </w:divBdr>
    </w:div>
    <w:div w:id="1241326380">
      <w:bodyDiv w:val="1"/>
      <w:marLeft w:val="0"/>
      <w:marRight w:val="0"/>
      <w:marTop w:val="0"/>
      <w:marBottom w:val="0"/>
      <w:divBdr>
        <w:top w:val="none" w:sz="0" w:space="0" w:color="auto"/>
        <w:left w:val="none" w:sz="0" w:space="0" w:color="auto"/>
        <w:bottom w:val="none" w:sz="0" w:space="0" w:color="auto"/>
        <w:right w:val="none" w:sz="0" w:space="0" w:color="auto"/>
      </w:divBdr>
    </w:div>
    <w:div w:id="1242985399">
      <w:bodyDiv w:val="1"/>
      <w:marLeft w:val="0"/>
      <w:marRight w:val="0"/>
      <w:marTop w:val="0"/>
      <w:marBottom w:val="0"/>
      <w:divBdr>
        <w:top w:val="none" w:sz="0" w:space="0" w:color="auto"/>
        <w:left w:val="none" w:sz="0" w:space="0" w:color="auto"/>
        <w:bottom w:val="none" w:sz="0" w:space="0" w:color="auto"/>
        <w:right w:val="none" w:sz="0" w:space="0" w:color="auto"/>
      </w:divBdr>
    </w:div>
    <w:div w:id="1273590603">
      <w:bodyDiv w:val="1"/>
      <w:marLeft w:val="0"/>
      <w:marRight w:val="0"/>
      <w:marTop w:val="0"/>
      <w:marBottom w:val="0"/>
      <w:divBdr>
        <w:top w:val="none" w:sz="0" w:space="0" w:color="auto"/>
        <w:left w:val="none" w:sz="0" w:space="0" w:color="auto"/>
        <w:bottom w:val="none" w:sz="0" w:space="0" w:color="auto"/>
        <w:right w:val="none" w:sz="0" w:space="0" w:color="auto"/>
      </w:divBdr>
    </w:div>
    <w:div w:id="1279414238">
      <w:bodyDiv w:val="1"/>
      <w:marLeft w:val="0"/>
      <w:marRight w:val="0"/>
      <w:marTop w:val="0"/>
      <w:marBottom w:val="0"/>
      <w:divBdr>
        <w:top w:val="none" w:sz="0" w:space="0" w:color="auto"/>
        <w:left w:val="none" w:sz="0" w:space="0" w:color="auto"/>
        <w:bottom w:val="none" w:sz="0" w:space="0" w:color="auto"/>
        <w:right w:val="none" w:sz="0" w:space="0" w:color="auto"/>
      </w:divBdr>
    </w:div>
    <w:div w:id="1282610922">
      <w:bodyDiv w:val="1"/>
      <w:marLeft w:val="0"/>
      <w:marRight w:val="0"/>
      <w:marTop w:val="0"/>
      <w:marBottom w:val="0"/>
      <w:divBdr>
        <w:top w:val="none" w:sz="0" w:space="0" w:color="auto"/>
        <w:left w:val="none" w:sz="0" w:space="0" w:color="auto"/>
        <w:bottom w:val="none" w:sz="0" w:space="0" w:color="auto"/>
        <w:right w:val="none" w:sz="0" w:space="0" w:color="auto"/>
      </w:divBdr>
    </w:div>
    <w:div w:id="1503425679">
      <w:bodyDiv w:val="1"/>
      <w:marLeft w:val="0"/>
      <w:marRight w:val="0"/>
      <w:marTop w:val="0"/>
      <w:marBottom w:val="0"/>
      <w:divBdr>
        <w:top w:val="none" w:sz="0" w:space="0" w:color="auto"/>
        <w:left w:val="none" w:sz="0" w:space="0" w:color="auto"/>
        <w:bottom w:val="none" w:sz="0" w:space="0" w:color="auto"/>
        <w:right w:val="none" w:sz="0" w:space="0" w:color="auto"/>
      </w:divBdr>
    </w:div>
    <w:div w:id="1642999881">
      <w:bodyDiv w:val="1"/>
      <w:marLeft w:val="0"/>
      <w:marRight w:val="0"/>
      <w:marTop w:val="0"/>
      <w:marBottom w:val="0"/>
      <w:divBdr>
        <w:top w:val="none" w:sz="0" w:space="0" w:color="auto"/>
        <w:left w:val="none" w:sz="0" w:space="0" w:color="auto"/>
        <w:bottom w:val="none" w:sz="0" w:space="0" w:color="auto"/>
        <w:right w:val="none" w:sz="0" w:space="0" w:color="auto"/>
      </w:divBdr>
    </w:div>
    <w:div w:id="1662543509">
      <w:bodyDiv w:val="1"/>
      <w:marLeft w:val="0"/>
      <w:marRight w:val="0"/>
      <w:marTop w:val="0"/>
      <w:marBottom w:val="0"/>
      <w:divBdr>
        <w:top w:val="none" w:sz="0" w:space="0" w:color="auto"/>
        <w:left w:val="none" w:sz="0" w:space="0" w:color="auto"/>
        <w:bottom w:val="none" w:sz="0" w:space="0" w:color="auto"/>
        <w:right w:val="none" w:sz="0" w:space="0" w:color="auto"/>
      </w:divBdr>
    </w:div>
    <w:div w:id="1682971267">
      <w:bodyDiv w:val="1"/>
      <w:marLeft w:val="0"/>
      <w:marRight w:val="0"/>
      <w:marTop w:val="0"/>
      <w:marBottom w:val="0"/>
      <w:divBdr>
        <w:top w:val="none" w:sz="0" w:space="0" w:color="auto"/>
        <w:left w:val="none" w:sz="0" w:space="0" w:color="auto"/>
        <w:bottom w:val="none" w:sz="0" w:space="0" w:color="auto"/>
        <w:right w:val="none" w:sz="0" w:space="0" w:color="auto"/>
      </w:divBdr>
    </w:div>
    <w:div w:id="1709915179">
      <w:bodyDiv w:val="1"/>
      <w:marLeft w:val="0"/>
      <w:marRight w:val="0"/>
      <w:marTop w:val="0"/>
      <w:marBottom w:val="0"/>
      <w:divBdr>
        <w:top w:val="none" w:sz="0" w:space="0" w:color="auto"/>
        <w:left w:val="none" w:sz="0" w:space="0" w:color="auto"/>
        <w:bottom w:val="none" w:sz="0" w:space="0" w:color="auto"/>
        <w:right w:val="none" w:sz="0" w:space="0" w:color="auto"/>
      </w:divBdr>
    </w:div>
    <w:div w:id="1752896634">
      <w:bodyDiv w:val="1"/>
      <w:marLeft w:val="0"/>
      <w:marRight w:val="0"/>
      <w:marTop w:val="0"/>
      <w:marBottom w:val="0"/>
      <w:divBdr>
        <w:top w:val="none" w:sz="0" w:space="0" w:color="auto"/>
        <w:left w:val="none" w:sz="0" w:space="0" w:color="auto"/>
        <w:bottom w:val="none" w:sz="0" w:space="0" w:color="auto"/>
        <w:right w:val="none" w:sz="0" w:space="0" w:color="auto"/>
      </w:divBdr>
    </w:div>
    <w:div w:id="1854876698">
      <w:bodyDiv w:val="1"/>
      <w:marLeft w:val="0"/>
      <w:marRight w:val="0"/>
      <w:marTop w:val="0"/>
      <w:marBottom w:val="0"/>
      <w:divBdr>
        <w:top w:val="none" w:sz="0" w:space="0" w:color="auto"/>
        <w:left w:val="none" w:sz="0" w:space="0" w:color="auto"/>
        <w:bottom w:val="none" w:sz="0" w:space="0" w:color="auto"/>
        <w:right w:val="none" w:sz="0" w:space="0" w:color="auto"/>
      </w:divBdr>
    </w:div>
    <w:div w:id="1890261210">
      <w:bodyDiv w:val="1"/>
      <w:marLeft w:val="0"/>
      <w:marRight w:val="0"/>
      <w:marTop w:val="0"/>
      <w:marBottom w:val="0"/>
      <w:divBdr>
        <w:top w:val="none" w:sz="0" w:space="0" w:color="auto"/>
        <w:left w:val="none" w:sz="0" w:space="0" w:color="auto"/>
        <w:bottom w:val="none" w:sz="0" w:space="0" w:color="auto"/>
        <w:right w:val="none" w:sz="0" w:space="0" w:color="auto"/>
      </w:divBdr>
    </w:div>
    <w:div w:id="1924298687">
      <w:bodyDiv w:val="1"/>
      <w:marLeft w:val="0"/>
      <w:marRight w:val="0"/>
      <w:marTop w:val="0"/>
      <w:marBottom w:val="0"/>
      <w:divBdr>
        <w:top w:val="none" w:sz="0" w:space="0" w:color="auto"/>
        <w:left w:val="none" w:sz="0" w:space="0" w:color="auto"/>
        <w:bottom w:val="none" w:sz="0" w:space="0" w:color="auto"/>
        <w:right w:val="none" w:sz="0" w:space="0" w:color="auto"/>
      </w:divBdr>
    </w:div>
    <w:div w:id="1929119923">
      <w:bodyDiv w:val="1"/>
      <w:marLeft w:val="0"/>
      <w:marRight w:val="0"/>
      <w:marTop w:val="0"/>
      <w:marBottom w:val="0"/>
      <w:divBdr>
        <w:top w:val="none" w:sz="0" w:space="0" w:color="auto"/>
        <w:left w:val="none" w:sz="0" w:space="0" w:color="auto"/>
        <w:bottom w:val="none" w:sz="0" w:space="0" w:color="auto"/>
        <w:right w:val="none" w:sz="0" w:space="0" w:color="auto"/>
      </w:divBdr>
    </w:div>
    <w:div w:id="1941713530">
      <w:bodyDiv w:val="1"/>
      <w:marLeft w:val="0"/>
      <w:marRight w:val="0"/>
      <w:marTop w:val="0"/>
      <w:marBottom w:val="0"/>
      <w:divBdr>
        <w:top w:val="none" w:sz="0" w:space="0" w:color="auto"/>
        <w:left w:val="none" w:sz="0" w:space="0" w:color="auto"/>
        <w:bottom w:val="none" w:sz="0" w:space="0" w:color="auto"/>
        <w:right w:val="none" w:sz="0" w:space="0" w:color="auto"/>
      </w:divBdr>
    </w:div>
    <w:div w:id="2016346417">
      <w:bodyDiv w:val="1"/>
      <w:marLeft w:val="0"/>
      <w:marRight w:val="0"/>
      <w:marTop w:val="0"/>
      <w:marBottom w:val="0"/>
      <w:divBdr>
        <w:top w:val="none" w:sz="0" w:space="0" w:color="auto"/>
        <w:left w:val="none" w:sz="0" w:space="0" w:color="auto"/>
        <w:bottom w:val="none" w:sz="0" w:space="0" w:color="auto"/>
        <w:right w:val="none" w:sz="0" w:space="0" w:color="auto"/>
      </w:divBdr>
    </w:div>
    <w:div w:id="2027751954">
      <w:bodyDiv w:val="1"/>
      <w:marLeft w:val="0"/>
      <w:marRight w:val="0"/>
      <w:marTop w:val="0"/>
      <w:marBottom w:val="0"/>
      <w:divBdr>
        <w:top w:val="none" w:sz="0" w:space="0" w:color="auto"/>
        <w:left w:val="none" w:sz="0" w:space="0" w:color="auto"/>
        <w:bottom w:val="none" w:sz="0" w:space="0" w:color="auto"/>
        <w:right w:val="none" w:sz="0" w:space="0" w:color="auto"/>
      </w:divBdr>
    </w:div>
    <w:div w:id="2046712633">
      <w:bodyDiv w:val="1"/>
      <w:marLeft w:val="0"/>
      <w:marRight w:val="0"/>
      <w:marTop w:val="0"/>
      <w:marBottom w:val="0"/>
      <w:divBdr>
        <w:top w:val="none" w:sz="0" w:space="0" w:color="auto"/>
        <w:left w:val="none" w:sz="0" w:space="0" w:color="auto"/>
        <w:bottom w:val="none" w:sz="0" w:space="0" w:color="auto"/>
        <w:right w:val="none" w:sz="0" w:space="0" w:color="auto"/>
      </w:divBdr>
    </w:div>
    <w:div w:id="2059015380">
      <w:bodyDiv w:val="1"/>
      <w:marLeft w:val="0"/>
      <w:marRight w:val="0"/>
      <w:marTop w:val="0"/>
      <w:marBottom w:val="0"/>
      <w:divBdr>
        <w:top w:val="none" w:sz="0" w:space="0" w:color="auto"/>
        <w:left w:val="none" w:sz="0" w:space="0" w:color="auto"/>
        <w:bottom w:val="none" w:sz="0" w:space="0" w:color="auto"/>
        <w:right w:val="none" w:sz="0" w:space="0" w:color="auto"/>
      </w:divBdr>
    </w:div>
    <w:div w:id="2086144738">
      <w:bodyDiv w:val="1"/>
      <w:marLeft w:val="0"/>
      <w:marRight w:val="0"/>
      <w:marTop w:val="0"/>
      <w:marBottom w:val="0"/>
      <w:divBdr>
        <w:top w:val="none" w:sz="0" w:space="0" w:color="auto"/>
        <w:left w:val="none" w:sz="0" w:space="0" w:color="auto"/>
        <w:bottom w:val="none" w:sz="0" w:space="0" w:color="auto"/>
        <w:right w:val="none" w:sz="0" w:space="0" w:color="auto"/>
      </w:divBdr>
    </w:div>
    <w:div w:id="20958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2C75-8C2E-4033-8158-FDD859C9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11385</Words>
  <Characters>64900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Notes to Financial Statements</vt:lpstr>
    </vt:vector>
  </TitlesOfParts>
  <Company/>
  <LinksUpToDate>false</LinksUpToDate>
  <CharactersWithSpaces>76133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Financial Statements</dc:title>
  <dc:creator>COA - AFP Retirement and Separation Benefits System</dc:creator>
  <cp:keywords/>
  <cp:lastModifiedBy>Judivina Antonette P. Canlas</cp:lastModifiedBy>
  <cp:revision>2</cp:revision>
  <cp:lastPrinted>2010-07-09T17:32:00Z</cp:lastPrinted>
  <dcterms:created xsi:type="dcterms:W3CDTF">2018-04-25T11:21:00Z</dcterms:created>
  <dcterms:modified xsi:type="dcterms:W3CDTF">2018-06-13T04:02:00Z</dcterms:modified>
  <cp:category/>
</cp:coreProperties>
</file>