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3600"/>
        </w:tabs>
        <w:jc w:val="center"/>
        <w:rPr>
          <w:rFonts w:ascii="Arial" w:hAnsi="Arial" w:cs="Arial"/>
          <w:b/>
          <w:sz w:val="22"/>
          <w:szCs w:val="22"/>
        </w:rPr>
      </w:pPr>
      <w:bookmarkStart w:id="0" w:name="_GoBack"/>
      <w:bookmarkEnd w:id="0"/>
      <w:r>
        <w:rPr>
          <w:rFonts w:ascii="Arial" w:hAnsi="Arial" w:cs="Arial"/>
          <w:b/>
          <w:sz w:val="22"/>
          <w:szCs w:val="22"/>
        </w:rPr>
        <w:t>EXECUTIVE SUMMARY</w:t>
      </w:r>
    </w:p>
    <w:p>
      <w:pPr>
        <w:rPr>
          <w:rFonts w:ascii="Arial" w:hAnsi="Arial" w:cs="Arial"/>
          <w:b/>
          <w:sz w:val="16"/>
          <w:szCs w:val="16"/>
        </w:rPr>
      </w:pPr>
    </w:p>
    <w:p>
      <w:pPr>
        <w:rPr>
          <w:rFonts w:ascii="Arial" w:hAnsi="Arial" w:cs="Arial"/>
          <w:b/>
          <w:sz w:val="16"/>
          <w:szCs w:val="16"/>
        </w:rPr>
      </w:pPr>
    </w:p>
    <w:p>
      <w:pPr>
        <w:rPr>
          <w:rFonts w:ascii="Arial" w:hAnsi="Arial" w:cs="Arial"/>
          <w:b/>
          <w:sz w:val="22"/>
          <w:szCs w:val="22"/>
        </w:rPr>
      </w:pPr>
      <w:r>
        <w:rPr>
          <w:rFonts w:ascii="Arial" w:hAnsi="Arial" w:cs="Arial"/>
          <w:b/>
          <w:sz w:val="22"/>
          <w:szCs w:val="22"/>
        </w:rPr>
        <w:t>INTRODUCTION</w:t>
      </w:r>
    </w:p>
    <w:p>
      <w:pPr>
        <w:rPr>
          <w:rFonts w:ascii="Arial" w:hAnsi="Arial" w:cs="Arial"/>
          <w:b/>
          <w:sz w:val="22"/>
          <w:szCs w:val="22"/>
        </w:rPr>
      </w:pPr>
    </w:p>
    <w:p>
      <w:pPr>
        <w:pStyle w:val="NoSpacing"/>
        <w:jc w:val="both"/>
        <w:rPr>
          <w:rFonts w:ascii="Arial" w:hAnsi="Arial" w:cs="Arial"/>
          <w:sz w:val="22"/>
          <w:szCs w:val="22"/>
        </w:rPr>
      </w:pPr>
      <w:r>
        <w:rPr>
          <w:rFonts w:ascii="Arial" w:hAnsi="Arial" w:cs="Arial"/>
          <w:sz w:val="22"/>
          <w:szCs w:val="22"/>
        </w:rPr>
        <w:t>The Armed Forces of the Philippines Retirement and Separation Benefits System (AFP-RSBS or the “System” for brevity) was created by virtue of Presidential Decree (PD) No. 361 dated December 30, 1973 and started its operations in 1976.  The System was established as a funding mechanism to ensure the continuous payment of retirement and separation benefits to the members of the AFP.  To strengthen the System, certain provisions of PD No. 361 pertaining to membership and rate of contributions were amended by PD No. 1656 dated December 21, 1979 and PD No. 1909 dated March 22, 1984.</w:t>
      </w:r>
    </w:p>
    <w:p>
      <w:pPr>
        <w:pStyle w:val="NoSpacing"/>
        <w:jc w:val="both"/>
        <w:rPr>
          <w:rFonts w:ascii="Arial" w:hAnsi="Arial" w:cs="Arial"/>
          <w:sz w:val="20"/>
          <w:szCs w:val="20"/>
        </w:rPr>
      </w:pPr>
    </w:p>
    <w:p>
      <w:pPr>
        <w:pStyle w:val="NoSpacing"/>
        <w:jc w:val="both"/>
        <w:rPr>
          <w:rFonts w:ascii="Arial" w:hAnsi="Arial" w:cs="Arial"/>
          <w:sz w:val="22"/>
          <w:szCs w:val="22"/>
        </w:rPr>
      </w:pPr>
      <w:r>
        <w:rPr>
          <w:rFonts w:ascii="Arial" w:hAnsi="Arial" w:cs="Arial"/>
          <w:sz w:val="22"/>
          <w:szCs w:val="22"/>
        </w:rPr>
        <w:t>The System is engaged in various business operations which include the management of funds invested in the stock market, money market, government and corporate bonds, corporate loans, real estate properties and equity holdings in subsidiaries and associates.  It also has interests and participation in real estate projects involving the development and construction of commercial and subdivision projects, memorial parks, golf courses, and, for some, in partnership with reputable real estate developers.  In the course of its lending operations, the System also acquires through foreclosure proceedings and dacion en pago arrangements, mortgaged real estate properties as payment for the full or partial settlement of the loan obligations of its borrowers.  The inventory of developed lots, condominium units and acquired assets are being offered for sale to the military personnel and to the public as well to recoup its principal investments.</w:t>
      </w:r>
    </w:p>
    <w:p>
      <w:pPr>
        <w:pStyle w:val="NoSpacing"/>
        <w:jc w:val="both"/>
        <w:rPr>
          <w:rFonts w:ascii="Arial" w:hAnsi="Arial" w:cs="Arial"/>
          <w:sz w:val="20"/>
          <w:szCs w:val="20"/>
        </w:rPr>
      </w:pPr>
    </w:p>
    <w:p>
      <w:pPr>
        <w:pStyle w:val="NoSpacing"/>
        <w:jc w:val="both"/>
        <w:rPr>
          <w:rFonts w:ascii="Arial" w:hAnsi="Arial" w:cs="Arial"/>
          <w:sz w:val="22"/>
          <w:szCs w:val="22"/>
        </w:rPr>
      </w:pPr>
      <w:r>
        <w:rPr>
          <w:rFonts w:ascii="Arial" w:hAnsi="Arial" w:cs="Arial"/>
          <w:sz w:val="22"/>
          <w:szCs w:val="22"/>
        </w:rPr>
        <w:t>The Board of Liquidators (BOL), consisting of 11 members, is the policy making body of the System. The President/Chief Executive Officer as well as the Executive Vice President/Chief Operating Officer takes charge of the day to day affairs of the organization.  As at December 31, 2017, the System has 73 regular employees and 43 casual/contractual personnel and 6 project-hired or a total workforce of 118 personnel.</w:t>
      </w:r>
    </w:p>
    <w:p>
      <w:pPr>
        <w:pStyle w:val="NoSpacing"/>
        <w:jc w:val="both"/>
        <w:rPr>
          <w:rFonts w:ascii="Arial" w:hAnsi="Arial" w:cs="Arial"/>
          <w:sz w:val="20"/>
          <w:szCs w:val="20"/>
        </w:rPr>
      </w:pPr>
    </w:p>
    <w:p>
      <w:pPr>
        <w:pStyle w:val="ListParagraph"/>
        <w:widowControl w:val="0"/>
        <w:tabs>
          <w:tab w:val="left" w:pos="720"/>
        </w:tabs>
        <w:ind w:left="0"/>
        <w:jc w:val="both"/>
        <w:rPr>
          <w:rFonts w:ascii="Arial" w:hAnsi="Arial" w:cs="Arial"/>
          <w:sz w:val="22"/>
          <w:szCs w:val="22"/>
        </w:rPr>
      </w:pPr>
      <w:r>
        <w:rPr>
          <w:rFonts w:ascii="Arial" w:hAnsi="Arial" w:cs="Arial"/>
          <w:sz w:val="22"/>
          <w:szCs w:val="22"/>
        </w:rPr>
        <w:t>On April 8, 2016, Memorandum Order (MO) No. 90, s. 2016 was issued by the Office of the President of the Philippines directing the abolition of the System, privatization of its subsidiaries, and for other purposes. The System was directed under Section 3 of the said MO to: (a) cease collecting members’ contributions and accrual of interest thereon upon effectivity of the Order; (b) maintain such number of personnel necessary to wind-down its corporate affairs and cease the hiring of new personnel unless approved by the Governance Commission for Government Owned and Controlled Corporations (GCG); (c) collect all indebtedness due to the System; (d) continue a Corporate Operating Budget; (e) for its BOT to act as Board of Liquidators (BOL); (f) enter into contracts for the purpose of selling all its real estate assets, golf and country club shares; manage, preserve and maintain its buildings, facilities and equipment in line with the winding down activities; complete deliverables to subdivisions, and turn over completed subdivisions, and maintenance and preservation of existing projects and properties; (g) pursue activities necessary to perfect ownership of its real estate assets; (h) continue, abrogate, and/or re-negotiate existing Joint Venture (JV) Agreements/Contracts, subject to the revised National Economic and Development Authority JV Guidelines; and (i) maintain full power to sue and file complaints for the protection of the rights and interests of the corporation.</w:t>
      </w:r>
    </w:p>
    <w:p>
      <w:pPr>
        <w:pStyle w:val="ListParagraph"/>
        <w:widowControl w:val="0"/>
        <w:tabs>
          <w:tab w:val="left" w:pos="720"/>
        </w:tabs>
        <w:ind w:left="0"/>
        <w:jc w:val="both"/>
        <w:rPr>
          <w:rFonts w:ascii="Arial" w:hAnsi="Arial" w:cs="Arial"/>
          <w:sz w:val="22"/>
          <w:szCs w:val="22"/>
        </w:rPr>
      </w:pPr>
      <w:r>
        <w:rPr>
          <w:rFonts w:ascii="Arial" w:hAnsi="Arial" w:cs="Arial"/>
          <w:sz w:val="22"/>
          <w:szCs w:val="22"/>
        </w:rPr>
        <w:lastRenderedPageBreak/>
        <w:t>To implement the provisions of MO No. 90, the GCG shall be assisted by a Technical Working Group composed of representatives from the Department of National Defense, Department of Finance, Department of Budget and Management, Privatization Management Office, the System, and the AFP.</w:t>
      </w:r>
    </w:p>
    <w:p>
      <w:pPr>
        <w:pStyle w:val="NoSpacing"/>
        <w:jc w:val="both"/>
        <w:rPr>
          <w:rFonts w:ascii="Arial" w:hAnsi="Arial" w:cs="Arial"/>
          <w:sz w:val="22"/>
          <w:szCs w:val="22"/>
        </w:rPr>
      </w:pPr>
    </w:p>
    <w:p>
      <w:pPr>
        <w:pStyle w:val="ListParagraph"/>
        <w:widowControl w:val="0"/>
        <w:tabs>
          <w:tab w:val="left" w:pos="720"/>
        </w:tabs>
        <w:ind w:left="0"/>
        <w:jc w:val="both"/>
        <w:rPr>
          <w:rFonts w:ascii="Arial" w:hAnsi="Arial" w:cs="Arial"/>
          <w:sz w:val="22"/>
          <w:szCs w:val="22"/>
        </w:rPr>
      </w:pPr>
      <w:r>
        <w:rPr>
          <w:rFonts w:ascii="Arial" w:hAnsi="Arial" w:cs="Arial"/>
          <w:sz w:val="22"/>
          <w:szCs w:val="22"/>
        </w:rPr>
        <w:t xml:space="preserve">On April 19, 2016, pursuant to the above MO, the System’s BOT already convened as BOL. The BOL approved in that meeting the stoppage of the collection of five per cent members’ contributions and the accrual of interest on members’ contributions effective March 31, 2016 as per Board Resolution No. SPL-01-2016. In the same meeting, the BOL also approved the continuance of the implementation of discounting of refund of Advance Refund Program to retiring military personnel with approved Oder of Retirement from the AFP until the final closure of the System.  </w:t>
      </w:r>
    </w:p>
    <w:p>
      <w:pPr>
        <w:pStyle w:val="NoSpacing"/>
        <w:jc w:val="both"/>
        <w:rPr>
          <w:rFonts w:ascii="Arial" w:hAnsi="Arial" w:cs="Arial"/>
          <w:sz w:val="22"/>
          <w:szCs w:val="22"/>
        </w:rPr>
      </w:pPr>
    </w:p>
    <w:p>
      <w:pPr>
        <w:pStyle w:val="NoSpacing"/>
        <w:jc w:val="both"/>
        <w:rPr>
          <w:rFonts w:ascii="Arial" w:hAnsi="Arial" w:cs="Arial"/>
          <w:sz w:val="22"/>
          <w:szCs w:val="22"/>
        </w:rPr>
      </w:pPr>
      <w:r>
        <w:rPr>
          <w:rFonts w:ascii="Arial" w:hAnsi="Arial" w:cs="Arial"/>
          <w:sz w:val="22"/>
          <w:szCs w:val="22"/>
        </w:rPr>
        <w:t>The registered business and office address of the System is at No. 424 Capinpin Avenue, Camp General Emilio Aguinaldo, Quezon City, Metro Manila, Philippines.  It has no other offices within and outside the Philippines, except for a Satellite Office in Iloilo City.</w:t>
      </w:r>
    </w:p>
    <w:p>
      <w:pPr>
        <w:pStyle w:val="NoSpacing"/>
        <w:jc w:val="both"/>
        <w:rPr>
          <w:rFonts w:ascii="Arial" w:hAnsi="Arial" w:cs="Arial"/>
          <w:sz w:val="22"/>
          <w:szCs w:val="22"/>
        </w:rPr>
      </w:pPr>
    </w:p>
    <w:p>
      <w:pPr>
        <w:pStyle w:val="NoSpacing"/>
        <w:jc w:val="both"/>
        <w:rPr>
          <w:rFonts w:ascii="Arial" w:hAnsi="Arial" w:cs="Arial"/>
          <w:sz w:val="22"/>
          <w:szCs w:val="22"/>
        </w:rPr>
      </w:pPr>
    </w:p>
    <w:p>
      <w:pPr>
        <w:pStyle w:val="NoSpacing"/>
        <w:jc w:val="both"/>
        <w:rPr>
          <w:rFonts w:ascii="Arial" w:hAnsi="Arial" w:cs="Arial"/>
          <w:b/>
          <w:sz w:val="22"/>
          <w:szCs w:val="22"/>
        </w:rPr>
      </w:pPr>
      <w:r>
        <w:rPr>
          <w:rFonts w:ascii="Arial" w:hAnsi="Arial" w:cs="Arial"/>
          <w:b/>
          <w:sz w:val="22"/>
          <w:szCs w:val="22"/>
        </w:rPr>
        <w:t>FINANCIAL HIGHLIGHTS (In Philippine Peso)</w:t>
      </w:r>
    </w:p>
    <w:p>
      <w:pPr>
        <w:pStyle w:val="NoSpacing"/>
        <w:jc w:val="both"/>
        <w:rPr>
          <w:rFonts w:ascii="Arial" w:hAnsi="Arial" w:cs="Arial"/>
          <w:sz w:val="22"/>
          <w:szCs w:val="22"/>
        </w:rPr>
      </w:pPr>
    </w:p>
    <w:p>
      <w:pPr>
        <w:pStyle w:val="NoSpacing"/>
        <w:numPr>
          <w:ilvl w:val="0"/>
          <w:numId w:val="25"/>
        </w:numPr>
        <w:ind w:left="720"/>
        <w:jc w:val="both"/>
        <w:rPr>
          <w:rFonts w:ascii="Arial" w:hAnsi="Arial" w:cs="Arial"/>
          <w:sz w:val="22"/>
          <w:szCs w:val="22"/>
        </w:rPr>
      </w:pPr>
      <w:r>
        <w:rPr>
          <w:rFonts w:ascii="Arial" w:hAnsi="Arial" w:cs="Arial"/>
          <w:sz w:val="22"/>
          <w:szCs w:val="22"/>
        </w:rPr>
        <w:t>Comparative Financial Position</w:t>
      </w:r>
    </w:p>
    <w:p>
      <w:pPr>
        <w:pStyle w:val="NoSpacing"/>
        <w:jc w:val="both"/>
        <w:rPr>
          <w:rFonts w:ascii="Arial" w:hAnsi="Arial" w:cs="Arial"/>
          <w:sz w:val="22"/>
          <w:szCs w:val="22"/>
        </w:rPr>
      </w:pPr>
    </w:p>
    <w:tbl>
      <w:tblPr>
        <w:tblW w:w="0" w:type="auto"/>
        <w:tblInd w:w="108" w:type="dxa"/>
        <w:tblLayout w:type="fixed"/>
        <w:tblLook w:val="04A0" w:firstRow="1" w:lastRow="0" w:firstColumn="1" w:lastColumn="0" w:noHBand="0" w:noVBand="1"/>
      </w:tblPr>
      <w:tblGrid>
        <w:gridCol w:w="3600"/>
        <w:gridCol w:w="1680"/>
        <w:gridCol w:w="1680"/>
        <w:gridCol w:w="1680"/>
      </w:tblGrid>
      <w:tr>
        <w:tc>
          <w:tcPr>
            <w:tcW w:w="3600" w:type="dxa"/>
            <w:tcBorders>
              <w:top w:val="single" w:sz="4" w:space="0" w:color="000000"/>
              <w:bottom w:val="single" w:sz="4" w:space="0" w:color="000000"/>
            </w:tcBorders>
            <w:shd w:val="clear" w:color="auto" w:fill="auto"/>
            <w:vAlign w:val="center"/>
          </w:tcPr>
          <w:p>
            <w:pPr>
              <w:jc w:val="center"/>
              <w:rPr>
                <w:rFonts w:ascii="Arial" w:hAnsi="Arial" w:cs="Arial"/>
                <w:b/>
                <w:sz w:val="20"/>
                <w:szCs w:val="20"/>
              </w:rPr>
            </w:pPr>
            <w:r>
              <w:rPr>
                <w:rFonts w:ascii="Arial" w:hAnsi="Arial" w:cs="Arial"/>
                <w:b/>
                <w:sz w:val="20"/>
                <w:szCs w:val="20"/>
              </w:rPr>
              <w:t>Particulars</w:t>
            </w:r>
          </w:p>
        </w:tc>
        <w:tc>
          <w:tcPr>
            <w:tcW w:w="1680" w:type="dxa"/>
            <w:tcBorders>
              <w:top w:val="single" w:sz="4" w:space="0" w:color="000000"/>
              <w:bottom w:val="single" w:sz="4" w:space="0" w:color="000000"/>
            </w:tcBorders>
            <w:shd w:val="clear" w:color="auto" w:fill="auto"/>
            <w:vAlign w:val="center"/>
          </w:tcPr>
          <w:p>
            <w:pPr>
              <w:jc w:val="center"/>
              <w:rPr>
                <w:rFonts w:ascii="Arial" w:hAnsi="Arial" w:cs="Arial"/>
                <w:b/>
                <w:sz w:val="20"/>
                <w:szCs w:val="20"/>
              </w:rPr>
            </w:pPr>
            <w:r>
              <w:rPr>
                <w:rFonts w:ascii="Arial" w:hAnsi="Arial" w:cs="Arial"/>
                <w:b/>
                <w:sz w:val="20"/>
                <w:szCs w:val="20"/>
              </w:rPr>
              <w:t>2017</w:t>
            </w:r>
          </w:p>
        </w:tc>
        <w:tc>
          <w:tcPr>
            <w:tcW w:w="1680" w:type="dxa"/>
            <w:tcBorders>
              <w:top w:val="single" w:sz="4" w:space="0" w:color="000000"/>
              <w:bottom w:val="single" w:sz="4" w:space="0" w:color="000000"/>
            </w:tcBorders>
            <w:shd w:val="clear" w:color="auto" w:fill="auto"/>
            <w:vAlign w:val="center"/>
          </w:tcPr>
          <w:p>
            <w:pPr>
              <w:jc w:val="center"/>
              <w:rPr>
                <w:rFonts w:ascii="Arial" w:hAnsi="Arial" w:cs="Arial"/>
                <w:b/>
                <w:sz w:val="20"/>
                <w:szCs w:val="20"/>
              </w:rPr>
            </w:pPr>
            <w:r>
              <w:rPr>
                <w:rFonts w:ascii="Arial" w:hAnsi="Arial" w:cs="Arial"/>
                <w:b/>
                <w:sz w:val="20"/>
                <w:szCs w:val="20"/>
              </w:rPr>
              <w:t>2016</w:t>
            </w:r>
          </w:p>
        </w:tc>
        <w:tc>
          <w:tcPr>
            <w:tcW w:w="1680" w:type="dxa"/>
            <w:tcBorders>
              <w:top w:val="single" w:sz="4" w:space="0" w:color="000000"/>
              <w:bottom w:val="single" w:sz="4" w:space="0" w:color="000000"/>
            </w:tcBorders>
            <w:shd w:val="clear" w:color="auto" w:fill="auto"/>
            <w:vAlign w:val="center"/>
          </w:tcPr>
          <w:p>
            <w:pPr>
              <w:jc w:val="center"/>
              <w:rPr>
                <w:rFonts w:ascii="Arial" w:hAnsi="Arial" w:cs="Arial"/>
                <w:b/>
                <w:sz w:val="20"/>
                <w:szCs w:val="20"/>
              </w:rPr>
            </w:pPr>
            <w:r>
              <w:rPr>
                <w:rFonts w:ascii="Arial" w:hAnsi="Arial" w:cs="Arial"/>
                <w:b/>
                <w:sz w:val="20"/>
                <w:szCs w:val="20"/>
              </w:rPr>
              <w:t>Increase (Decrease)</w:t>
            </w:r>
          </w:p>
        </w:tc>
      </w:tr>
      <w:tr>
        <w:trPr>
          <w:trHeight w:val="422"/>
        </w:trPr>
        <w:tc>
          <w:tcPr>
            <w:tcW w:w="3600" w:type="dxa"/>
            <w:tcBorders>
              <w:top w:val="single" w:sz="4" w:space="0" w:color="000000"/>
            </w:tcBorders>
            <w:shd w:val="clear" w:color="auto" w:fill="auto"/>
            <w:vAlign w:val="bottom"/>
          </w:tcPr>
          <w:p>
            <w:pPr>
              <w:rPr>
                <w:rFonts w:ascii="Arial" w:hAnsi="Arial" w:cs="Arial"/>
                <w:sz w:val="20"/>
                <w:szCs w:val="20"/>
              </w:rPr>
            </w:pPr>
            <w:r>
              <w:rPr>
                <w:rFonts w:ascii="Arial" w:hAnsi="Arial" w:cs="Arial"/>
                <w:sz w:val="20"/>
                <w:szCs w:val="20"/>
              </w:rPr>
              <w:t>Assets</w:t>
            </w:r>
          </w:p>
        </w:tc>
        <w:tc>
          <w:tcPr>
            <w:tcW w:w="1680" w:type="dxa"/>
            <w:tcBorders>
              <w:top w:val="single" w:sz="4" w:space="0" w:color="000000"/>
            </w:tcBorders>
            <w:shd w:val="clear" w:color="auto" w:fill="auto"/>
            <w:vAlign w:val="bottom"/>
          </w:tcPr>
          <w:p>
            <w:pPr>
              <w:jc w:val="right"/>
              <w:rPr>
                <w:rFonts w:ascii="Arial" w:hAnsi="Arial" w:cs="Arial"/>
                <w:sz w:val="20"/>
                <w:szCs w:val="20"/>
              </w:rPr>
            </w:pPr>
            <w:r>
              <w:rPr>
                <w:rFonts w:ascii="Arial" w:hAnsi="Arial" w:cs="Arial"/>
                <w:sz w:val="20"/>
                <w:szCs w:val="20"/>
              </w:rPr>
              <w:t>16,186,385,563</w:t>
            </w:r>
          </w:p>
        </w:tc>
        <w:tc>
          <w:tcPr>
            <w:tcW w:w="1680" w:type="dxa"/>
            <w:tcBorders>
              <w:top w:val="single" w:sz="4" w:space="0" w:color="000000"/>
            </w:tcBorders>
            <w:shd w:val="clear" w:color="auto" w:fill="auto"/>
            <w:vAlign w:val="bottom"/>
          </w:tcPr>
          <w:p>
            <w:pPr>
              <w:jc w:val="right"/>
              <w:rPr>
                <w:rFonts w:ascii="Arial" w:hAnsi="Arial" w:cs="Arial"/>
                <w:sz w:val="20"/>
                <w:szCs w:val="20"/>
              </w:rPr>
            </w:pPr>
            <w:r>
              <w:rPr>
                <w:rFonts w:ascii="Arial" w:hAnsi="Arial" w:cs="Arial"/>
                <w:sz w:val="20"/>
                <w:szCs w:val="20"/>
              </w:rPr>
              <w:t>16,635,024,639</w:t>
            </w:r>
          </w:p>
        </w:tc>
        <w:tc>
          <w:tcPr>
            <w:tcW w:w="1680" w:type="dxa"/>
            <w:tcBorders>
              <w:top w:val="single" w:sz="4" w:space="0" w:color="000000"/>
            </w:tcBorders>
            <w:shd w:val="clear" w:color="auto" w:fill="auto"/>
            <w:vAlign w:val="bottom"/>
          </w:tcPr>
          <w:p>
            <w:pPr>
              <w:jc w:val="right"/>
              <w:rPr>
                <w:rFonts w:ascii="Arial" w:hAnsi="Arial" w:cs="Arial"/>
                <w:sz w:val="20"/>
                <w:szCs w:val="20"/>
              </w:rPr>
            </w:pPr>
            <w:r>
              <w:rPr>
                <w:rFonts w:ascii="Arial" w:hAnsi="Arial" w:cs="Arial"/>
                <w:sz w:val="20"/>
                <w:szCs w:val="20"/>
              </w:rPr>
              <w:t>(448,639,076)</w:t>
            </w:r>
          </w:p>
        </w:tc>
      </w:tr>
      <w:tr>
        <w:tc>
          <w:tcPr>
            <w:tcW w:w="3600" w:type="dxa"/>
            <w:tcBorders>
              <w:bottom w:val="single" w:sz="4" w:space="0" w:color="auto"/>
            </w:tcBorders>
            <w:shd w:val="clear" w:color="auto" w:fill="auto"/>
            <w:vAlign w:val="bottom"/>
          </w:tcPr>
          <w:p>
            <w:pPr>
              <w:rPr>
                <w:rFonts w:ascii="Arial" w:hAnsi="Arial" w:cs="Arial"/>
                <w:sz w:val="20"/>
                <w:szCs w:val="20"/>
              </w:rPr>
            </w:pPr>
            <w:r>
              <w:rPr>
                <w:rFonts w:ascii="Arial" w:hAnsi="Arial" w:cs="Arial"/>
                <w:sz w:val="20"/>
                <w:szCs w:val="20"/>
              </w:rPr>
              <w:t>Liabilities</w:t>
            </w:r>
          </w:p>
        </w:tc>
        <w:tc>
          <w:tcPr>
            <w:tcW w:w="1680" w:type="dxa"/>
            <w:tcBorders>
              <w:bottom w:val="single" w:sz="4" w:space="0" w:color="auto"/>
            </w:tcBorders>
            <w:shd w:val="clear" w:color="auto" w:fill="auto"/>
            <w:vAlign w:val="bottom"/>
          </w:tcPr>
          <w:p>
            <w:pPr>
              <w:jc w:val="right"/>
              <w:rPr>
                <w:rFonts w:ascii="Arial" w:hAnsi="Arial" w:cs="Arial"/>
                <w:sz w:val="20"/>
                <w:szCs w:val="20"/>
              </w:rPr>
            </w:pPr>
            <w:r>
              <w:rPr>
                <w:rFonts w:ascii="Arial" w:hAnsi="Arial" w:cs="Arial"/>
                <w:sz w:val="20"/>
                <w:szCs w:val="20"/>
              </w:rPr>
              <w:t>14,578,848,461</w:t>
            </w:r>
          </w:p>
        </w:tc>
        <w:tc>
          <w:tcPr>
            <w:tcW w:w="1680" w:type="dxa"/>
            <w:tcBorders>
              <w:bottom w:val="single" w:sz="4" w:space="0" w:color="auto"/>
            </w:tcBorders>
            <w:shd w:val="clear" w:color="auto" w:fill="auto"/>
            <w:vAlign w:val="bottom"/>
          </w:tcPr>
          <w:p>
            <w:pPr>
              <w:jc w:val="right"/>
              <w:rPr>
                <w:rFonts w:ascii="Arial" w:hAnsi="Arial" w:cs="Arial"/>
                <w:sz w:val="20"/>
                <w:szCs w:val="20"/>
              </w:rPr>
            </w:pPr>
            <w:r>
              <w:rPr>
                <w:rFonts w:ascii="Arial" w:hAnsi="Arial" w:cs="Arial"/>
                <w:sz w:val="20"/>
                <w:szCs w:val="20"/>
              </w:rPr>
              <w:t>15,436,808,508</w:t>
            </w:r>
          </w:p>
        </w:tc>
        <w:tc>
          <w:tcPr>
            <w:tcW w:w="1680" w:type="dxa"/>
            <w:tcBorders>
              <w:bottom w:val="single" w:sz="4" w:space="0" w:color="auto"/>
            </w:tcBorders>
            <w:shd w:val="clear" w:color="auto" w:fill="auto"/>
            <w:vAlign w:val="bottom"/>
          </w:tcPr>
          <w:p>
            <w:pPr>
              <w:jc w:val="right"/>
              <w:rPr>
                <w:rFonts w:ascii="Arial" w:hAnsi="Arial" w:cs="Arial"/>
                <w:sz w:val="20"/>
                <w:szCs w:val="20"/>
              </w:rPr>
            </w:pPr>
            <w:r>
              <w:rPr>
                <w:rFonts w:ascii="Arial" w:hAnsi="Arial" w:cs="Arial"/>
                <w:sz w:val="20"/>
                <w:szCs w:val="20"/>
              </w:rPr>
              <w:t>857,960,047</w:t>
            </w:r>
          </w:p>
        </w:tc>
      </w:tr>
      <w:tr>
        <w:trPr>
          <w:trHeight w:val="331"/>
        </w:trPr>
        <w:tc>
          <w:tcPr>
            <w:tcW w:w="3600" w:type="dxa"/>
            <w:tcBorders>
              <w:top w:val="single" w:sz="4" w:space="0" w:color="auto"/>
              <w:bottom w:val="double" w:sz="4" w:space="0" w:color="auto"/>
            </w:tcBorders>
            <w:shd w:val="clear" w:color="auto" w:fill="auto"/>
            <w:vAlign w:val="bottom"/>
          </w:tcPr>
          <w:p>
            <w:pPr>
              <w:rPr>
                <w:rFonts w:ascii="Arial" w:hAnsi="Arial" w:cs="Arial"/>
                <w:sz w:val="20"/>
                <w:szCs w:val="20"/>
              </w:rPr>
            </w:pPr>
            <w:r>
              <w:rPr>
                <w:rFonts w:ascii="Arial" w:hAnsi="Arial" w:cs="Arial"/>
                <w:sz w:val="20"/>
                <w:szCs w:val="20"/>
              </w:rPr>
              <w:t>Fund equity</w:t>
            </w:r>
          </w:p>
        </w:tc>
        <w:tc>
          <w:tcPr>
            <w:tcW w:w="1680" w:type="dxa"/>
            <w:tcBorders>
              <w:top w:val="single" w:sz="4" w:space="0" w:color="auto"/>
              <w:bottom w:val="double" w:sz="4" w:space="0" w:color="auto"/>
            </w:tcBorders>
            <w:shd w:val="clear" w:color="auto" w:fill="auto"/>
            <w:vAlign w:val="bottom"/>
          </w:tcPr>
          <w:p>
            <w:pPr>
              <w:jc w:val="right"/>
              <w:rPr>
                <w:rFonts w:ascii="Arial" w:hAnsi="Arial" w:cs="Arial"/>
                <w:sz w:val="20"/>
                <w:szCs w:val="20"/>
              </w:rPr>
            </w:pPr>
            <w:r>
              <w:rPr>
                <w:rFonts w:ascii="Arial" w:hAnsi="Arial" w:cs="Arial"/>
                <w:sz w:val="20"/>
                <w:szCs w:val="20"/>
              </w:rPr>
              <w:t>1,607,537,102</w:t>
            </w:r>
          </w:p>
        </w:tc>
        <w:tc>
          <w:tcPr>
            <w:tcW w:w="1680" w:type="dxa"/>
            <w:tcBorders>
              <w:top w:val="single" w:sz="4" w:space="0" w:color="auto"/>
              <w:bottom w:val="double" w:sz="4" w:space="0" w:color="auto"/>
            </w:tcBorders>
            <w:shd w:val="clear" w:color="auto" w:fill="auto"/>
            <w:vAlign w:val="bottom"/>
          </w:tcPr>
          <w:p>
            <w:pPr>
              <w:jc w:val="right"/>
              <w:rPr>
                <w:rFonts w:ascii="Arial" w:hAnsi="Arial" w:cs="Arial"/>
                <w:sz w:val="20"/>
                <w:szCs w:val="20"/>
              </w:rPr>
            </w:pPr>
            <w:r>
              <w:rPr>
                <w:rFonts w:ascii="Arial" w:hAnsi="Arial" w:cs="Arial"/>
                <w:sz w:val="20"/>
                <w:szCs w:val="20"/>
              </w:rPr>
              <w:t>1,198,216,131</w:t>
            </w:r>
          </w:p>
        </w:tc>
        <w:tc>
          <w:tcPr>
            <w:tcW w:w="1680" w:type="dxa"/>
            <w:tcBorders>
              <w:top w:val="single" w:sz="4" w:space="0" w:color="auto"/>
              <w:bottom w:val="double" w:sz="4" w:space="0" w:color="auto"/>
            </w:tcBorders>
            <w:shd w:val="clear" w:color="auto" w:fill="auto"/>
            <w:vAlign w:val="bottom"/>
          </w:tcPr>
          <w:p>
            <w:pPr>
              <w:jc w:val="right"/>
              <w:rPr>
                <w:rFonts w:ascii="Arial" w:hAnsi="Arial" w:cs="Arial"/>
                <w:sz w:val="20"/>
                <w:szCs w:val="20"/>
              </w:rPr>
            </w:pPr>
            <w:r>
              <w:rPr>
                <w:rFonts w:ascii="Arial" w:hAnsi="Arial" w:cs="Arial"/>
                <w:sz w:val="20"/>
                <w:szCs w:val="20"/>
              </w:rPr>
              <w:t>409,320,971</w:t>
            </w:r>
          </w:p>
        </w:tc>
      </w:tr>
    </w:tbl>
    <w:p>
      <w:pPr>
        <w:pStyle w:val="NoSpacing"/>
        <w:jc w:val="both"/>
        <w:rPr>
          <w:rFonts w:ascii="Arial" w:hAnsi="Arial" w:cs="Arial"/>
          <w:sz w:val="22"/>
          <w:szCs w:val="22"/>
        </w:rPr>
      </w:pPr>
    </w:p>
    <w:p>
      <w:pPr>
        <w:numPr>
          <w:ilvl w:val="0"/>
          <w:numId w:val="25"/>
        </w:numPr>
        <w:tabs>
          <w:tab w:val="left" w:pos="720"/>
        </w:tabs>
        <w:ind w:left="720"/>
        <w:jc w:val="both"/>
        <w:rPr>
          <w:rFonts w:ascii="Arial" w:hAnsi="Arial" w:cs="Arial"/>
          <w:sz w:val="22"/>
          <w:szCs w:val="22"/>
        </w:rPr>
      </w:pPr>
      <w:r>
        <w:rPr>
          <w:rFonts w:ascii="Arial" w:hAnsi="Arial" w:cs="Arial"/>
          <w:sz w:val="22"/>
          <w:szCs w:val="22"/>
        </w:rPr>
        <w:t>Comparative Results of Operations</w:t>
      </w:r>
    </w:p>
    <w:p>
      <w:pPr>
        <w:tabs>
          <w:tab w:val="left" w:pos="720"/>
        </w:tabs>
        <w:jc w:val="both"/>
        <w:rPr>
          <w:rFonts w:ascii="Arial" w:hAnsi="Arial" w:cs="Arial"/>
          <w:b/>
          <w:sz w:val="22"/>
          <w:szCs w:val="22"/>
        </w:rPr>
      </w:pPr>
    </w:p>
    <w:tbl>
      <w:tblPr>
        <w:tblW w:w="8640" w:type="dxa"/>
        <w:tblInd w:w="108" w:type="dxa"/>
        <w:tblLayout w:type="fixed"/>
        <w:tblLook w:val="0000" w:firstRow="0" w:lastRow="0" w:firstColumn="0" w:lastColumn="0" w:noHBand="0" w:noVBand="0"/>
      </w:tblPr>
      <w:tblGrid>
        <w:gridCol w:w="3600"/>
        <w:gridCol w:w="1680"/>
        <w:gridCol w:w="1680"/>
        <w:gridCol w:w="1680"/>
      </w:tblGrid>
      <w:tr>
        <w:tc>
          <w:tcPr>
            <w:tcW w:w="3600" w:type="dxa"/>
            <w:tcBorders>
              <w:top w:val="single" w:sz="4" w:space="0" w:color="000000"/>
              <w:bottom w:val="single" w:sz="4" w:space="0" w:color="auto"/>
            </w:tcBorders>
            <w:shd w:val="clear" w:color="auto" w:fill="auto"/>
            <w:vAlign w:val="center"/>
          </w:tcPr>
          <w:p>
            <w:pPr>
              <w:jc w:val="center"/>
              <w:rPr>
                <w:rFonts w:ascii="Arial" w:hAnsi="Arial" w:cs="Arial"/>
                <w:b/>
                <w:sz w:val="20"/>
                <w:szCs w:val="20"/>
              </w:rPr>
            </w:pPr>
            <w:r>
              <w:rPr>
                <w:rFonts w:ascii="Arial" w:hAnsi="Arial" w:cs="Arial"/>
                <w:b/>
                <w:sz w:val="20"/>
                <w:szCs w:val="20"/>
              </w:rPr>
              <w:t>Particulars</w:t>
            </w:r>
          </w:p>
        </w:tc>
        <w:tc>
          <w:tcPr>
            <w:tcW w:w="1680" w:type="dxa"/>
            <w:tcBorders>
              <w:top w:val="single" w:sz="4" w:space="0" w:color="000000"/>
              <w:bottom w:val="single" w:sz="4" w:space="0" w:color="auto"/>
            </w:tcBorders>
            <w:shd w:val="clear" w:color="auto" w:fill="auto"/>
            <w:vAlign w:val="center"/>
          </w:tcPr>
          <w:p>
            <w:pPr>
              <w:tabs>
                <w:tab w:val="left" w:pos="432"/>
                <w:tab w:val="left" w:pos="980"/>
              </w:tabs>
              <w:jc w:val="center"/>
              <w:rPr>
                <w:rFonts w:ascii="Arial" w:hAnsi="Arial" w:cs="Arial"/>
                <w:b/>
                <w:sz w:val="20"/>
                <w:szCs w:val="20"/>
              </w:rPr>
            </w:pPr>
            <w:r>
              <w:rPr>
                <w:rFonts w:ascii="Arial" w:hAnsi="Arial" w:cs="Arial"/>
                <w:b/>
                <w:sz w:val="20"/>
                <w:szCs w:val="20"/>
              </w:rPr>
              <w:t>2017</w:t>
            </w:r>
          </w:p>
        </w:tc>
        <w:tc>
          <w:tcPr>
            <w:tcW w:w="1680" w:type="dxa"/>
            <w:tcBorders>
              <w:top w:val="single" w:sz="4" w:space="0" w:color="000000"/>
              <w:bottom w:val="single" w:sz="4" w:space="0" w:color="auto"/>
            </w:tcBorders>
            <w:shd w:val="clear" w:color="auto" w:fill="auto"/>
            <w:vAlign w:val="center"/>
          </w:tcPr>
          <w:p>
            <w:pPr>
              <w:tabs>
                <w:tab w:val="left" w:pos="432"/>
                <w:tab w:val="left" w:pos="980"/>
              </w:tabs>
              <w:jc w:val="center"/>
              <w:rPr>
                <w:rFonts w:ascii="Arial" w:hAnsi="Arial" w:cs="Arial"/>
                <w:b/>
                <w:sz w:val="20"/>
                <w:szCs w:val="20"/>
              </w:rPr>
            </w:pPr>
            <w:r>
              <w:rPr>
                <w:rFonts w:ascii="Arial" w:hAnsi="Arial" w:cs="Arial"/>
                <w:b/>
                <w:sz w:val="20"/>
                <w:szCs w:val="20"/>
              </w:rPr>
              <w:t>2016</w:t>
            </w:r>
          </w:p>
        </w:tc>
        <w:tc>
          <w:tcPr>
            <w:tcW w:w="1680" w:type="dxa"/>
            <w:tcBorders>
              <w:top w:val="single" w:sz="4" w:space="0" w:color="000000"/>
              <w:bottom w:val="single" w:sz="4" w:space="0" w:color="auto"/>
            </w:tcBorders>
            <w:shd w:val="clear" w:color="auto" w:fill="auto"/>
            <w:vAlign w:val="center"/>
          </w:tcPr>
          <w:p>
            <w:pPr>
              <w:jc w:val="center"/>
              <w:rPr>
                <w:rFonts w:ascii="Arial" w:hAnsi="Arial" w:cs="Arial"/>
                <w:b/>
                <w:sz w:val="20"/>
                <w:szCs w:val="20"/>
              </w:rPr>
            </w:pPr>
            <w:r>
              <w:rPr>
                <w:rFonts w:ascii="Arial" w:hAnsi="Arial" w:cs="Arial"/>
                <w:b/>
                <w:sz w:val="20"/>
                <w:szCs w:val="20"/>
              </w:rPr>
              <w:t>Increase (Decrease)</w:t>
            </w:r>
          </w:p>
        </w:tc>
      </w:tr>
      <w:tr>
        <w:trPr>
          <w:trHeight w:val="368"/>
        </w:trPr>
        <w:tc>
          <w:tcPr>
            <w:tcW w:w="3600" w:type="dxa"/>
            <w:tcBorders>
              <w:top w:val="single" w:sz="4" w:space="0" w:color="auto"/>
            </w:tcBorders>
            <w:shd w:val="clear" w:color="auto" w:fill="auto"/>
            <w:vAlign w:val="bottom"/>
          </w:tcPr>
          <w:p>
            <w:pPr>
              <w:jc w:val="both"/>
              <w:rPr>
                <w:rFonts w:ascii="Arial" w:hAnsi="Arial" w:cs="Arial"/>
                <w:sz w:val="20"/>
                <w:szCs w:val="20"/>
              </w:rPr>
            </w:pPr>
            <w:r>
              <w:rPr>
                <w:rFonts w:ascii="Arial" w:hAnsi="Arial" w:cs="Arial"/>
                <w:sz w:val="20"/>
                <w:szCs w:val="20"/>
              </w:rPr>
              <w:t>Income</w:t>
            </w:r>
          </w:p>
        </w:tc>
        <w:tc>
          <w:tcPr>
            <w:tcW w:w="1680" w:type="dxa"/>
            <w:tcBorders>
              <w:top w:val="single" w:sz="4" w:space="0" w:color="auto"/>
            </w:tcBorders>
            <w:shd w:val="clear" w:color="auto" w:fill="auto"/>
            <w:vAlign w:val="bottom"/>
          </w:tcPr>
          <w:p>
            <w:pPr>
              <w:jc w:val="right"/>
              <w:rPr>
                <w:rFonts w:ascii="Arial" w:hAnsi="Arial" w:cs="Arial"/>
                <w:sz w:val="20"/>
                <w:szCs w:val="20"/>
              </w:rPr>
            </w:pPr>
            <w:r>
              <w:rPr>
                <w:rFonts w:ascii="Arial" w:hAnsi="Arial" w:cs="Arial"/>
                <w:sz w:val="20"/>
                <w:szCs w:val="20"/>
              </w:rPr>
              <w:t>521,641,520</w:t>
            </w:r>
          </w:p>
        </w:tc>
        <w:tc>
          <w:tcPr>
            <w:tcW w:w="1680" w:type="dxa"/>
            <w:tcBorders>
              <w:top w:val="single" w:sz="4" w:space="0" w:color="auto"/>
            </w:tcBorders>
            <w:shd w:val="clear" w:color="auto" w:fill="auto"/>
            <w:vAlign w:val="bottom"/>
          </w:tcPr>
          <w:p>
            <w:pPr>
              <w:jc w:val="right"/>
              <w:rPr>
                <w:rFonts w:ascii="Arial" w:hAnsi="Arial" w:cs="Arial"/>
                <w:sz w:val="20"/>
                <w:szCs w:val="20"/>
              </w:rPr>
            </w:pPr>
            <w:r>
              <w:rPr>
                <w:rFonts w:ascii="Arial" w:hAnsi="Arial" w:cs="Arial"/>
                <w:sz w:val="20"/>
                <w:szCs w:val="20"/>
              </w:rPr>
              <w:t>579,885,587</w:t>
            </w:r>
          </w:p>
        </w:tc>
        <w:tc>
          <w:tcPr>
            <w:tcW w:w="1680" w:type="dxa"/>
            <w:tcBorders>
              <w:top w:val="single" w:sz="4" w:space="0" w:color="auto"/>
            </w:tcBorders>
            <w:shd w:val="clear" w:color="auto" w:fill="auto"/>
            <w:vAlign w:val="bottom"/>
          </w:tcPr>
          <w:p>
            <w:pPr>
              <w:jc w:val="right"/>
              <w:rPr>
                <w:rFonts w:ascii="Arial" w:hAnsi="Arial" w:cs="Arial"/>
                <w:sz w:val="20"/>
                <w:szCs w:val="20"/>
              </w:rPr>
            </w:pPr>
            <w:r>
              <w:rPr>
                <w:rFonts w:ascii="Arial" w:hAnsi="Arial" w:cs="Arial"/>
                <w:sz w:val="20"/>
                <w:szCs w:val="20"/>
              </w:rPr>
              <w:t>(58,244,067)</w:t>
            </w:r>
          </w:p>
        </w:tc>
      </w:tr>
      <w:tr>
        <w:trPr>
          <w:trHeight w:val="195"/>
        </w:trPr>
        <w:tc>
          <w:tcPr>
            <w:tcW w:w="3600" w:type="dxa"/>
            <w:shd w:val="clear" w:color="auto" w:fill="auto"/>
          </w:tcPr>
          <w:p>
            <w:pPr>
              <w:snapToGrid w:val="0"/>
              <w:jc w:val="both"/>
              <w:rPr>
                <w:rFonts w:ascii="Arial" w:hAnsi="Arial" w:cs="Arial"/>
                <w:sz w:val="20"/>
                <w:szCs w:val="20"/>
              </w:rPr>
            </w:pPr>
            <w:r>
              <w:rPr>
                <w:rFonts w:ascii="Arial" w:hAnsi="Arial" w:cs="Arial"/>
                <w:sz w:val="20"/>
                <w:szCs w:val="20"/>
              </w:rPr>
              <w:t>Expenses</w:t>
            </w:r>
          </w:p>
        </w:tc>
        <w:tc>
          <w:tcPr>
            <w:tcW w:w="1680" w:type="dxa"/>
            <w:shd w:val="clear" w:color="auto" w:fill="auto"/>
            <w:vAlign w:val="bottom"/>
          </w:tcPr>
          <w:p>
            <w:pPr>
              <w:jc w:val="right"/>
              <w:rPr>
                <w:rFonts w:ascii="Arial" w:hAnsi="Arial" w:cs="Arial"/>
                <w:sz w:val="20"/>
                <w:szCs w:val="20"/>
              </w:rPr>
            </w:pPr>
            <w:r>
              <w:rPr>
                <w:rFonts w:ascii="Arial" w:hAnsi="Arial" w:cs="Arial"/>
                <w:sz w:val="20"/>
                <w:szCs w:val="20"/>
              </w:rPr>
              <w:t>114,646,504</w:t>
            </w:r>
          </w:p>
        </w:tc>
        <w:tc>
          <w:tcPr>
            <w:tcW w:w="1680" w:type="dxa"/>
            <w:shd w:val="clear" w:color="auto" w:fill="auto"/>
            <w:vAlign w:val="bottom"/>
          </w:tcPr>
          <w:p>
            <w:pPr>
              <w:jc w:val="right"/>
              <w:rPr>
                <w:rFonts w:ascii="Arial" w:hAnsi="Arial" w:cs="Arial"/>
                <w:sz w:val="20"/>
                <w:szCs w:val="20"/>
              </w:rPr>
            </w:pPr>
            <w:r>
              <w:rPr>
                <w:rFonts w:ascii="Arial" w:hAnsi="Arial" w:cs="Arial"/>
                <w:sz w:val="20"/>
                <w:szCs w:val="20"/>
              </w:rPr>
              <w:t>361,436,479</w:t>
            </w:r>
          </w:p>
        </w:tc>
        <w:tc>
          <w:tcPr>
            <w:tcW w:w="1680" w:type="dxa"/>
            <w:shd w:val="clear" w:color="auto" w:fill="auto"/>
            <w:vAlign w:val="bottom"/>
          </w:tcPr>
          <w:p>
            <w:pPr>
              <w:jc w:val="right"/>
              <w:rPr>
                <w:rFonts w:ascii="Arial" w:hAnsi="Arial" w:cs="Arial"/>
                <w:sz w:val="20"/>
                <w:szCs w:val="20"/>
              </w:rPr>
            </w:pPr>
            <w:r>
              <w:rPr>
                <w:rFonts w:ascii="Arial" w:hAnsi="Arial" w:cs="Arial"/>
                <w:sz w:val="20"/>
                <w:szCs w:val="20"/>
              </w:rPr>
              <w:t>(246,789,975)</w:t>
            </w:r>
          </w:p>
        </w:tc>
      </w:tr>
      <w:tr>
        <w:trPr>
          <w:trHeight w:val="80"/>
        </w:trPr>
        <w:tc>
          <w:tcPr>
            <w:tcW w:w="3600" w:type="dxa"/>
            <w:tcBorders>
              <w:bottom w:val="single" w:sz="4" w:space="0" w:color="auto"/>
            </w:tcBorders>
            <w:shd w:val="clear" w:color="auto" w:fill="auto"/>
          </w:tcPr>
          <w:p>
            <w:pPr>
              <w:rPr>
                <w:rFonts w:ascii="Arial" w:hAnsi="Arial" w:cs="Arial"/>
                <w:sz w:val="20"/>
                <w:szCs w:val="20"/>
              </w:rPr>
            </w:pPr>
            <w:r>
              <w:rPr>
                <w:rFonts w:ascii="Arial" w:hAnsi="Arial" w:cs="Arial"/>
                <w:sz w:val="20"/>
                <w:szCs w:val="20"/>
              </w:rPr>
              <w:t>Other comprehensive income</w:t>
            </w:r>
          </w:p>
        </w:tc>
        <w:tc>
          <w:tcPr>
            <w:tcW w:w="1680" w:type="dxa"/>
            <w:tcBorders>
              <w:bottom w:val="single" w:sz="4" w:space="0" w:color="auto"/>
            </w:tcBorders>
            <w:shd w:val="clear" w:color="auto" w:fill="auto"/>
            <w:vAlign w:val="bottom"/>
          </w:tcPr>
          <w:p>
            <w:pPr>
              <w:jc w:val="right"/>
              <w:rPr>
                <w:rFonts w:ascii="Arial" w:hAnsi="Arial" w:cs="Arial"/>
                <w:sz w:val="20"/>
                <w:szCs w:val="20"/>
              </w:rPr>
            </w:pPr>
            <w:r>
              <w:rPr>
                <w:rFonts w:ascii="Arial" w:hAnsi="Arial" w:cs="Arial"/>
                <w:sz w:val="20"/>
                <w:szCs w:val="20"/>
              </w:rPr>
              <w:t>2,325,955</w:t>
            </w:r>
          </w:p>
        </w:tc>
        <w:tc>
          <w:tcPr>
            <w:tcW w:w="1680" w:type="dxa"/>
            <w:tcBorders>
              <w:bottom w:val="single" w:sz="4" w:space="0" w:color="auto"/>
            </w:tcBorders>
            <w:shd w:val="clear" w:color="auto" w:fill="auto"/>
            <w:vAlign w:val="bottom"/>
          </w:tcPr>
          <w:p>
            <w:pPr>
              <w:jc w:val="right"/>
              <w:rPr>
                <w:rFonts w:ascii="Arial" w:hAnsi="Arial" w:cs="Arial"/>
                <w:sz w:val="20"/>
                <w:szCs w:val="20"/>
              </w:rPr>
            </w:pPr>
            <w:r>
              <w:rPr>
                <w:rFonts w:ascii="Arial" w:hAnsi="Arial" w:cs="Arial"/>
                <w:sz w:val="20"/>
                <w:szCs w:val="20"/>
              </w:rPr>
              <w:t>552,347</w:t>
            </w:r>
          </w:p>
        </w:tc>
        <w:tc>
          <w:tcPr>
            <w:tcW w:w="1680" w:type="dxa"/>
            <w:tcBorders>
              <w:bottom w:val="single" w:sz="4" w:space="0" w:color="auto"/>
            </w:tcBorders>
            <w:shd w:val="clear" w:color="auto" w:fill="auto"/>
            <w:vAlign w:val="bottom"/>
          </w:tcPr>
          <w:p>
            <w:pPr>
              <w:jc w:val="right"/>
              <w:rPr>
                <w:rFonts w:ascii="Arial" w:hAnsi="Arial" w:cs="Arial"/>
                <w:sz w:val="20"/>
                <w:szCs w:val="20"/>
              </w:rPr>
            </w:pPr>
            <w:r>
              <w:rPr>
                <w:rFonts w:ascii="Arial" w:hAnsi="Arial" w:cs="Arial"/>
                <w:sz w:val="20"/>
                <w:szCs w:val="20"/>
              </w:rPr>
              <w:t>1,773,608</w:t>
            </w:r>
          </w:p>
        </w:tc>
      </w:tr>
      <w:tr>
        <w:trPr>
          <w:trHeight w:val="331"/>
        </w:trPr>
        <w:tc>
          <w:tcPr>
            <w:tcW w:w="3600" w:type="dxa"/>
            <w:tcBorders>
              <w:top w:val="single" w:sz="4" w:space="0" w:color="auto"/>
              <w:bottom w:val="double" w:sz="4" w:space="0" w:color="auto"/>
            </w:tcBorders>
            <w:shd w:val="clear" w:color="auto" w:fill="auto"/>
            <w:vAlign w:val="bottom"/>
          </w:tcPr>
          <w:p>
            <w:pPr>
              <w:rPr>
                <w:rFonts w:ascii="Arial" w:hAnsi="Arial" w:cs="Arial"/>
                <w:sz w:val="20"/>
                <w:szCs w:val="20"/>
              </w:rPr>
            </w:pPr>
            <w:r>
              <w:rPr>
                <w:rFonts w:ascii="Arial" w:hAnsi="Arial" w:cs="Arial"/>
                <w:sz w:val="20"/>
                <w:szCs w:val="20"/>
              </w:rPr>
              <w:t>Total comprehensive income</w:t>
            </w:r>
          </w:p>
        </w:tc>
        <w:tc>
          <w:tcPr>
            <w:tcW w:w="1680" w:type="dxa"/>
            <w:tcBorders>
              <w:top w:val="single" w:sz="4" w:space="0" w:color="auto"/>
              <w:bottom w:val="double" w:sz="4" w:space="0" w:color="auto"/>
            </w:tcBorders>
            <w:shd w:val="clear" w:color="auto" w:fill="auto"/>
            <w:vAlign w:val="bottom"/>
          </w:tcPr>
          <w:p>
            <w:pPr>
              <w:jc w:val="right"/>
              <w:rPr>
                <w:rFonts w:ascii="Arial" w:hAnsi="Arial" w:cs="Arial"/>
                <w:sz w:val="20"/>
                <w:szCs w:val="20"/>
              </w:rPr>
            </w:pPr>
            <w:r>
              <w:rPr>
                <w:rFonts w:ascii="Arial" w:hAnsi="Arial" w:cs="Arial"/>
                <w:sz w:val="20"/>
                <w:szCs w:val="20"/>
              </w:rPr>
              <w:t>409,320,971</w:t>
            </w:r>
          </w:p>
        </w:tc>
        <w:tc>
          <w:tcPr>
            <w:tcW w:w="1680" w:type="dxa"/>
            <w:tcBorders>
              <w:top w:val="single" w:sz="4" w:space="0" w:color="auto"/>
              <w:bottom w:val="double" w:sz="4" w:space="0" w:color="auto"/>
            </w:tcBorders>
            <w:shd w:val="clear" w:color="auto" w:fill="auto"/>
            <w:vAlign w:val="bottom"/>
          </w:tcPr>
          <w:p>
            <w:pPr>
              <w:jc w:val="right"/>
              <w:rPr>
                <w:rFonts w:ascii="Arial" w:hAnsi="Arial" w:cs="Arial"/>
                <w:sz w:val="20"/>
                <w:szCs w:val="20"/>
              </w:rPr>
            </w:pPr>
            <w:r>
              <w:rPr>
                <w:rFonts w:ascii="Arial" w:hAnsi="Arial" w:cs="Arial"/>
                <w:sz w:val="20"/>
                <w:szCs w:val="20"/>
              </w:rPr>
              <w:t>219,001,455</w:t>
            </w:r>
          </w:p>
        </w:tc>
        <w:tc>
          <w:tcPr>
            <w:tcW w:w="1680" w:type="dxa"/>
            <w:tcBorders>
              <w:top w:val="single" w:sz="4" w:space="0" w:color="auto"/>
              <w:bottom w:val="double" w:sz="4" w:space="0" w:color="auto"/>
            </w:tcBorders>
            <w:shd w:val="clear" w:color="auto" w:fill="auto"/>
            <w:vAlign w:val="bottom"/>
          </w:tcPr>
          <w:p>
            <w:pPr>
              <w:jc w:val="right"/>
              <w:rPr>
                <w:rFonts w:ascii="Arial" w:hAnsi="Arial" w:cs="Arial"/>
                <w:sz w:val="20"/>
                <w:szCs w:val="20"/>
              </w:rPr>
            </w:pPr>
            <w:r>
              <w:rPr>
                <w:rFonts w:ascii="Arial" w:hAnsi="Arial" w:cs="Arial"/>
                <w:sz w:val="20"/>
                <w:szCs w:val="20"/>
              </w:rPr>
              <w:t>190,319,516</w:t>
            </w:r>
          </w:p>
        </w:tc>
      </w:tr>
    </w:tbl>
    <w:p>
      <w:pPr>
        <w:tabs>
          <w:tab w:val="left" w:pos="720"/>
        </w:tabs>
        <w:jc w:val="both"/>
        <w:rPr>
          <w:rFonts w:ascii="Arial" w:hAnsi="Arial" w:cs="Arial"/>
          <w:b/>
          <w:sz w:val="22"/>
          <w:szCs w:val="22"/>
        </w:rPr>
      </w:pPr>
    </w:p>
    <w:p>
      <w:pPr>
        <w:numPr>
          <w:ilvl w:val="0"/>
          <w:numId w:val="25"/>
        </w:numPr>
        <w:tabs>
          <w:tab w:val="left" w:pos="720"/>
        </w:tabs>
        <w:ind w:left="720"/>
        <w:jc w:val="both"/>
        <w:rPr>
          <w:rFonts w:ascii="Arial" w:hAnsi="Arial" w:cs="Arial"/>
          <w:sz w:val="22"/>
          <w:szCs w:val="22"/>
        </w:rPr>
      </w:pPr>
      <w:r>
        <w:rPr>
          <w:rFonts w:ascii="Arial" w:hAnsi="Arial" w:cs="Arial"/>
          <w:sz w:val="22"/>
          <w:szCs w:val="22"/>
        </w:rPr>
        <w:t>Comparative Corporate Operating Budget</w:t>
      </w:r>
    </w:p>
    <w:p>
      <w:pPr>
        <w:rPr>
          <w:rFonts w:ascii="Arial" w:hAnsi="Arial" w:cs="Arial"/>
          <w:sz w:val="22"/>
          <w:szCs w:val="22"/>
        </w:rPr>
      </w:pPr>
    </w:p>
    <w:p>
      <w:pPr>
        <w:pStyle w:val="NoSpacing"/>
        <w:jc w:val="both"/>
        <w:rPr>
          <w:rFonts w:ascii="Arial" w:hAnsi="Arial" w:cs="Arial"/>
          <w:sz w:val="22"/>
          <w:szCs w:val="22"/>
        </w:rPr>
      </w:pPr>
      <w:r>
        <w:rPr>
          <w:rFonts w:ascii="Arial" w:hAnsi="Arial" w:cs="Arial"/>
          <w:sz w:val="22"/>
          <w:szCs w:val="22"/>
        </w:rPr>
        <w:t>The System’s Cash Flow Budget or the Corporate Operating Budget for CY 2017 and CY 2016 which were approved per Board Resolution Nos. 08-2016 and 01-2016 dated December 23, 2016 and January 12, 2016 are broken down as follows:</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W w:w="8573" w:type="dxa"/>
        <w:jc w:val="center"/>
        <w:tblLayout w:type="fixed"/>
        <w:tblLook w:val="0000" w:firstRow="0" w:lastRow="0" w:firstColumn="0" w:lastColumn="0" w:noHBand="0" w:noVBand="0"/>
      </w:tblPr>
      <w:tblGrid>
        <w:gridCol w:w="2317"/>
        <w:gridCol w:w="1080"/>
        <w:gridCol w:w="1080"/>
        <w:gridCol w:w="1080"/>
        <w:gridCol w:w="990"/>
        <w:gridCol w:w="990"/>
        <w:gridCol w:w="1036"/>
      </w:tblGrid>
      <w:tr>
        <w:trPr>
          <w:trHeight w:val="287"/>
          <w:jc w:val="center"/>
        </w:trPr>
        <w:tc>
          <w:tcPr>
            <w:tcW w:w="2317" w:type="dxa"/>
            <w:vMerge w:val="restart"/>
            <w:tcBorders>
              <w:top w:val="single" w:sz="4" w:space="0" w:color="000000"/>
            </w:tcBorders>
            <w:shd w:val="clear" w:color="auto" w:fill="auto"/>
            <w:vAlign w:val="center"/>
          </w:tcPr>
          <w:p>
            <w:pPr>
              <w:jc w:val="center"/>
              <w:rPr>
                <w:rFonts w:ascii="Arial" w:hAnsi="Arial" w:cs="Arial"/>
                <w:sz w:val="20"/>
                <w:szCs w:val="20"/>
              </w:rPr>
            </w:pPr>
            <w:r>
              <w:rPr>
                <w:rFonts w:ascii="Arial" w:hAnsi="Arial" w:cs="Arial"/>
                <w:b/>
                <w:sz w:val="20"/>
                <w:szCs w:val="20"/>
              </w:rPr>
              <w:lastRenderedPageBreak/>
              <w:t>Particulars</w:t>
            </w:r>
          </w:p>
        </w:tc>
        <w:tc>
          <w:tcPr>
            <w:tcW w:w="2160" w:type="dxa"/>
            <w:gridSpan w:val="2"/>
            <w:tcBorders>
              <w:top w:val="single" w:sz="4" w:space="0" w:color="000000"/>
            </w:tcBorders>
            <w:shd w:val="clear" w:color="auto" w:fill="auto"/>
          </w:tcPr>
          <w:p>
            <w:pPr>
              <w:jc w:val="center"/>
              <w:rPr>
                <w:rFonts w:ascii="Arial" w:hAnsi="Arial" w:cs="Arial"/>
                <w:sz w:val="20"/>
                <w:szCs w:val="20"/>
              </w:rPr>
            </w:pPr>
            <w:r>
              <w:rPr>
                <w:rFonts w:ascii="Arial" w:hAnsi="Arial" w:cs="Arial"/>
                <w:b/>
                <w:sz w:val="20"/>
                <w:szCs w:val="20"/>
              </w:rPr>
              <w:t>Approved Budget</w:t>
            </w:r>
          </w:p>
        </w:tc>
        <w:tc>
          <w:tcPr>
            <w:tcW w:w="2070" w:type="dxa"/>
            <w:gridSpan w:val="2"/>
            <w:tcBorders>
              <w:top w:val="single" w:sz="4" w:space="0" w:color="000000"/>
            </w:tcBorders>
          </w:tcPr>
          <w:p>
            <w:pPr>
              <w:jc w:val="center"/>
              <w:rPr>
                <w:rFonts w:ascii="Arial" w:hAnsi="Arial" w:cs="Arial"/>
                <w:b/>
                <w:sz w:val="20"/>
                <w:szCs w:val="20"/>
              </w:rPr>
            </w:pPr>
            <w:r>
              <w:rPr>
                <w:rFonts w:ascii="Arial" w:hAnsi="Arial" w:cs="Arial"/>
                <w:b/>
                <w:sz w:val="20"/>
                <w:szCs w:val="20"/>
              </w:rPr>
              <w:t>Utilization</w:t>
            </w:r>
          </w:p>
        </w:tc>
        <w:tc>
          <w:tcPr>
            <w:tcW w:w="2026" w:type="dxa"/>
            <w:gridSpan w:val="2"/>
            <w:tcBorders>
              <w:top w:val="single" w:sz="4" w:space="0" w:color="000000"/>
            </w:tcBorders>
          </w:tcPr>
          <w:p>
            <w:pPr>
              <w:jc w:val="center"/>
              <w:rPr>
                <w:rFonts w:ascii="Arial" w:hAnsi="Arial" w:cs="Arial"/>
                <w:sz w:val="20"/>
                <w:szCs w:val="20"/>
              </w:rPr>
            </w:pPr>
            <w:r>
              <w:rPr>
                <w:rFonts w:ascii="Arial" w:hAnsi="Arial" w:cs="Arial"/>
                <w:b/>
                <w:sz w:val="20"/>
                <w:szCs w:val="20"/>
              </w:rPr>
              <w:t>Variance</w:t>
            </w:r>
          </w:p>
        </w:tc>
      </w:tr>
      <w:tr>
        <w:trPr>
          <w:trHeight w:val="70"/>
          <w:jc w:val="center"/>
        </w:trPr>
        <w:tc>
          <w:tcPr>
            <w:tcW w:w="2317" w:type="dxa"/>
            <w:vMerge/>
            <w:shd w:val="clear" w:color="auto" w:fill="auto"/>
            <w:vAlign w:val="bottom"/>
          </w:tcPr>
          <w:p>
            <w:pPr>
              <w:rPr>
                <w:rFonts w:ascii="Arial" w:hAnsi="Arial" w:cs="Arial"/>
                <w:sz w:val="20"/>
                <w:szCs w:val="20"/>
              </w:rPr>
            </w:pPr>
          </w:p>
        </w:tc>
        <w:tc>
          <w:tcPr>
            <w:tcW w:w="1080" w:type="dxa"/>
            <w:shd w:val="clear" w:color="auto" w:fill="auto"/>
            <w:vAlign w:val="bottom"/>
          </w:tcPr>
          <w:p>
            <w:pPr>
              <w:jc w:val="center"/>
              <w:rPr>
                <w:rFonts w:ascii="Arial" w:hAnsi="Arial" w:cs="Arial"/>
                <w:b/>
                <w:sz w:val="20"/>
                <w:szCs w:val="20"/>
              </w:rPr>
            </w:pPr>
            <w:r>
              <w:rPr>
                <w:rFonts w:ascii="Arial" w:hAnsi="Arial" w:cs="Arial"/>
                <w:b/>
                <w:sz w:val="20"/>
                <w:szCs w:val="20"/>
              </w:rPr>
              <w:t>2017</w:t>
            </w:r>
          </w:p>
        </w:tc>
        <w:tc>
          <w:tcPr>
            <w:tcW w:w="1080" w:type="dxa"/>
            <w:shd w:val="clear" w:color="auto" w:fill="auto"/>
            <w:vAlign w:val="bottom"/>
          </w:tcPr>
          <w:p>
            <w:pPr>
              <w:jc w:val="center"/>
              <w:rPr>
                <w:rFonts w:ascii="Arial" w:hAnsi="Arial" w:cs="Arial"/>
                <w:b/>
                <w:sz w:val="20"/>
                <w:szCs w:val="20"/>
              </w:rPr>
            </w:pPr>
            <w:r>
              <w:rPr>
                <w:rFonts w:ascii="Arial" w:hAnsi="Arial" w:cs="Arial"/>
                <w:b/>
                <w:sz w:val="20"/>
                <w:szCs w:val="20"/>
              </w:rPr>
              <w:t>2016</w:t>
            </w:r>
          </w:p>
        </w:tc>
        <w:tc>
          <w:tcPr>
            <w:tcW w:w="1080" w:type="dxa"/>
          </w:tcPr>
          <w:p>
            <w:pPr>
              <w:jc w:val="center"/>
              <w:rPr>
                <w:rFonts w:ascii="Arial" w:hAnsi="Arial" w:cs="Arial"/>
                <w:b/>
                <w:sz w:val="20"/>
                <w:szCs w:val="20"/>
              </w:rPr>
            </w:pPr>
            <w:r>
              <w:rPr>
                <w:rFonts w:ascii="Arial" w:hAnsi="Arial" w:cs="Arial"/>
                <w:b/>
                <w:sz w:val="20"/>
                <w:szCs w:val="20"/>
              </w:rPr>
              <w:t>2017</w:t>
            </w:r>
          </w:p>
        </w:tc>
        <w:tc>
          <w:tcPr>
            <w:tcW w:w="990" w:type="dxa"/>
          </w:tcPr>
          <w:p>
            <w:pPr>
              <w:jc w:val="center"/>
              <w:rPr>
                <w:rFonts w:ascii="Arial" w:hAnsi="Arial" w:cs="Arial"/>
                <w:b/>
                <w:sz w:val="20"/>
                <w:szCs w:val="20"/>
              </w:rPr>
            </w:pPr>
            <w:r>
              <w:rPr>
                <w:rFonts w:ascii="Arial" w:hAnsi="Arial" w:cs="Arial"/>
                <w:b/>
                <w:sz w:val="20"/>
                <w:szCs w:val="20"/>
              </w:rPr>
              <w:t>2016</w:t>
            </w:r>
          </w:p>
        </w:tc>
        <w:tc>
          <w:tcPr>
            <w:tcW w:w="990" w:type="dxa"/>
          </w:tcPr>
          <w:p>
            <w:pPr>
              <w:jc w:val="center"/>
              <w:rPr>
                <w:rFonts w:ascii="Arial" w:hAnsi="Arial" w:cs="Arial"/>
                <w:b/>
                <w:sz w:val="20"/>
                <w:szCs w:val="20"/>
              </w:rPr>
            </w:pPr>
            <w:r>
              <w:rPr>
                <w:rFonts w:ascii="Arial" w:hAnsi="Arial" w:cs="Arial"/>
                <w:b/>
                <w:sz w:val="20"/>
                <w:szCs w:val="20"/>
              </w:rPr>
              <w:t>2017</w:t>
            </w:r>
          </w:p>
        </w:tc>
        <w:tc>
          <w:tcPr>
            <w:tcW w:w="1036" w:type="dxa"/>
            <w:shd w:val="clear" w:color="auto" w:fill="auto"/>
            <w:vAlign w:val="bottom"/>
          </w:tcPr>
          <w:p>
            <w:pPr>
              <w:jc w:val="center"/>
              <w:rPr>
                <w:rFonts w:ascii="Arial" w:hAnsi="Arial" w:cs="Arial"/>
                <w:b/>
                <w:sz w:val="20"/>
                <w:szCs w:val="20"/>
              </w:rPr>
            </w:pPr>
            <w:r>
              <w:rPr>
                <w:rFonts w:ascii="Arial" w:hAnsi="Arial" w:cs="Arial"/>
                <w:b/>
                <w:sz w:val="20"/>
                <w:szCs w:val="20"/>
              </w:rPr>
              <w:t>2016</w:t>
            </w:r>
          </w:p>
        </w:tc>
      </w:tr>
      <w:tr>
        <w:trPr>
          <w:trHeight w:val="70"/>
          <w:jc w:val="center"/>
        </w:trPr>
        <w:tc>
          <w:tcPr>
            <w:tcW w:w="2317" w:type="dxa"/>
            <w:vMerge/>
            <w:tcBorders>
              <w:bottom w:val="single" w:sz="4" w:space="0" w:color="000000"/>
            </w:tcBorders>
            <w:shd w:val="clear" w:color="auto" w:fill="auto"/>
            <w:vAlign w:val="bottom"/>
          </w:tcPr>
          <w:p>
            <w:pPr>
              <w:rPr>
                <w:rFonts w:ascii="Arial" w:hAnsi="Arial" w:cs="Arial"/>
                <w:sz w:val="20"/>
                <w:szCs w:val="20"/>
              </w:rPr>
            </w:pPr>
          </w:p>
        </w:tc>
        <w:tc>
          <w:tcPr>
            <w:tcW w:w="6256" w:type="dxa"/>
            <w:gridSpan w:val="6"/>
            <w:tcBorders>
              <w:bottom w:val="single" w:sz="4" w:space="0" w:color="000000"/>
            </w:tcBorders>
            <w:shd w:val="clear" w:color="auto" w:fill="auto"/>
            <w:vAlign w:val="bottom"/>
          </w:tcPr>
          <w:p>
            <w:pPr>
              <w:jc w:val="center"/>
              <w:rPr>
                <w:rFonts w:ascii="Arial" w:hAnsi="Arial" w:cs="Arial"/>
                <w:b/>
                <w:sz w:val="20"/>
                <w:szCs w:val="20"/>
              </w:rPr>
            </w:pPr>
            <w:r>
              <w:rPr>
                <w:rFonts w:ascii="Arial" w:hAnsi="Arial" w:cs="Arial"/>
                <w:b/>
                <w:sz w:val="20"/>
                <w:szCs w:val="20"/>
              </w:rPr>
              <w:t>(in million pesos)</w:t>
            </w:r>
          </w:p>
        </w:tc>
      </w:tr>
      <w:tr>
        <w:trPr>
          <w:trHeight w:val="70"/>
          <w:jc w:val="center"/>
        </w:trPr>
        <w:tc>
          <w:tcPr>
            <w:tcW w:w="2317" w:type="dxa"/>
            <w:tcBorders>
              <w:top w:val="single" w:sz="4" w:space="0" w:color="000000"/>
            </w:tcBorders>
            <w:shd w:val="clear" w:color="auto" w:fill="auto"/>
            <w:vAlign w:val="bottom"/>
          </w:tcPr>
          <w:p>
            <w:pPr>
              <w:ind w:left="165" w:hanging="165"/>
              <w:rPr>
                <w:rFonts w:ascii="Arial" w:hAnsi="Arial" w:cs="Arial"/>
                <w:sz w:val="20"/>
                <w:szCs w:val="20"/>
              </w:rPr>
            </w:pPr>
          </w:p>
          <w:p>
            <w:pPr>
              <w:ind w:left="165" w:hanging="165"/>
              <w:rPr>
                <w:rFonts w:ascii="Arial" w:hAnsi="Arial" w:cs="Arial"/>
                <w:sz w:val="20"/>
                <w:szCs w:val="20"/>
              </w:rPr>
            </w:pPr>
            <w:r>
              <w:rPr>
                <w:rFonts w:ascii="Arial" w:hAnsi="Arial" w:cs="Arial"/>
                <w:sz w:val="20"/>
                <w:szCs w:val="20"/>
              </w:rPr>
              <w:t>Personnel services</w:t>
            </w:r>
          </w:p>
        </w:tc>
        <w:tc>
          <w:tcPr>
            <w:tcW w:w="1080" w:type="dxa"/>
            <w:tcBorders>
              <w:top w:val="single" w:sz="4" w:space="0" w:color="000000"/>
            </w:tcBorders>
            <w:shd w:val="clear" w:color="auto" w:fill="auto"/>
            <w:vAlign w:val="bottom"/>
          </w:tcPr>
          <w:p>
            <w:pPr>
              <w:jc w:val="right"/>
              <w:rPr>
                <w:rFonts w:ascii="Arial" w:hAnsi="Arial" w:cs="Arial"/>
                <w:sz w:val="20"/>
                <w:szCs w:val="20"/>
              </w:rPr>
            </w:pPr>
            <w:r>
              <w:rPr>
                <w:rFonts w:ascii="Arial" w:hAnsi="Arial" w:cs="Arial"/>
                <w:sz w:val="20"/>
                <w:szCs w:val="20"/>
              </w:rPr>
              <w:t>95.229</w:t>
            </w:r>
          </w:p>
        </w:tc>
        <w:tc>
          <w:tcPr>
            <w:tcW w:w="1080" w:type="dxa"/>
            <w:tcBorders>
              <w:top w:val="single" w:sz="4" w:space="0" w:color="000000"/>
            </w:tcBorders>
            <w:shd w:val="clear" w:color="auto" w:fill="auto"/>
            <w:vAlign w:val="bottom"/>
          </w:tcPr>
          <w:p>
            <w:pPr>
              <w:jc w:val="right"/>
              <w:rPr>
                <w:rFonts w:ascii="Arial" w:hAnsi="Arial" w:cs="Arial"/>
                <w:sz w:val="20"/>
                <w:szCs w:val="20"/>
              </w:rPr>
            </w:pPr>
            <w:r>
              <w:rPr>
                <w:rFonts w:ascii="Arial" w:hAnsi="Arial" w:cs="Arial"/>
                <w:sz w:val="20"/>
                <w:szCs w:val="20"/>
              </w:rPr>
              <w:t>246.403</w:t>
            </w:r>
          </w:p>
        </w:tc>
        <w:tc>
          <w:tcPr>
            <w:tcW w:w="1080" w:type="dxa"/>
            <w:tcBorders>
              <w:top w:val="single" w:sz="4" w:space="0" w:color="000000"/>
            </w:tcBorders>
            <w:vAlign w:val="bottom"/>
          </w:tcPr>
          <w:p>
            <w:pPr>
              <w:jc w:val="right"/>
              <w:rPr>
                <w:rFonts w:ascii="Arial" w:hAnsi="Arial" w:cs="Arial"/>
                <w:sz w:val="20"/>
                <w:szCs w:val="20"/>
              </w:rPr>
            </w:pPr>
            <w:r>
              <w:rPr>
                <w:rFonts w:ascii="Arial" w:hAnsi="Arial" w:cs="Arial"/>
                <w:sz w:val="20"/>
                <w:szCs w:val="20"/>
              </w:rPr>
              <w:t>84.879</w:t>
            </w:r>
          </w:p>
        </w:tc>
        <w:tc>
          <w:tcPr>
            <w:tcW w:w="990" w:type="dxa"/>
            <w:tcBorders>
              <w:top w:val="single" w:sz="4" w:space="0" w:color="000000"/>
            </w:tcBorders>
            <w:vAlign w:val="bottom"/>
          </w:tcPr>
          <w:p>
            <w:pPr>
              <w:jc w:val="right"/>
              <w:rPr>
                <w:rFonts w:ascii="Arial" w:hAnsi="Arial" w:cs="Arial"/>
                <w:sz w:val="20"/>
                <w:szCs w:val="20"/>
              </w:rPr>
            </w:pPr>
            <w:r>
              <w:rPr>
                <w:rFonts w:ascii="Arial" w:hAnsi="Arial" w:cs="Arial"/>
                <w:sz w:val="20"/>
                <w:szCs w:val="20"/>
              </w:rPr>
              <w:t>90.005</w:t>
            </w:r>
          </w:p>
        </w:tc>
        <w:tc>
          <w:tcPr>
            <w:tcW w:w="990" w:type="dxa"/>
            <w:tcBorders>
              <w:top w:val="single" w:sz="4" w:space="0" w:color="000000"/>
            </w:tcBorders>
            <w:vAlign w:val="bottom"/>
          </w:tcPr>
          <w:p>
            <w:pPr>
              <w:jc w:val="right"/>
              <w:rPr>
                <w:rFonts w:ascii="Arial" w:hAnsi="Arial" w:cs="Arial"/>
                <w:sz w:val="20"/>
                <w:szCs w:val="20"/>
              </w:rPr>
            </w:pPr>
            <w:r>
              <w:rPr>
                <w:rFonts w:ascii="Arial" w:hAnsi="Arial" w:cs="Arial"/>
                <w:sz w:val="20"/>
                <w:szCs w:val="20"/>
              </w:rPr>
              <w:t>10.350</w:t>
            </w:r>
          </w:p>
        </w:tc>
        <w:tc>
          <w:tcPr>
            <w:tcW w:w="1036" w:type="dxa"/>
            <w:tcBorders>
              <w:top w:val="single" w:sz="4" w:space="0" w:color="000000"/>
            </w:tcBorders>
            <w:shd w:val="clear" w:color="auto" w:fill="auto"/>
            <w:vAlign w:val="bottom"/>
          </w:tcPr>
          <w:p>
            <w:pPr>
              <w:jc w:val="right"/>
              <w:rPr>
                <w:rFonts w:ascii="Arial" w:hAnsi="Arial" w:cs="Arial"/>
                <w:sz w:val="20"/>
                <w:szCs w:val="20"/>
              </w:rPr>
            </w:pPr>
            <w:r>
              <w:rPr>
                <w:rFonts w:ascii="Arial" w:hAnsi="Arial" w:cs="Arial"/>
                <w:sz w:val="20"/>
                <w:szCs w:val="20"/>
              </w:rPr>
              <w:t>156.398</w:t>
            </w:r>
          </w:p>
        </w:tc>
      </w:tr>
      <w:tr>
        <w:trPr>
          <w:trHeight w:val="80"/>
          <w:jc w:val="center"/>
        </w:trPr>
        <w:tc>
          <w:tcPr>
            <w:tcW w:w="2317" w:type="dxa"/>
            <w:shd w:val="clear" w:color="auto" w:fill="auto"/>
            <w:vAlign w:val="bottom"/>
          </w:tcPr>
          <w:p>
            <w:pPr>
              <w:ind w:left="165" w:hanging="165"/>
              <w:rPr>
                <w:rFonts w:ascii="Arial" w:hAnsi="Arial" w:cs="Arial"/>
                <w:sz w:val="20"/>
                <w:szCs w:val="20"/>
              </w:rPr>
            </w:pPr>
            <w:r>
              <w:rPr>
                <w:rFonts w:ascii="Arial" w:hAnsi="Arial" w:cs="Arial"/>
                <w:sz w:val="20"/>
                <w:szCs w:val="20"/>
              </w:rPr>
              <w:t>Maintenance and other operating expenses</w:t>
            </w:r>
          </w:p>
        </w:tc>
        <w:tc>
          <w:tcPr>
            <w:tcW w:w="1080" w:type="dxa"/>
            <w:shd w:val="clear" w:color="auto" w:fill="auto"/>
            <w:vAlign w:val="bottom"/>
          </w:tcPr>
          <w:p>
            <w:pPr>
              <w:tabs>
                <w:tab w:val="center" w:pos="1557"/>
                <w:tab w:val="right" w:pos="3114"/>
              </w:tabs>
              <w:jc w:val="right"/>
              <w:rPr>
                <w:rFonts w:ascii="Arial" w:hAnsi="Arial" w:cs="Arial"/>
                <w:sz w:val="20"/>
                <w:szCs w:val="20"/>
              </w:rPr>
            </w:pPr>
            <w:r>
              <w:rPr>
                <w:rFonts w:ascii="Arial" w:hAnsi="Arial" w:cs="Arial"/>
                <w:sz w:val="20"/>
                <w:szCs w:val="20"/>
              </w:rPr>
              <w:t>136.261</w:t>
            </w:r>
          </w:p>
        </w:tc>
        <w:tc>
          <w:tcPr>
            <w:tcW w:w="1080" w:type="dxa"/>
            <w:shd w:val="clear" w:color="auto" w:fill="auto"/>
            <w:vAlign w:val="bottom"/>
          </w:tcPr>
          <w:p>
            <w:pPr>
              <w:tabs>
                <w:tab w:val="center" w:pos="1557"/>
                <w:tab w:val="right" w:pos="3114"/>
              </w:tabs>
              <w:jc w:val="right"/>
              <w:rPr>
                <w:rFonts w:ascii="Arial" w:hAnsi="Arial" w:cs="Arial"/>
                <w:sz w:val="20"/>
                <w:szCs w:val="20"/>
              </w:rPr>
            </w:pPr>
            <w:r>
              <w:rPr>
                <w:rFonts w:ascii="Arial" w:hAnsi="Arial" w:cs="Arial"/>
                <w:sz w:val="20"/>
                <w:szCs w:val="20"/>
              </w:rPr>
              <w:t>136.793</w:t>
            </w:r>
          </w:p>
        </w:tc>
        <w:tc>
          <w:tcPr>
            <w:tcW w:w="1080" w:type="dxa"/>
            <w:vAlign w:val="bottom"/>
          </w:tcPr>
          <w:p>
            <w:pPr>
              <w:tabs>
                <w:tab w:val="center" w:pos="1557"/>
                <w:tab w:val="right" w:pos="3114"/>
              </w:tabs>
              <w:jc w:val="right"/>
              <w:rPr>
                <w:rFonts w:ascii="Arial" w:hAnsi="Arial" w:cs="Arial"/>
                <w:sz w:val="20"/>
                <w:szCs w:val="20"/>
              </w:rPr>
            </w:pPr>
            <w:r>
              <w:rPr>
                <w:rFonts w:ascii="Arial" w:hAnsi="Arial" w:cs="Arial"/>
                <w:sz w:val="20"/>
                <w:szCs w:val="20"/>
              </w:rPr>
              <w:t>29.767</w:t>
            </w:r>
          </w:p>
        </w:tc>
        <w:tc>
          <w:tcPr>
            <w:tcW w:w="990" w:type="dxa"/>
            <w:vAlign w:val="bottom"/>
          </w:tcPr>
          <w:p>
            <w:pPr>
              <w:tabs>
                <w:tab w:val="center" w:pos="1557"/>
                <w:tab w:val="right" w:pos="3114"/>
              </w:tabs>
              <w:jc w:val="right"/>
              <w:rPr>
                <w:rFonts w:ascii="Arial" w:hAnsi="Arial" w:cs="Arial"/>
                <w:sz w:val="20"/>
                <w:szCs w:val="20"/>
              </w:rPr>
            </w:pPr>
            <w:r>
              <w:rPr>
                <w:rFonts w:ascii="Arial" w:hAnsi="Arial" w:cs="Arial"/>
                <w:sz w:val="20"/>
                <w:szCs w:val="20"/>
              </w:rPr>
              <w:t>100.892</w:t>
            </w:r>
          </w:p>
        </w:tc>
        <w:tc>
          <w:tcPr>
            <w:tcW w:w="990" w:type="dxa"/>
            <w:vAlign w:val="bottom"/>
          </w:tcPr>
          <w:p>
            <w:pPr>
              <w:tabs>
                <w:tab w:val="center" w:pos="1557"/>
                <w:tab w:val="right" w:pos="3114"/>
              </w:tabs>
              <w:jc w:val="right"/>
              <w:rPr>
                <w:rFonts w:ascii="Arial" w:hAnsi="Arial" w:cs="Arial"/>
                <w:sz w:val="20"/>
                <w:szCs w:val="20"/>
              </w:rPr>
            </w:pPr>
            <w:r>
              <w:rPr>
                <w:rFonts w:ascii="Arial" w:hAnsi="Arial" w:cs="Arial"/>
                <w:sz w:val="20"/>
                <w:szCs w:val="20"/>
              </w:rPr>
              <w:t>106.494</w:t>
            </w:r>
          </w:p>
        </w:tc>
        <w:tc>
          <w:tcPr>
            <w:tcW w:w="1036" w:type="dxa"/>
            <w:shd w:val="clear" w:color="auto" w:fill="auto"/>
            <w:vAlign w:val="bottom"/>
          </w:tcPr>
          <w:p>
            <w:pPr>
              <w:tabs>
                <w:tab w:val="center" w:pos="1557"/>
                <w:tab w:val="right" w:pos="3114"/>
              </w:tabs>
              <w:jc w:val="right"/>
              <w:rPr>
                <w:rFonts w:ascii="Arial" w:hAnsi="Arial" w:cs="Arial"/>
                <w:sz w:val="20"/>
                <w:szCs w:val="20"/>
              </w:rPr>
            </w:pPr>
            <w:r>
              <w:rPr>
                <w:rFonts w:ascii="Arial" w:hAnsi="Arial" w:cs="Arial"/>
                <w:sz w:val="20"/>
                <w:szCs w:val="20"/>
              </w:rPr>
              <w:t>35.901</w:t>
            </w:r>
          </w:p>
        </w:tc>
      </w:tr>
      <w:tr>
        <w:trPr>
          <w:trHeight w:val="80"/>
          <w:jc w:val="center"/>
        </w:trPr>
        <w:tc>
          <w:tcPr>
            <w:tcW w:w="2317" w:type="dxa"/>
            <w:tcBorders>
              <w:bottom w:val="single" w:sz="4" w:space="0" w:color="000000"/>
            </w:tcBorders>
            <w:shd w:val="clear" w:color="auto" w:fill="auto"/>
            <w:vAlign w:val="bottom"/>
          </w:tcPr>
          <w:p>
            <w:pPr>
              <w:ind w:left="165" w:hanging="165"/>
              <w:rPr>
                <w:rFonts w:ascii="Arial" w:hAnsi="Arial" w:cs="Arial"/>
                <w:sz w:val="20"/>
                <w:szCs w:val="20"/>
              </w:rPr>
            </w:pPr>
            <w:r>
              <w:rPr>
                <w:rFonts w:ascii="Arial" w:hAnsi="Arial" w:cs="Arial"/>
                <w:sz w:val="20"/>
                <w:szCs w:val="20"/>
              </w:rPr>
              <w:t>Capital expenditures</w:t>
            </w:r>
          </w:p>
        </w:tc>
        <w:tc>
          <w:tcPr>
            <w:tcW w:w="1080" w:type="dxa"/>
            <w:tcBorders>
              <w:bottom w:val="single" w:sz="4" w:space="0" w:color="000000"/>
            </w:tcBorders>
            <w:shd w:val="clear" w:color="auto" w:fill="auto"/>
            <w:vAlign w:val="bottom"/>
          </w:tcPr>
          <w:p>
            <w:pPr>
              <w:jc w:val="right"/>
              <w:rPr>
                <w:rFonts w:ascii="Arial" w:hAnsi="Arial" w:cs="Arial"/>
                <w:sz w:val="20"/>
                <w:szCs w:val="20"/>
              </w:rPr>
            </w:pPr>
            <w:r>
              <w:rPr>
                <w:rFonts w:ascii="Arial" w:hAnsi="Arial" w:cs="Arial"/>
                <w:sz w:val="20"/>
                <w:szCs w:val="20"/>
              </w:rPr>
              <w:t>3.186</w:t>
            </w:r>
          </w:p>
        </w:tc>
        <w:tc>
          <w:tcPr>
            <w:tcW w:w="1080" w:type="dxa"/>
            <w:tcBorders>
              <w:bottom w:val="single" w:sz="4" w:space="0" w:color="000000"/>
            </w:tcBorders>
            <w:shd w:val="clear" w:color="auto" w:fill="auto"/>
            <w:vAlign w:val="bottom"/>
          </w:tcPr>
          <w:p>
            <w:pPr>
              <w:jc w:val="right"/>
              <w:rPr>
                <w:rFonts w:ascii="Arial" w:hAnsi="Arial" w:cs="Arial"/>
                <w:sz w:val="20"/>
                <w:szCs w:val="20"/>
              </w:rPr>
            </w:pPr>
            <w:r>
              <w:rPr>
                <w:rFonts w:ascii="Arial" w:hAnsi="Arial" w:cs="Arial"/>
                <w:sz w:val="20"/>
                <w:szCs w:val="20"/>
              </w:rPr>
              <w:t>3.592</w:t>
            </w:r>
          </w:p>
        </w:tc>
        <w:tc>
          <w:tcPr>
            <w:tcW w:w="1080" w:type="dxa"/>
            <w:tcBorders>
              <w:bottom w:val="single" w:sz="4" w:space="0" w:color="000000"/>
            </w:tcBorders>
            <w:vAlign w:val="bottom"/>
          </w:tcPr>
          <w:p>
            <w:pPr>
              <w:jc w:val="right"/>
              <w:rPr>
                <w:rFonts w:ascii="Arial" w:hAnsi="Arial" w:cs="Arial"/>
                <w:sz w:val="20"/>
                <w:szCs w:val="20"/>
              </w:rPr>
            </w:pPr>
            <w:r>
              <w:rPr>
                <w:rFonts w:ascii="Arial" w:hAnsi="Arial" w:cs="Arial"/>
                <w:sz w:val="20"/>
                <w:szCs w:val="20"/>
              </w:rPr>
              <w:t>.209</w:t>
            </w:r>
          </w:p>
        </w:tc>
        <w:tc>
          <w:tcPr>
            <w:tcW w:w="990" w:type="dxa"/>
            <w:tcBorders>
              <w:bottom w:val="single" w:sz="4" w:space="0" w:color="000000"/>
            </w:tcBorders>
            <w:vAlign w:val="bottom"/>
          </w:tcPr>
          <w:p>
            <w:pPr>
              <w:jc w:val="right"/>
              <w:rPr>
                <w:rFonts w:ascii="Arial" w:hAnsi="Arial" w:cs="Arial"/>
                <w:sz w:val="20"/>
                <w:szCs w:val="20"/>
              </w:rPr>
            </w:pPr>
            <w:r>
              <w:rPr>
                <w:rFonts w:ascii="Arial" w:hAnsi="Arial" w:cs="Arial"/>
                <w:sz w:val="20"/>
                <w:szCs w:val="20"/>
              </w:rPr>
              <w:t>0.464</w:t>
            </w:r>
          </w:p>
        </w:tc>
        <w:tc>
          <w:tcPr>
            <w:tcW w:w="990" w:type="dxa"/>
            <w:tcBorders>
              <w:bottom w:val="single" w:sz="4" w:space="0" w:color="000000"/>
            </w:tcBorders>
            <w:vAlign w:val="bottom"/>
          </w:tcPr>
          <w:p>
            <w:pPr>
              <w:jc w:val="right"/>
              <w:rPr>
                <w:rFonts w:ascii="Arial" w:hAnsi="Arial" w:cs="Arial"/>
                <w:sz w:val="20"/>
                <w:szCs w:val="20"/>
              </w:rPr>
            </w:pPr>
            <w:r>
              <w:rPr>
                <w:rFonts w:ascii="Arial" w:hAnsi="Arial" w:cs="Arial"/>
                <w:sz w:val="20"/>
                <w:szCs w:val="20"/>
              </w:rPr>
              <w:t>2.977</w:t>
            </w:r>
          </w:p>
        </w:tc>
        <w:tc>
          <w:tcPr>
            <w:tcW w:w="1036" w:type="dxa"/>
            <w:tcBorders>
              <w:bottom w:val="single" w:sz="4" w:space="0" w:color="000000"/>
            </w:tcBorders>
            <w:shd w:val="clear" w:color="auto" w:fill="auto"/>
            <w:vAlign w:val="bottom"/>
          </w:tcPr>
          <w:p>
            <w:pPr>
              <w:jc w:val="right"/>
              <w:rPr>
                <w:rFonts w:ascii="Arial" w:hAnsi="Arial" w:cs="Arial"/>
                <w:sz w:val="20"/>
                <w:szCs w:val="20"/>
              </w:rPr>
            </w:pPr>
            <w:r>
              <w:rPr>
                <w:rFonts w:ascii="Arial" w:hAnsi="Arial" w:cs="Arial"/>
                <w:sz w:val="20"/>
                <w:szCs w:val="20"/>
              </w:rPr>
              <w:t>3.128</w:t>
            </w:r>
          </w:p>
        </w:tc>
      </w:tr>
      <w:tr>
        <w:trPr>
          <w:trHeight w:val="360"/>
          <w:jc w:val="center"/>
        </w:trPr>
        <w:tc>
          <w:tcPr>
            <w:tcW w:w="2317" w:type="dxa"/>
            <w:tcBorders>
              <w:top w:val="single" w:sz="4" w:space="0" w:color="000000"/>
              <w:bottom w:val="double" w:sz="4" w:space="0" w:color="auto"/>
            </w:tcBorders>
            <w:shd w:val="clear" w:color="auto" w:fill="auto"/>
            <w:vAlign w:val="bottom"/>
          </w:tcPr>
          <w:p>
            <w:pPr>
              <w:rPr>
                <w:rFonts w:ascii="Arial" w:hAnsi="Arial" w:cs="Arial"/>
                <w:b/>
                <w:sz w:val="20"/>
                <w:szCs w:val="20"/>
              </w:rPr>
            </w:pPr>
            <w:r>
              <w:rPr>
                <w:rFonts w:ascii="Arial" w:hAnsi="Arial" w:cs="Arial"/>
                <w:b/>
                <w:sz w:val="20"/>
                <w:szCs w:val="20"/>
              </w:rPr>
              <w:t>Total</w:t>
            </w:r>
          </w:p>
        </w:tc>
        <w:tc>
          <w:tcPr>
            <w:tcW w:w="1080" w:type="dxa"/>
            <w:tcBorders>
              <w:top w:val="single" w:sz="4" w:space="0" w:color="000000"/>
              <w:bottom w:val="double" w:sz="4" w:space="0" w:color="auto"/>
            </w:tcBorders>
            <w:shd w:val="clear" w:color="auto" w:fill="auto"/>
            <w:vAlign w:val="bottom"/>
          </w:tcPr>
          <w:p>
            <w:pPr>
              <w:jc w:val="right"/>
              <w:rPr>
                <w:rFonts w:ascii="Arial" w:hAnsi="Arial" w:cs="Arial"/>
                <w:b/>
                <w:sz w:val="20"/>
                <w:szCs w:val="20"/>
              </w:rPr>
            </w:pPr>
            <w:r>
              <w:rPr>
                <w:rFonts w:ascii="Arial" w:hAnsi="Arial" w:cs="Arial"/>
                <w:b/>
                <w:sz w:val="20"/>
                <w:szCs w:val="20"/>
              </w:rPr>
              <w:t>234.676</w:t>
            </w:r>
          </w:p>
        </w:tc>
        <w:tc>
          <w:tcPr>
            <w:tcW w:w="1080" w:type="dxa"/>
            <w:tcBorders>
              <w:top w:val="single" w:sz="4" w:space="0" w:color="000000"/>
              <w:bottom w:val="double" w:sz="4" w:space="0" w:color="auto"/>
            </w:tcBorders>
            <w:shd w:val="clear" w:color="auto" w:fill="auto"/>
            <w:vAlign w:val="bottom"/>
          </w:tcPr>
          <w:p>
            <w:pPr>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386.788</w:t>
            </w:r>
            <w:r>
              <w:rPr>
                <w:rFonts w:ascii="Arial" w:hAnsi="Arial" w:cs="Arial"/>
                <w:b/>
                <w:sz w:val="20"/>
                <w:szCs w:val="20"/>
              </w:rPr>
              <w:fldChar w:fldCharType="end"/>
            </w:r>
          </w:p>
        </w:tc>
        <w:tc>
          <w:tcPr>
            <w:tcW w:w="1080" w:type="dxa"/>
            <w:tcBorders>
              <w:top w:val="single" w:sz="4" w:space="0" w:color="000000"/>
              <w:bottom w:val="double" w:sz="4" w:space="0" w:color="auto"/>
            </w:tcBorders>
            <w:vAlign w:val="bottom"/>
          </w:tcPr>
          <w:p>
            <w:pPr>
              <w:jc w:val="right"/>
              <w:rPr>
                <w:rFonts w:ascii="Arial" w:hAnsi="Arial" w:cs="Arial"/>
                <w:b/>
                <w:sz w:val="20"/>
                <w:szCs w:val="20"/>
              </w:rPr>
            </w:pPr>
            <w:r>
              <w:rPr>
                <w:rFonts w:ascii="Arial" w:hAnsi="Arial" w:cs="Arial"/>
                <w:b/>
                <w:sz w:val="20"/>
                <w:szCs w:val="20"/>
              </w:rPr>
              <w:t>114.855</w:t>
            </w:r>
          </w:p>
        </w:tc>
        <w:tc>
          <w:tcPr>
            <w:tcW w:w="990" w:type="dxa"/>
            <w:tcBorders>
              <w:top w:val="single" w:sz="4" w:space="0" w:color="000000"/>
              <w:bottom w:val="double" w:sz="4" w:space="0" w:color="auto"/>
            </w:tcBorders>
            <w:vAlign w:val="bottom"/>
          </w:tcPr>
          <w:p>
            <w:pPr>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191.361</w:t>
            </w:r>
            <w:r>
              <w:rPr>
                <w:rFonts w:ascii="Arial" w:hAnsi="Arial" w:cs="Arial"/>
                <w:b/>
                <w:sz w:val="20"/>
                <w:szCs w:val="20"/>
              </w:rPr>
              <w:fldChar w:fldCharType="end"/>
            </w:r>
          </w:p>
        </w:tc>
        <w:tc>
          <w:tcPr>
            <w:tcW w:w="990" w:type="dxa"/>
            <w:tcBorders>
              <w:top w:val="single" w:sz="4" w:space="0" w:color="000000"/>
              <w:bottom w:val="double" w:sz="4" w:space="0" w:color="auto"/>
            </w:tcBorders>
            <w:vAlign w:val="bottom"/>
          </w:tcPr>
          <w:p>
            <w:pPr>
              <w:jc w:val="right"/>
              <w:rPr>
                <w:rFonts w:ascii="Arial" w:hAnsi="Arial" w:cs="Arial"/>
                <w:b/>
                <w:sz w:val="20"/>
                <w:szCs w:val="20"/>
              </w:rPr>
            </w:pPr>
            <w:r>
              <w:rPr>
                <w:rFonts w:ascii="Arial" w:hAnsi="Arial" w:cs="Arial"/>
                <w:b/>
                <w:sz w:val="20"/>
                <w:szCs w:val="20"/>
              </w:rPr>
              <w:t>119.821</w:t>
            </w:r>
          </w:p>
        </w:tc>
        <w:tc>
          <w:tcPr>
            <w:tcW w:w="1036" w:type="dxa"/>
            <w:tcBorders>
              <w:top w:val="single" w:sz="4" w:space="0" w:color="000000"/>
              <w:bottom w:val="double" w:sz="4" w:space="0" w:color="auto"/>
            </w:tcBorders>
            <w:shd w:val="clear" w:color="auto" w:fill="auto"/>
            <w:vAlign w:val="bottom"/>
          </w:tcPr>
          <w:p>
            <w:pPr>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195.427</w:t>
            </w:r>
            <w:r>
              <w:rPr>
                <w:rFonts w:ascii="Arial" w:hAnsi="Arial" w:cs="Arial"/>
                <w:b/>
                <w:sz w:val="20"/>
                <w:szCs w:val="20"/>
              </w:rPr>
              <w:fldChar w:fldCharType="end"/>
            </w:r>
          </w:p>
        </w:tc>
      </w:tr>
    </w:tbl>
    <w:p>
      <w:pPr>
        <w:jc w:val="both"/>
        <w:rPr>
          <w:rFonts w:ascii="Arial" w:hAnsi="Arial" w:cs="Arial"/>
          <w:b/>
          <w:sz w:val="22"/>
          <w:szCs w:val="22"/>
        </w:rPr>
      </w:pPr>
    </w:p>
    <w:p>
      <w:pPr>
        <w:rPr>
          <w:rFonts w:ascii="Arial" w:hAnsi="Arial" w:cs="Arial"/>
          <w:sz w:val="22"/>
          <w:szCs w:val="22"/>
        </w:rPr>
      </w:pPr>
    </w:p>
    <w:p>
      <w:pPr>
        <w:rPr>
          <w:rFonts w:ascii="Arial" w:hAnsi="Arial" w:cs="Arial"/>
          <w:sz w:val="22"/>
          <w:szCs w:val="22"/>
        </w:rPr>
      </w:pPr>
      <w:r>
        <w:rPr>
          <w:rFonts w:ascii="Arial" w:hAnsi="Arial" w:cs="Arial"/>
          <w:b/>
          <w:sz w:val="22"/>
          <w:szCs w:val="22"/>
        </w:rPr>
        <w:t>SCOPE OF AUDIT</w:t>
      </w:r>
    </w:p>
    <w:p>
      <w:pPr>
        <w:pStyle w:val="NoSpacing"/>
        <w:jc w:val="both"/>
        <w:rPr>
          <w:rFonts w:ascii="Arial" w:hAnsi="Arial" w:cs="Arial"/>
          <w:sz w:val="22"/>
          <w:szCs w:val="22"/>
        </w:rPr>
      </w:pPr>
    </w:p>
    <w:p>
      <w:pPr>
        <w:pStyle w:val="NoSpacing"/>
        <w:jc w:val="both"/>
        <w:rPr>
          <w:rFonts w:ascii="Arial" w:hAnsi="Arial" w:cs="Arial"/>
          <w:sz w:val="22"/>
          <w:szCs w:val="22"/>
        </w:rPr>
      </w:pPr>
      <w:r>
        <w:rPr>
          <w:rFonts w:ascii="Arial" w:hAnsi="Arial" w:cs="Arial"/>
          <w:sz w:val="22"/>
          <w:szCs w:val="22"/>
        </w:rPr>
        <w:t>Our audits covered the examination, on a test basis, of the accounts and operations of the System for the years ended December 31, 2017 and 2016. Our audits were aimed at ascertaining the fairness of the presentation of the financial statements in accordance with the Philippine Financial Reporting Standards, and were also made to assess the propriety of the financial transactions and compliance of the System with prescribed laws, rules and regulations.</w:t>
      </w:r>
    </w:p>
    <w:p>
      <w:pPr>
        <w:pStyle w:val="NoSpacing"/>
        <w:jc w:val="both"/>
        <w:rPr>
          <w:rFonts w:ascii="Arial" w:hAnsi="Arial" w:cs="Arial"/>
          <w:sz w:val="22"/>
          <w:szCs w:val="22"/>
        </w:rPr>
      </w:pPr>
    </w:p>
    <w:p>
      <w:pPr>
        <w:pStyle w:val="NoSpacing"/>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INDEPENDENT AUDITOR’S REPORT</w:t>
      </w:r>
    </w:p>
    <w:p>
      <w:pPr>
        <w:ind w:right="108"/>
        <w:jc w:val="both"/>
        <w:rPr>
          <w:rFonts w:ascii="Arial" w:hAnsi="Arial" w:cs="Arial"/>
          <w:sz w:val="22"/>
          <w:szCs w:val="22"/>
        </w:rPr>
      </w:pPr>
    </w:p>
    <w:p>
      <w:pPr>
        <w:pStyle w:val="NoSpacing"/>
        <w:jc w:val="both"/>
        <w:rPr>
          <w:rFonts w:ascii="Arial" w:hAnsi="Arial" w:cs="Arial"/>
          <w:sz w:val="22"/>
          <w:szCs w:val="22"/>
        </w:rPr>
      </w:pPr>
      <w:r>
        <w:rPr>
          <w:rFonts w:ascii="Arial" w:hAnsi="Arial" w:cs="Arial"/>
          <w:sz w:val="22"/>
          <w:szCs w:val="22"/>
        </w:rPr>
        <w:t xml:space="preserve">We rendered an adverse opinion on the fairness of presentation of the financial statements of the System for the years ended December 31, 2017 and 2016 in view of the overstatement of the total assets as at year-end by P2.328 billion in 2017 and P2.474 billion in 2016 due to: (a) the non-consolidation of the financial statements of the System and that of its subsidiaries and failure to eliminate the reciprocal accounts; (b) the unrecorded waived penalty of a foreclosed property; and (c) the difference between the general ledger (GL) and the subsidiary ledger (SL) balances, and the difference between the report of physical count of the  property, plant and equipment (RPCPPE) and accounting records. </w:t>
      </w:r>
    </w:p>
    <w:p>
      <w:pPr>
        <w:pStyle w:val="NoSpacing"/>
        <w:tabs>
          <w:tab w:val="left" w:pos="0"/>
        </w:tabs>
        <w:jc w:val="both"/>
        <w:rPr>
          <w:rFonts w:ascii="Arial" w:hAnsi="Arial" w:cs="Arial"/>
          <w:sz w:val="22"/>
          <w:szCs w:val="22"/>
        </w:rPr>
      </w:pPr>
    </w:p>
    <w:p>
      <w:pPr>
        <w:pStyle w:val="NoSpacing"/>
        <w:tabs>
          <w:tab w:val="left" w:pos="0"/>
        </w:tabs>
        <w:jc w:val="both"/>
        <w:rPr>
          <w:rFonts w:ascii="Arial" w:hAnsi="Arial" w:cs="Arial"/>
          <w:sz w:val="22"/>
          <w:szCs w:val="22"/>
        </w:rPr>
      </w:pPr>
      <w:r>
        <w:rPr>
          <w:rFonts w:ascii="Arial" w:hAnsi="Arial" w:cs="Arial"/>
          <w:sz w:val="22"/>
          <w:szCs w:val="22"/>
        </w:rPr>
        <w:t>For the above mentioned audit observations which caused the issuance of an adverse opinion, we reiterated our prior years’ recommendations that Management:</w:t>
      </w:r>
    </w:p>
    <w:p>
      <w:pPr>
        <w:tabs>
          <w:tab w:val="left" w:pos="0"/>
          <w:tab w:val="left" w:pos="252"/>
        </w:tabs>
        <w:jc w:val="both"/>
        <w:rPr>
          <w:rFonts w:ascii="Arial" w:hAnsi="Arial" w:cs="Arial"/>
          <w:i/>
          <w:sz w:val="22"/>
          <w:szCs w:val="22"/>
        </w:rPr>
      </w:pPr>
    </w:p>
    <w:p>
      <w:pPr>
        <w:pStyle w:val="ListParagraph"/>
        <w:tabs>
          <w:tab w:val="left" w:pos="0"/>
        </w:tabs>
        <w:ind w:left="0"/>
        <w:jc w:val="both"/>
        <w:rPr>
          <w:rFonts w:ascii="Arial" w:hAnsi="Arial" w:cs="Arial"/>
          <w:i/>
          <w:sz w:val="22"/>
          <w:szCs w:val="22"/>
        </w:rPr>
      </w:pPr>
      <w:r>
        <w:rPr>
          <w:rFonts w:ascii="Arial" w:hAnsi="Arial" w:cs="Arial"/>
          <w:i/>
          <w:sz w:val="22"/>
          <w:szCs w:val="22"/>
        </w:rPr>
        <w:t xml:space="preserve">For the Investment in Shares of Stocks of Subsidiaries </w:t>
      </w:r>
    </w:p>
    <w:p>
      <w:pPr>
        <w:tabs>
          <w:tab w:val="left" w:pos="0"/>
          <w:tab w:val="left" w:pos="252"/>
        </w:tabs>
        <w:jc w:val="both"/>
        <w:rPr>
          <w:rFonts w:ascii="Arial" w:hAnsi="Arial" w:cs="Arial"/>
          <w:b/>
          <w:sz w:val="22"/>
          <w:szCs w:val="22"/>
        </w:rPr>
      </w:pPr>
    </w:p>
    <w:p>
      <w:pPr>
        <w:pStyle w:val="ListParagraph"/>
        <w:numPr>
          <w:ilvl w:val="0"/>
          <w:numId w:val="17"/>
        </w:numPr>
        <w:tabs>
          <w:tab w:val="left" w:pos="0"/>
          <w:tab w:val="left" w:pos="252"/>
        </w:tabs>
        <w:suppressAutoHyphens w:val="0"/>
        <w:ind w:firstLine="0"/>
        <w:jc w:val="both"/>
        <w:rPr>
          <w:rFonts w:ascii="Arial" w:hAnsi="Arial" w:cs="Arial"/>
          <w:sz w:val="22"/>
          <w:szCs w:val="22"/>
        </w:rPr>
      </w:pPr>
      <w:r>
        <w:rPr>
          <w:rFonts w:ascii="Arial" w:hAnsi="Arial" w:cs="Arial"/>
          <w:sz w:val="22"/>
          <w:szCs w:val="22"/>
        </w:rPr>
        <w:t>Prepare the consolidated financial statements to include the assets, liabilities and results of operation of its subsidiaries</w:t>
      </w:r>
      <w:r>
        <w:rPr>
          <w:rFonts w:ascii="Arial" w:hAnsi="Arial" w:cs="Arial"/>
          <w:b/>
          <w:sz w:val="22"/>
          <w:szCs w:val="22"/>
          <w:lang w:eastAsia="en-US"/>
        </w:rPr>
        <w:t xml:space="preserve"> </w:t>
      </w:r>
      <w:r>
        <w:rPr>
          <w:rFonts w:ascii="Arial" w:hAnsi="Arial" w:cs="Arial"/>
          <w:sz w:val="22"/>
          <w:szCs w:val="22"/>
        </w:rPr>
        <w:t>in compliance with the provisions of PFRS 10;</w:t>
      </w:r>
    </w:p>
    <w:p>
      <w:pPr>
        <w:pStyle w:val="ListParagraph"/>
        <w:ind w:left="0"/>
        <w:jc w:val="both"/>
        <w:rPr>
          <w:rFonts w:ascii="Arial" w:hAnsi="Arial" w:cs="Arial"/>
          <w:sz w:val="22"/>
          <w:szCs w:val="22"/>
        </w:rPr>
      </w:pPr>
    </w:p>
    <w:p>
      <w:pPr>
        <w:pStyle w:val="ListParagraph"/>
        <w:numPr>
          <w:ilvl w:val="0"/>
          <w:numId w:val="17"/>
        </w:numPr>
        <w:tabs>
          <w:tab w:val="left" w:pos="0"/>
          <w:tab w:val="left" w:pos="252"/>
        </w:tabs>
        <w:suppressAutoHyphens w:val="0"/>
        <w:ind w:firstLine="0"/>
        <w:jc w:val="both"/>
        <w:rPr>
          <w:rFonts w:ascii="Arial" w:hAnsi="Arial" w:cs="Arial"/>
          <w:sz w:val="22"/>
          <w:szCs w:val="22"/>
        </w:rPr>
      </w:pPr>
      <w:r>
        <w:rPr>
          <w:rFonts w:ascii="Arial" w:hAnsi="Arial" w:cs="Arial"/>
          <w:sz w:val="22"/>
          <w:szCs w:val="22"/>
        </w:rPr>
        <w:t>Eliminate all parent and subsidiary reciprocal account balances during the process of consolidation; and</w:t>
      </w:r>
    </w:p>
    <w:p>
      <w:pPr>
        <w:ind w:left="720"/>
        <w:rPr>
          <w:rFonts w:ascii="Arial" w:hAnsi="Arial" w:cs="Arial"/>
          <w:sz w:val="22"/>
          <w:szCs w:val="22"/>
        </w:rPr>
      </w:pPr>
    </w:p>
    <w:p>
      <w:pPr>
        <w:pStyle w:val="ListParagraph"/>
        <w:numPr>
          <w:ilvl w:val="0"/>
          <w:numId w:val="17"/>
        </w:numPr>
        <w:tabs>
          <w:tab w:val="left" w:pos="0"/>
          <w:tab w:val="left" w:pos="252"/>
        </w:tabs>
        <w:suppressAutoHyphens w:val="0"/>
        <w:ind w:firstLine="0"/>
        <w:jc w:val="both"/>
        <w:rPr>
          <w:rFonts w:ascii="Arial" w:hAnsi="Arial" w:cs="Arial"/>
          <w:sz w:val="22"/>
          <w:szCs w:val="22"/>
        </w:rPr>
      </w:pPr>
      <w:r>
        <w:rPr>
          <w:rFonts w:ascii="Arial" w:hAnsi="Arial" w:cs="Arial"/>
          <w:sz w:val="22"/>
          <w:szCs w:val="22"/>
        </w:rPr>
        <w:t>Prepare</w:t>
      </w:r>
      <w:r>
        <w:rPr>
          <w:rFonts w:ascii="Arial" w:hAnsi="Arial" w:cs="Arial"/>
          <w:sz w:val="22"/>
          <w:szCs w:val="22"/>
          <w:lang w:val="en-PH"/>
        </w:rPr>
        <w:t xml:space="preserve"> the Statement of Affairs and the Statement of Realization and Liquidation of those subsidiaries and affiliates that are already closed and submit them to COA for audit until all its assets are realized; all its liabilities are settled; and the concerned subsidiaries and affiliates are fully liquidated/dissolved in </w:t>
      </w:r>
      <w:r>
        <w:rPr>
          <w:rFonts w:ascii="Arial" w:hAnsi="Arial" w:cs="Arial"/>
          <w:sz w:val="22"/>
          <w:szCs w:val="22"/>
          <w:lang w:val="en-PH"/>
        </w:rPr>
        <w:lastRenderedPageBreak/>
        <w:t>accordance with the pertinent rules and regulations of Securities and Exchange Commission.</w:t>
      </w:r>
    </w:p>
    <w:p>
      <w:pPr>
        <w:pStyle w:val="ListParagraph"/>
        <w:tabs>
          <w:tab w:val="left" w:pos="0"/>
          <w:tab w:val="left" w:pos="252"/>
        </w:tabs>
        <w:jc w:val="both"/>
        <w:rPr>
          <w:rFonts w:ascii="Arial" w:hAnsi="Arial" w:cs="Arial"/>
          <w:sz w:val="22"/>
          <w:szCs w:val="22"/>
        </w:rPr>
      </w:pPr>
    </w:p>
    <w:p>
      <w:pPr>
        <w:pStyle w:val="ListParagraph"/>
        <w:tabs>
          <w:tab w:val="left" w:pos="0"/>
          <w:tab w:val="left" w:pos="252"/>
        </w:tabs>
        <w:jc w:val="both"/>
        <w:rPr>
          <w:rFonts w:ascii="Arial" w:hAnsi="Arial" w:cs="Arial"/>
          <w:sz w:val="22"/>
          <w:szCs w:val="22"/>
        </w:rPr>
      </w:pPr>
      <w:r>
        <w:rPr>
          <w:rFonts w:ascii="Arial" w:hAnsi="Arial" w:cs="Arial"/>
          <w:sz w:val="22"/>
          <w:szCs w:val="22"/>
        </w:rPr>
        <w:t>Further, we also recommended to require the responsible official to account for and prepare the System’s subsidiaries and affiliates financial statements, otherwise, failure by the officials and employees to comply as such shall be subject to administrative disciplinary action under Section 127 of P.D. No. 1445.</w:t>
      </w:r>
    </w:p>
    <w:p>
      <w:pPr>
        <w:pStyle w:val="ListParagraph"/>
        <w:tabs>
          <w:tab w:val="left" w:pos="0"/>
          <w:tab w:val="left" w:pos="252"/>
        </w:tabs>
        <w:jc w:val="both"/>
        <w:rPr>
          <w:rFonts w:ascii="Arial" w:hAnsi="Arial" w:cs="Arial"/>
          <w:sz w:val="22"/>
          <w:szCs w:val="22"/>
        </w:rPr>
      </w:pPr>
    </w:p>
    <w:p>
      <w:pPr>
        <w:pStyle w:val="ListParagraph"/>
        <w:tabs>
          <w:tab w:val="left" w:pos="0"/>
        </w:tabs>
        <w:ind w:left="0"/>
        <w:jc w:val="both"/>
        <w:rPr>
          <w:rFonts w:ascii="Arial" w:hAnsi="Arial" w:cs="Arial"/>
          <w:i/>
          <w:sz w:val="22"/>
          <w:szCs w:val="22"/>
        </w:rPr>
      </w:pPr>
      <w:r>
        <w:rPr>
          <w:rFonts w:ascii="Arial" w:hAnsi="Arial" w:cs="Arial"/>
          <w:i/>
          <w:sz w:val="22"/>
          <w:szCs w:val="22"/>
        </w:rPr>
        <w:t xml:space="preserve">For the unrecorded foreclosed properties of the System </w:t>
      </w:r>
    </w:p>
    <w:p>
      <w:pPr>
        <w:pStyle w:val="ListParagraph"/>
        <w:rPr>
          <w:rFonts w:ascii="Arial" w:hAnsi="Arial" w:cs="Arial"/>
          <w:sz w:val="22"/>
          <w:szCs w:val="22"/>
        </w:rPr>
      </w:pPr>
    </w:p>
    <w:p>
      <w:pPr>
        <w:pStyle w:val="ListParagraph"/>
        <w:numPr>
          <w:ilvl w:val="2"/>
          <w:numId w:val="6"/>
        </w:numPr>
        <w:suppressAutoHyphens w:val="0"/>
        <w:ind w:left="720" w:firstLine="0"/>
        <w:contextualSpacing/>
        <w:jc w:val="both"/>
        <w:rPr>
          <w:rFonts w:ascii="Arial" w:hAnsi="Arial" w:cs="Arial"/>
          <w:sz w:val="22"/>
          <w:szCs w:val="22"/>
        </w:rPr>
      </w:pPr>
      <w:r>
        <w:rPr>
          <w:rFonts w:ascii="Arial" w:hAnsi="Arial" w:cs="Arial"/>
          <w:sz w:val="22"/>
          <w:szCs w:val="22"/>
        </w:rPr>
        <w:t>Adjust accordingly the unrecorded waived penalty to the outstanding past due – commercial loan to the corporation;</w:t>
      </w:r>
    </w:p>
    <w:p>
      <w:pPr>
        <w:pStyle w:val="ListParagraph"/>
        <w:suppressAutoHyphens w:val="0"/>
        <w:contextualSpacing/>
        <w:jc w:val="both"/>
        <w:rPr>
          <w:rFonts w:ascii="Arial" w:hAnsi="Arial" w:cs="Arial"/>
          <w:sz w:val="22"/>
          <w:szCs w:val="22"/>
        </w:rPr>
      </w:pPr>
    </w:p>
    <w:p>
      <w:pPr>
        <w:pStyle w:val="ListParagraph"/>
        <w:numPr>
          <w:ilvl w:val="2"/>
          <w:numId w:val="6"/>
        </w:numPr>
        <w:suppressAutoHyphens w:val="0"/>
        <w:ind w:left="720" w:firstLine="0"/>
        <w:contextualSpacing/>
        <w:jc w:val="both"/>
        <w:rPr>
          <w:rFonts w:ascii="Arial" w:hAnsi="Arial" w:cs="Arial"/>
          <w:sz w:val="22"/>
          <w:szCs w:val="22"/>
        </w:rPr>
      </w:pPr>
      <w:r>
        <w:rPr>
          <w:rFonts w:ascii="Arial" w:hAnsi="Arial" w:cs="Arial"/>
          <w:sz w:val="22"/>
          <w:szCs w:val="22"/>
        </w:rPr>
        <w:t>Reduce the past due – commercial loan to the corporation account by P361.072 million and record as investment property the newly acquired asset; and</w:t>
      </w:r>
    </w:p>
    <w:p>
      <w:pPr>
        <w:pStyle w:val="ListParagraph"/>
        <w:rPr>
          <w:rFonts w:ascii="Arial" w:hAnsi="Arial" w:cs="Arial"/>
          <w:sz w:val="22"/>
          <w:szCs w:val="22"/>
        </w:rPr>
      </w:pPr>
    </w:p>
    <w:p>
      <w:pPr>
        <w:pStyle w:val="ListParagraph"/>
        <w:numPr>
          <w:ilvl w:val="2"/>
          <w:numId w:val="6"/>
        </w:numPr>
        <w:suppressAutoHyphens w:val="0"/>
        <w:ind w:left="720" w:firstLine="0"/>
        <w:contextualSpacing/>
        <w:jc w:val="both"/>
        <w:rPr>
          <w:rFonts w:ascii="Arial" w:hAnsi="Arial" w:cs="Arial"/>
          <w:sz w:val="22"/>
          <w:szCs w:val="22"/>
        </w:rPr>
      </w:pPr>
      <w:r>
        <w:rPr>
          <w:rFonts w:ascii="Arial" w:hAnsi="Arial" w:cs="Arial"/>
          <w:sz w:val="22"/>
          <w:szCs w:val="22"/>
        </w:rPr>
        <w:t>Enforce collection of the adjusted past due balance of the commercial loan against the spouses who are key officers of the corporation in accordance with the JSS.</w:t>
      </w:r>
    </w:p>
    <w:p>
      <w:pPr>
        <w:suppressAutoHyphens w:val="0"/>
        <w:contextualSpacing/>
        <w:jc w:val="both"/>
        <w:rPr>
          <w:rFonts w:ascii="Arial" w:hAnsi="Arial" w:cs="Arial"/>
          <w:sz w:val="22"/>
          <w:szCs w:val="22"/>
        </w:rPr>
      </w:pPr>
    </w:p>
    <w:p>
      <w:pPr>
        <w:pStyle w:val="ListParagraph"/>
        <w:tabs>
          <w:tab w:val="left" w:pos="0"/>
        </w:tabs>
        <w:ind w:left="0"/>
        <w:jc w:val="both"/>
        <w:rPr>
          <w:rFonts w:ascii="Arial" w:hAnsi="Arial" w:cs="Arial"/>
          <w:i/>
          <w:sz w:val="22"/>
          <w:szCs w:val="22"/>
        </w:rPr>
      </w:pPr>
      <w:r>
        <w:rPr>
          <w:rFonts w:ascii="Arial" w:hAnsi="Arial" w:cs="Arial"/>
          <w:i/>
          <w:sz w:val="22"/>
          <w:szCs w:val="22"/>
        </w:rPr>
        <w:t>For the difference Property and Equipment account balances</w:t>
      </w:r>
    </w:p>
    <w:p>
      <w:pPr>
        <w:pStyle w:val="ListParagraph"/>
        <w:tabs>
          <w:tab w:val="left" w:pos="0"/>
          <w:tab w:val="left" w:pos="252"/>
        </w:tabs>
        <w:jc w:val="both"/>
        <w:rPr>
          <w:rFonts w:ascii="Arial" w:hAnsi="Arial" w:cs="Arial"/>
          <w:sz w:val="22"/>
          <w:szCs w:val="22"/>
        </w:rPr>
      </w:pPr>
    </w:p>
    <w:p>
      <w:pPr>
        <w:numPr>
          <w:ilvl w:val="0"/>
          <w:numId w:val="38"/>
        </w:numPr>
        <w:suppressAutoHyphens w:val="0"/>
        <w:ind w:left="720" w:firstLine="0"/>
        <w:jc w:val="both"/>
        <w:rPr>
          <w:rFonts w:ascii="Arial" w:eastAsia="MS Mincho" w:hAnsi="Arial"/>
          <w:sz w:val="22"/>
          <w:szCs w:val="22"/>
        </w:rPr>
      </w:pPr>
      <w:r>
        <w:rPr>
          <w:rFonts w:ascii="Arial" w:eastAsia="MS Mincho" w:hAnsi="Arial"/>
          <w:sz w:val="22"/>
          <w:szCs w:val="22"/>
        </w:rPr>
        <w:t>Reconcile the difference between the PPE GL and the SL both maintained in the Integrated Financial Management System and manually recorded;</w:t>
      </w:r>
    </w:p>
    <w:p>
      <w:pPr>
        <w:ind w:left="720"/>
        <w:jc w:val="both"/>
        <w:rPr>
          <w:rFonts w:ascii="Arial" w:eastAsia="MS Mincho" w:hAnsi="Arial"/>
          <w:sz w:val="22"/>
          <w:szCs w:val="22"/>
        </w:rPr>
      </w:pPr>
    </w:p>
    <w:p>
      <w:pPr>
        <w:numPr>
          <w:ilvl w:val="0"/>
          <w:numId w:val="38"/>
        </w:numPr>
        <w:suppressAutoHyphens w:val="0"/>
        <w:ind w:left="720" w:firstLine="0"/>
        <w:jc w:val="both"/>
        <w:rPr>
          <w:rFonts w:ascii="Arial" w:eastAsia="MS Mincho" w:hAnsi="Arial"/>
          <w:sz w:val="22"/>
          <w:szCs w:val="22"/>
        </w:rPr>
      </w:pPr>
      <w:r>
        <w:rPr>
          <w:rFonts w:ascii="Arial" w:hAnsi="Arial" w:cs="Arial"/>
          <w:sz w:val="22"/>
          <w:szCs w:val="22"/>
        </w:rPr>
        <w:t>Reconcile the RPCPPE with the Accounting records;</w:t>
      </w:r>
    </w:p>
    <w:p>
      <w:pPr>
        <w:pStyle w:val="ListParagraph"/>
        <w:rPr>
          <w:rFonts w:ascii="Arial" w:eastAsia="MS Mincho" w:hAnsi="Arial"/>
          <w:sz w:val="22"/>
          <w:szCs w:val="22"/>
        </w:rPr>
      </w:pPr>
    </w:p>
    <w:p>
      <w:pPr>
        <w:numPr>
          <w:ilvl w:val="0"/>
          <w:numId w:val="38"/>
        </w:numPr>
        <w:suppressAutoHyphens w:val="0"/>
        <w:ind w:left="720" w:firstLine="0"/>
        <w:jc w:val="both"/>
        <w:rPr>
          <w:rFonts w:ascii="Arial" w:eastAsia="MS Mincho" w:hAnsi="Arial"/>
          <w:sz w:val="22"/>
          <w:szCs w:val="22"/>
        </w:rPr>
      </w:pPr>
      <w:r>
        <w:rPr>
          <w:rFonts w:ascii="Arial" w:eastAsia="MS Mincho" w:hAnsi="Arial"/>
          <w:sz w:val="22"/>
          <w:szCs w:val="22"/>
        </w:rPr>
        <w:t>Reclassify all unserviceable assets to Other Assets account; and</w:t>
      </w:r>
    </w:p>
    <w:p>
      <w:pPr>
        <w:pStyle w:val="ListParagraph"/>
        <w:rPr>
          <w:rFonts w:ascii="Arial" w:eastAsia="MS Mincho" w:hAnsi="Arial"/>
          <w:sz w:val="22"/>
          <w:szCs w:val="22"/>
        </w:rPr>
      </w:pPr>
    </w:p>
    <w:p>
      <w:pPr>
        <w:numPr>
          <w:ilvl w:val="0"/>
          <w:numId w:val="38"/>
        </w:numPr>
        <w:suppressAutoHyphens w:val="0"/>
        <w:ind w:left="720" w:firstLine="0"/>
        <w:jc w:val="both"/>
        <w:rPr>
          <w:rFonts w:ascii="Arial" w:eastAsia="MS Mincho" w:hAnsi="Arial"/>
          <w:sz w:val="22"/>
          <w:szCs w:val="22"/>
        </w:rPr>
      </w:pPr>
      <w:r>
        <w:rPr>
          <w:rFonts w:ascii="Arial" w:eastAsia="MS Mincho" w:hAnsi="Arial"/>
          <w:sz w:val="22"/>
          <w:szCs w:val="22"/>
        </w:rPr>
        <w:t xml:space="preserve">Require the Inventory committee to account for and classify the items included in the RPCPPE according to the category used by the AD. </w:t>
      </w:r>
    </w:p>
    <w:p>
      <w:pPr>
        <w:pStyle w:val="ListParagraph"/>
        <w:suppressAutoHyphens w:val="0"/>
        <w:ind w:left="0"/>
        <w:contextualSpacing/>
        <w:jc w:val="both"/>
        <w:rPr>
          <w:rFonts w:ascii="Arial" w:eastAsia="Times New Roman" w:hAnsi="Arial" w:cs="Arial"/>
          <w:sz w:val="22"/>
          <w:szCs w:val="22"/>
        </w:rPr>
      </w:pPr>
    </w:p>
    <w:p>
      <w:pPr>
        <w:pStyle w:val="ListParagraph"/>
        <w:ind w:left="0"/>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OTHER SIGNIFICANT AUDIT OBSERVATIONS AND RECOMMENDATIONS</w:t>
      </w:r>
    </w:p>
    <w:p>
      <w:pPr>
        <w:pStyle w:val="BodyText"/>
        <w:spacing w:after="0"/>
        <w:ind w:right="108"/>
        <w:jc w:val="both"/>
        <w:rPr>
          <w:rFonts w:ascii="Arial" w:hAnsi="Arial" w:cs="Arial"/>
          <w:sz w:val="22"/>
          <w:szCs w:val="22"/>
          <w:lang w:val="en-PH"/>
        </w:rPr>
      </w:pPr>
    </w:p>
    <w:p>
      <w:pPr>
        <w:pStyle w:val="NoSpacing"/>
        <w:numPr>
          <w:ilvl w:val="0"/>
          <w:numId w:val="40"/>
        </w:numPr>
        <w:suppressAutoHyphens w:val="0"/>
        <w:ind w:left="0" w:firstLine="0"/>
        <w:contextualSpacing/>
        <w:jc w:val="both"/>
        <w:rPr>
          <w:rFonts w:ascii="Arial" w:hAnsi="Arial" w:cs="Arial"/>
          <w:bCs/>
          <w:sz w:val="22"/>
          <w:szCs w:val="22"/>
        </w:rPr>
      </w:pPr>
      <w:r>
        <w:rPr>
          <w:rFonts w:ascii="Arial" w:hAnsi="Arial" w:cs="Arial"/>
          <w:bCs/>
          <w:sz w:val="22"/>
          <w:szCs w:val="22"/>
        </w:rPr>
        <w:t>Refund of members’ contributions (MCs) inclusive of interest resulted in an overpayment of P6.007 million for 100 samples amounting to P17.103 million. The payments were based on an incomplete and unreliable records of the System contrary to paragraphs 4.46 and 4.49 of the Conceptual Framework for Financial Reporting, Section 4 of Presidential Decree (PD) 361, as amended by PD 1656, System’s Standard Operating Procedure Nos. 11-92 and MAG-96-05-001 dated 25 February 1992 and 22 April 1996, respectively, and AFPRSBS’ BOT Meeting No. 8 dated 4 November 2010.</w:t>
      </w:r>
    </w:p>
    <w:p>
      <w:pPr>
        <w:pStyle w:val="NoSpacing"/>
        <w:suppressAutoHyphens w:val="0"/>
        <w:contextualSpacing/>
        <w:jc w:val="both"/>
        <w:rPr>
          <w:rFonts w:ascii="Arial" w:hAnsi="Arial" w:cs="Arial"/>
          <w:bCs/>
          <w:sz w:val="22"/>
          <w:szCs w:val="22"/>
        </w:rPr>
      </w:pPr>
    </w:p>
    <w:p>
      <w:pPr>
        <w:pStyle w:val="NoSpacing"/>
        <w:numPr>
          <w:ilvl w:val="1"/>
          <w:numId w:val="40"/>
        </w:numPr>
        <w:suppressAutoHyphens w:val="0"/>
        <w:ind w:hanging="720"/>
        <w:contextualSpacing/>
        <w:jc w:val="both"/>
        <w:rPr>
          <w:rFonts w:ascii="Arial" w:hAnsi="Arial" w:cs="Arial"/>
          <w:bCs/>
          <w:sz w:val="22"/>
          <w:szCs w:val="22"/>
        </w:rPr>
      </w:pPr>
      <w:r>
        <w:rPr>
          <w:rFonts w:ascii="Arial" w:hAnsi="Arial" w:cs="Arial"/>
          <w:sz w:val="22"/>
          <w:szCs w:val="22"/>
        </w:rPr>
        <w:t>We recommended that Management:</w:t>
      </w:r>
    </w:p>
    <w:p>
      <w:pPr>
        <w:pStyle w:val="NoSpacing"/>
        <w:suppressAutoHyphens w:val="0"/>
        <w:contextualSpacing/>
        <w:jc w:val="both"/>
        <w:rPr>
          <w:rFonts w:ascii="Arial" w:hAnsi="Arial" w:cs="Arial"/>
          <w:bCs/>
          <w:sz w:val="22"/>
          <w:szCs w:val="22"/>
        </w:rPr>
      </w:pPr>
    </w:p>
    <w:p>
      <w:pPr>
        <w:pStyle w:val="BodyText"/>
        <w:numPr>
          <w:ilvl w:val="0"/>
          <w:numId w:val="41"/>
        </w:numPr>
        <w:tabs>
          <w:tab w:val="left" w:pos="0"/>
        </w:tabs>
        <w:suppressAutoHyphens w:val="0"/>
        <w:spacing w:after="0"/>
        <w:ind w:left="720" w:right="29" w:firstLine="0"/>
        <w:jc w:val="both"/>
        <w:rPr>
          <w:rFonts w:ascii="Arial" w:hAnsi="Arial" w:cs="Arial"/>
          <w:sz w:val="22"/>
          <w:szCs w:val="22"/>
        </w:rPr>
      </w:pPr>
      <w:r>
        <w:rPr>
          <w:rFonts w:ascii="Arial" w:hAnsi="Arial" w:cs="Arial"/>
          <w:sz w:val="22"/>
          <w:szCs w:val="22"/>
        </w:rPr>
        <w:t>Provide proof of collection on the remittance of P2.659 million by AFP to the System to ensure the correctness of the refund made to the members or their authorized representative, as the case may be;</w:t>
      </w:r>
    </w:p>
    <w:p>
      <w:pPr>
        <w:pStyle w:val="NoSpacing"/>
        <w:suppressAutoHyphens w:val="0"/>
        <w:contextualSpacing/>
        <w:jc w:val="both"/>
        <w:rPr>
          <w:rFonts w:ascii="Arial" w:hAnsi="Arial" w:cs="Arial"/>
          <w:bCs/>
          <w:sz w:val="22"/>
          <w:szCs w:val="22"/>
        </w:rPr>
      </w:pPr>
    </w:p>
    <w:p>
      <w:pPr>
        <w:pStyle w:val="BodyText"/>
        <w:numPr>
          <w:ilvl w:val="0"/>
          <w:numId w:val="41"/>
        </w:numPr>
        <w:tabs>
          <w:tab w:val="left" w:pos="0"/>
        </w:tabs>
        <w:suppressAutoHyphens w:val="0"/>
        <w:spacing w:after="0"/>
        <w:ind w:left="720" w:right="29" w:firstLine="0"/>
        <w:jc w:val="both"/>
        <w:rPr>
          <w:rFonts w:ascii="Arial" w:hAnsi="Arial" w:cs="Arial"/>
          <w:sz w:val="22"/>
          <w:szCs w:val="22"/>
        </w:rPr>
      </w:pPr>
      <w:r>
        <w:rPr>
          <w:rFonts w:ascii="Arial" w:hAnsi="Arial" w:cs="Arial"/>
          <w:sz w:val="22"/>
          <w:szCs w:val="22"/>
        </w:rPr>
        <w:t xml:space="preserve">Recover the excess refund of MCs and the interest paid from concerned members or AFP; </w:t>
      </w:r>
    </w:p>
    <w:p>
      <w:pPr>
        <w:pStyle w:val="NoSpacing"/>
        <w:suppressAutoHyphens w:val="0"/>
        <w:contextualSpacing/>
        <w:jc w:val="both"/>
        <w:rPr>
          <w:rFonts w:ascii="Arial" w:hAnsi="Arial" w:cs="Arial"/>
          <w:bCs/>
          <w:sz w:val="22"/>
          <w:szCs w:val="22"/>
        </w:rPr>
      </w:pPr>
    </w:p>
    <w:p>
      <w:pPr>
        <w:pStyle w:val="BodyText"/>
        <w:numPr>
          <w:ilvl w:val="0"/>
          <w:numId w:val="41"/>
        </w:numPr>
        <w:tabs>
          <w:tab w:val="left" w:pos="0"/>
        </w:tabs>
        <w:suppressAutoHyphens w:val="0"/>
        <w:spacing w:after="0"/>
        <w:ind w:left="720" w:right="29" w:firstLine="0"/>
        <w:jc w:val="both"/>
        <w:rPr>
          <w:rFonts w:ascii="Arial" w:hAnsi="Arial" w:cs="Arial"/>
          <w:sz w:val="22"/>
          <w:szCs w:val="22"/>
        </w:rPr>
      </w:pPr>
      <w:r>
        <w:rPr>
          <w:rFonts w:ascii="Arial" w:hAnsi="Arial" w:cs="Arial"/>
          <w:sz w:val="22"/>
          <w:szCs w:val="22"/>
        </w:rPr>
        <w:t>Accrue interest on all of its members’ contribution at the time it has been received/collected; and</w:t>
      </w:r>
    </w:p>
    <w:p>
      <w:pPr>
        <w:pStyle w:val="NoSpacing"/>
        <w:suppressAutoHyphens w:val="0"/>
        <w:contextualSpacing/>
        <w:jc w:val="both"/>
        <w:rPr>
          <w:rFonts w:ascii="Arial" w:hAnsi="Arial" w:cs="Arial"/>
          <w:bCs/>
          <w:sz w:val="22"/>
          <w:szCs w:val="22"/>
        </w:rPr>
      </w:pPr>
    </w:p>
    <w:p>
      <w:pPr>
        <w:pStyle w:val="BodyText"/>
        <w:numPr>
          <w:ilvl w:val="0"/>
          <w:numId w:val="41"/>
        </w:numPr>
        <w:tabs>
          <w:tab w:val="left" w:pos="0"/>
        </w:tabs>
        <w:suppressAutoHyphens w:val="0"/>
        <w:spacing w:after="0"/>
        <w:ind w:left="720" w:right="29" w:firstLine="0"/>
        <w:jc w:val="both"/>
        <w:rPr>
          <w:rFonts w:ascii="Arial" w:hAnsi="Arial" w:cs="Arial"/>
          <w:sz w:val="22"/>
          <w:szCs w:val="22"/>
        </w:rPr>
      </w:pPr>
      <w:r>
        <w:rPr>
          <w:rFonts w:ascii="Arial" w:hAnsi="Arial" w:cs="Arial"/>
          <w:sz w:val="22"/>
          <w:szCs w:val="22"/>
        </w:rPr>
        <w:t>Henceforth, ensure the propriety of the amount to be refunded to members at all times.</w:t>
      </w:r>
    </w:p>
    <w:p>
      <w:pPr>
        <w:pStyle w:val="NoSpacing"/>
        <w:suppressAutoHyphens w:val="0"/>
        <w:contextualSpacing/>
        <w:jc w:val="both"/>
        <w:rPr>
          <w:rFonts w:ascii="Arial" w:hAnsi="Arial" w:cs="Arial"/>
          <w:sz w:val="22"/>
          <w:szCs w:val="22"/>
          <w:lang w:eastAsia="en-US"/>
        </w:rPr>
      </w:pPr>
    </w:p>
    <w:p>
      <w:pPr>
        <w:pStyle w:val="NoSpacing"/>
        <w:numPr>
          <w:ilvl w:val="0"/>
          <w:numId w:val="40"/>
        </w:numPr>
        <w:suppressAutoHyphens w:val="0"/>
        <w:ind w:left="0" w:firstLine="0"/>
        <w:contextualSpacing/>
        <w:jc w:val="both"/>
        <w:rPr>
          <w:rFonts w:ascii="Arial" w:hAnsi="Arial" w:cs="Arial"/>
          <w:bCs/>
          <w:sz w:val="22"/>
          <w:szCs w:val="22"/>
        </w:rPr>
      </w:pPr>
      <w:r>
        <w:rPr>
          <w:rFonts w:ascii="Arial" w:hAnsi="Arial" w:cs="Arial"/>
          <w:bCs/>
          <w:sz w:val="22"/>
          <w:szCs w:val="22"/>
        </w:rPr>
        <w:t>The existence, validity and accuracy of Cash in Bank accounts totaling to P38.199 million as at December 31, 2017 could not be substantiated due to non-preparation/updating of Bank Reconciliation Statement (BRS) and inclusion of bank account which was already closed thereby resulting to a discrepancy of P9.364 million between bank confirmed amount and GL balance contrary to Sections 63 and 74 of Presidential Decree (PD) No. 1445.</w:t>
      </w:r>
    </w:p>
    <w:p>
      <w:pPr>
        <w:pStyle w:val="NoSpacing"/>
        <w:suppressAutoHyphens w:val="0"/>
        <w:contextualSpacing/>
        <w:jc w:val="both"/>
        <w:rPr>
          <w:rFonts w:ascii="Arial" w:hAnsi="Arial" w:cs="Arial"/>
          <w:bCs/>
          <w:sz w:val="22"/>
          <w:szCs w:val="22"/>
        </w:rPr>
      </w:pPr>
    </w:p>
    <w:p>
      <w:pPr>
        <w:pStyle w:val="NoSpacing"/>
        <w:numPr>
          <w:ilvl w:val="1"/>
          <w:numId w:val="40"/>
        </w:numPr>
        <w:suppressAutoHyphens w:val="0"/>
        <w:ind w:hanging="720"/>
        <w:contextualSpacing/>
        <w:jc w:val="both"/>
        <w:rPr>
          <w:rFonts w:ascii="Arial" w:hAnsi="Arial" w:cs="Arial"/>
          <w:bCs/>
          <w:sz w:val="22"/>
          <w:szCs w:val="22"/>
        </w:rPr>
      </w:pPr>
      <w:r>
        <w:rPr>
          <w:rFonts w:ascii="Arial" w:hAnsi="Arial" w:cs="Arial"/>
          <w:bCs/>
          <w:sz w:val="22"/>
          <w:szCs w:val="22"/>
        </w:rPr>
        <w:t>We recommended that Management:</w:t>
      </w:r>
    </w:p>
    <w:p>
      <w:pPr>
        <w:pStyle w:val="NoSpacing"/>
        <w:suppressAutoHyphens w:val="0"/>
        <w:contextualSpacing/>
        <w:jc w:val="both"/>
        <w:rPr>
          <w:rFonts w:ascii="Arial" w:hAnsi="Arial" w:cs="Arial"/>
          <w:bCs/>
          <w:sz w:val="22"/>
          <w:szCs w:val="22"/>
        </w:rPr>
      </w:pPr>
    </w:p>
    <w:p>
      <w:pPr>
        <w:pStyle w:val="NoSpacing"/>
        <w:numPr>
          <w:ilvl w:val="2"/>
          <w:numId w:val="40"/>
        </w:numPr>
        <w:suppressAutoHyphens w:val="0"/>
        <w:ind w:left="720" w:firstLine="0"/>
        <w:contextualSpacing/>
        <w:jc w:val="both"/>
        <w:rPr>
          <w:rFonts w:ascii="Arial" w:hAnsi="Arial" w:cs="Arial"/>
          <w:bCs/>
          <w:sz w:val="22"/>
          <w:szCs w:val="22"/>
        </w:rPr>
      </w:pPr>
      <w:r>
        <w:rPr>
          <w:rFonts w:ascii="Arial" w:hAnsi="Arial" w:cs="Arial"/>
          <w:bCs/>
          <w:sz w:val="22"/>
          <w:szCs w:val="22"/>
        </w:rPr>
        <w:t>Reconcile the balances of the accounts and make the necessary adjustments in the books; and</w:t>
      </w:r>
    </w:p>
    <w:p>
      <w:pPr>
        <w:pStyle w:val="NoSpacing"/>
        <w:suppressAutoHyphens w:val="0"/>
        <w:ind w:left="720"/>
        <w:contextualSpacing/>
        <w:jc w:val="both"/>
        <w:rPr>
          <w:rFonts w:ascii="Arial" w:hAnsi="Arial" w:cs="Arial"/>
          <w:bCs/>
          <w:sz w:val="22"/>
          <w:szCs w:val="22"/>
        </w:rPr>
      </w:pPr>
    </w:p>
    <w:p>
      <w:pPr>
        <w:pStyle w:val="NoSpacing"/>
        <w:numPr>
          <w:ilvl w:val="2"/>
          <w:numId w:val="40"/>
        </w:numPr>
        <w:suppressAutoHyphens w:val="0"/>
        <w:ind w:left="720" w:firstLine="0"/>
        <w:contextualSpacing/>
        <w:jc w:val="both"/>
        <w:rPr>
          <w:rFonts w:ascii="Arial" w:hAnsi="Arial" w:cs="Arial"/>
          <w:bCs/>
          <w:sz w:val="22"/>
          <w:szCs w:val="22"/>
        </w:rPr>
      </w:pPr>
      <w:r>
        <w:rPr>
          <w:rFonts w:ascii="Arial" w:hAnsi="Arial" w:cs="Arial"/>
          <w:bCs/>
          <w:sz w:val="22"/>
          <w:szCs w:val="22"/>
        </w:rPr>
        <w:t>Prepare the monthly BRS properly for all bank accounts maintained by the System.</w:t>
      </w:r>
    </w:p>
    <w:p>
      <w:pPr>
        <w:pStyle w:val="NoSpacing"/>
        <w:suppressAutoHyphens w:val="0"/>
        <w:contextualSpacing/>
        <w:jc w:val="both"/>
        <w:rPr>
          <w:rFonts w:ascii="Arial" w:hAnsi="Arial" w:cs="Arial"/>
          <w:sz w:val="22"/>
          <w:szCs w:val="22"/>
          <w:lang w:eastAsia="en-US"/>
        </w:rPr>
      </w:pPr>
    </w:p>
    <w:p>
      <w:pPr>
        <w:jc w:val="both"/>
        <w:rPr>
          <w:rFonts w:ascii="Arial" w:hAnsi="Arial" w:cs="Arial"/>
          <w:sz w:val="22"/>
          <w:szCs w:val="22"/>
        </w:rPr>
      </w:pPr>
      <w:r>
        <w:rPr>
          <w:rFonts w:ascii="Arial" w:hAnsi="Arial" w:cs="Arial"/>
          <w:sz w:val="22"/>
          <w:szCs w:val="22"/>
        </w:rPr>
        <w:t>The other audit observations together with the recommendations are discussed in Part II of this report.</w:t>
      </w:r>
    </w:p>
    <w:p>
      <w:pPr>
        <w:pStyle w:val="NoSpacing"/>
        <w:jc w:val="both"/>
        <w:rPr>
          <w:rFonts w:ascii="Arial" w:hAnsi="Arial" w:cs="Arial"/>
          <w:sz w:val="22"/>
          <w:szCs w:val="22"/>
          <w:u w:val="single"/>
          <w:lang w:eastAsia="en-US"/>
        </w:rPr>
      </w:pPr>
    </w:p>
    <w:p>
      <w:pPr>
        <w:tabs>
          <w:tab w:val="left" w:pos="1260"/>
        </w:tabs>
        <w:suppressAutoHyphens w:val="0"/>
        <w:jc w:val="both"/>
        <w:rPr>
          <w:rFonts w:ascii="Arial" w:hAnsi="Arial" w:cs="Arial"/>
          <w:sz w:val="22"/>
          <w:szCs w:val="22"/>
          <w:u w:val="single"/>
        </w:rPr>
      </w:pPr>
    </w:p>
    <w:p>
      <w:pPr>
        <w:pStyle w:val="BodyText"/>
        <w:spacing w:after="0"/>
        <w:ind w:right="108"/>
        <w:jc w:val="both"/>
        <w:rPr>
          <w:rFonts w:ascii="Arial" w:hAnsi="Arial" w:cs="Arial"/>
          <w:b/>
          <w:sz w:val="22"/>
          <w:szCs w:val="22"/>
        </w:rPr>
      </w:pPr>
      <w:r>
        <w:rPr>
          <w:rFonts w:ascii="Arial" w:hAnsi="Arial" w:cs="Arial"/>
          <w:b/>
          <w:sz w:val="22"/>
          <w:szCs w:val="22"/>
          <w:lang w:val="en-PH"/>
        </w:rPr>
        <w:t>STATUS OF IMPLEMENTATION OF PRIOR YEARS’ AUDIT RECOMMENDATIONS</w:t>
      </w:r>
    </w:p>
    <w:p>
      <w:pPr>
        <w:rPr>
          <w:rFonts w:ascii="Arial" w:hAnsi="Arial" w:cs="Arial"/>
          <w:sz w:val="22"/>
          <w:szCs w:val="22"/>
        </w:rPr>
      </w:pPr>
    </w:p>
    <w:p>
      <w:pPr>
        <w:jc w:val="both"/>
        <w:rPr>
          <w:rFonts w:ascii="Arial" w:hAnsi="Arial" w:cs="Arial"/>
          <w:sz w:val="22"/>
          <w:szCs w:val="22"/>
        </w:rPr>
      </w:pPr>
      <w:r>
        <w:rPr>
          <w:rFonts w:ascii="Arial" w:hAnsi="Arial" w:cs="Arial"/>
          <w:sz w:val="22"/>
          <w:szCs w:val="22"/>
        </w:rPr>
        <w:t>Out of the 69 audit recommendations embodied in the prior years’ Annual Audit Report, 42 were implemented, hence, no longer included in this report; 25 were partially implemented and two were not implemented. Details are presented in Part III of this report.</w:t>
      </w:r>
    </w:p>
    <w:sectPr>
      <w:footerReference w:type="default" r:id="rId8"/>
      <w:pgSz w:w="12240" w:h="15840"/>
      <w:pgMar w:top="1440" w:right="1440" w:bottom="1440" w:left="1440" w:header="720" w:footer="1152" w:gutter="720"/>
      <w:pgNumType w:fmt="lowerRoman" w:start="1"/>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right"/>
      <w:rPr>
        <w:rFonts w:ascii="Arial" w:hAnsi="Arial" w:cs="Arial"/>
        <w:sz w:val="20"/>
        <w:szCs w:val="20"/>
        <w:lang w:val="en-PH"/>
      </w:rPr>
    </w:pPr>
  </w:p>
  <w:p>
    <w:pPr>
      <w:pStyle w:val="Foote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i</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Article %1."/>
      <w:lvlJc w:val="left"/>
      <w:pPr>
        <w:tabs>
          <w:tab w:val="num" w:pos="1440"/>
        </w:tabs>
        <w:ind w:left="0" w:firstLine="0"/>
      </w:pPr>
    </w:lvl>
    <w:lvl w:ilvl="1">
      <w:start w:val="1"/>
      <w:numFmt w:val="decimal"/>
      <w:pStyle w:val="Heading2"/>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0"/>
        </w:tabs>
        <w:ind w:left="1080" w:hanging="360"/>
      </w:pPr>
      <w:rPr>
        <w:rFonts w:hint="default"/>
      </w:rPr>
    </w:lvl>
  </w:abstractNum>
  <w:abstractNum w:abstractNumId="2" w15:restartNumberingAfterBreak="0">
    <w:nsid w:val="00000003"/>
    <w:multiLevelType w:val="multilevel"/>
    <w:tmpl w:val="8AECEE88"/>
    <w:name w:val="WW8Num8"/>
    <w:lvl w:ilvl="0">
      <w:start w:val="1"/>
      <w:numFmt w:val="upperRoman"/>
      <w:lvlText w:val="%1."/>
      <w:lvlJc w:val="left"/>
      <w:pPr>
        <w:tabs>
          <w:tab w:val="num" w:pos="720"/>
        </w:tabs>
        <w:ind w:left="1080" w:hanging="720"/>
      </w:pPr>
      <w:rPr>
        <w:rFonts w:ascii="Arial" w:hAnsi="Arial" w:cs="Arial" w:hint="default"/>
        <w:b/>
        <w:sz w:val="22"/>
        <w:szCs w:val="22"/>
      </w:rPr>
    </w:lvl>
    <w:lvl w:ilvl="1">
      <w:start w:val="1"/>
      <w:numFmt w:val="decimal"/>
      <w:lvlText w:val="%1.%2"/>
      <w:lvlJc w:val="left"/>
      <w:pPr>
        <w:tabs>
          <w:tab w:val="num" w:pos="0"/>
        </w:tabs>
        <w:ind w:left="720" w:hanging="360"/>
      </w:pPr>
      <w:rPr>
        <w:rFonts w:ascii="Arial" w:hAnsi="Arial" w:cs="Arial" w:hint="default"/>
        <w:b/>
        <w:sz w:val="22"/>
        <w:szCs w:val="22"/>
      </w:rPr>
    </w:lvl>
    <w:lvl w:ilvl="2">
      <w:start w:val="1"/>
      <w:numFmt w:val="decimal"/>
      <w:lvlText w:val="%1.%2.%3"/>
      <w:lvlJc w:val="left"/>
      <w:pPr>
        <w:tabs>
          <w:tab w:val="num" w:pos="0"/>
        </w:tabs>
        <w:ind w:left="1080" w:hanging="720"/>
      </w:pPr>
      <w:rPr>
        <w:rFonts w:ascii="Arial" w:hAnsi="Arial" w:cs="Arial" w:hint="default"/>
        <w:b/>
        <w:sz w:val="22"/>
        <w:szCs w:val="22"/>
      </w:rPr>
    </w:lvl>
    <w:lvl w:ilvl="3">
      <w:start w:val="1"/>
      <w:numFmt w:val="decimal"/>
      <w:lvlText w:val="%1.%2.%3.%4"/>
      <w:lvlJc w:val="left"/>
      <w:pPr>
        <w:tabs>
          <w:tab w:val="num" w:pos="0"/>
        </w:tabs>
        <w:ind w:left="1080" w:hanging="720"/>
      </w:pPr>
      <w:rPr>
        <w:rFonts w:ascii="Arial" w:hAnsi="Arial" w:cs="Arial" w:hint="default"/>
        <w:b/>
        <w:sz w:val="22"/>
        <w:szCs w:val="22"/>
      </w:rPr>
    </w:lvl>
    <w:lvl w:ilvl="4">
      <w:start w:val="1"/>
      <w:numFmt w:val="decimal"/>
      <w:lvlText w:val="%1.%2.%3.%4.%5"/>
      <w:lvlJc w:val="left"/>
      <w:pPr>
        <w:tabs>
          <w:tab w:val="num" w:pos="0"/>
        </w:tabs>
        <w:ind w:left="1440" w:hanging="1080"/>
      </w:pPr>
      <w:rPr>
        <w:rFonts w:ascii="Arial" w:hAnsi="Arial" w:cs="Arial" w:hint="default"/>
        <w:b/>
        <w:sz w:val="22"/>
        <w:szCs w:val="22"/>
      </w:rPr>
    </w:lvl>
    <w:lvl w:ilvl="5">
      <w:start w:val="1"/>
      <w:numFmt w:val="decimal"/>
      <w:lvlText w:val="%1.%2.%3.%4.%5.%6"/>
      <w:lvlJc w:val="left"/>
      <w:pPr>
        <w:tabs>
          <w:tab w:val="num" w:pos="0"/>
        </w:tabs>
        <w:ind w:left="1440" w:hanging="1080"/>
      </w:pPr>
      <w:rPr>
        <w:rFonts w:ascii="Arial" w:hAnsi="Arial" w:cs="Arial" w:hint="default"/>
        <w:b/>
        <w:sz w:val="22"/>
        <w:szCs w:val="22"/>
      </w:rPr>
    </w:lvl>
    <w:lvl w:ilvl="6">
      <w:start w:val="1"/>
      <w:numFmt w:val="decimal"/>
      <w:lvlText w:val="%1.%2.%3.%4.%5.%6.%7"/>
      <w:lvlJc w:val="left"/>
      <w:pPr>
        <w:tabs>
          <w:tab w:val="num" w:pos="0"/>
        </w:tabs>
        <w:ind w:left="1800" w:hanging="1440"/>
      </w:pPr>
      <w:rPr>
        <w:rFonts w:ascii="Arial" w:hAnsi="Arial" w:cs="Arial" w:hint="default"/>
        <w:b/>
        <w:sz w:val="22"/>
        <w:szCs w:val="22"/>
      </w:rPr>
    </w:lvl>
    <w:lvl w:ilvl="7">
      <w:start w:val="1"/>
      <w:numFmt w:val="decimal"/>
      <w:lvlText w:val="%1.%2.%3.%4.%5.%6.%7.%8"/>
      <w:lvlJc w:val="left"/>
      <w:pPr>
        <w:tabs>
          <w:tab w:val="num" w:pos="0"/>
        </w:tabs>
        <w:ind w:left="1800" w:hanging="1440"/>
      </w:pPr>
      <w:rPr>
        <w:rFonts w:ascii="Arial" w:hAnsi="Arial" w:cs="Arial" w:hint="default"/>
        <w:b/>
        <w:sz w:val="22"/>
        <w:szCs w:val="22"/>
      </w:rPr>
    </w:lvl>
    <w:lvl w:ilvl="8">
      <w:start w:val="1"/>
      <w:numFmt w:val="decimal"/>
      <w:lvlText w:val="%1.%2.%3.%4.%5.%6.%7.%8.%9"/>
      <w:lvlJc w:val="left"/>
      <w:pPr>
        <w:tabs>
          <w:tab w:val="num" w:pos="0"/>
        </w:tabs>
        <w:ind w:left="2160" w:hanging="1800"/>
      </w:pPr>
      <w:rPr>
        <w:rFonts w:ascii="Arial" w:hAnsi="Arial" w:cs="Arial" w:hint="default"/>
        <w:b/>
        <w:sz w:val="22"/>
        <w:szCs w:val="22"/>
      </w:rPr>
    </w:lvl>
  </w:abstractNum>
  <w:abstractNum w:abstractNumId="3" w15:restartNumberingAfterBreak="0">
    <w:nsid w:val="00000004"/>
    <w:multiLevelType w:val="singleLevel"/>
    <w:tmpl w:val="00000004"/>
    <w:name w:val="WW8Num9"/>
    <w:lvl w:ilvl="0">
      <w:start w:val="1"/>
      <w:numFmt w:val="bullet"/>
      <w:lvlText w:val=""/>
      <w:lvlJc w:val="left"/>
      <w:pPr>
        <w:tabs>
          <w:tab w:val="num" w:pos="0"/>
        </w:tabs>
        <w:ind w:left="1440" w:hanging="360"/>
      </w:pPr>
      <w:rPr>
        <w:rFonts w:ascii="Symbol" w:hAnsi="Symbol" w:cs="Symbol" w:hint="default"/>
        <w:sz w:val="22"/>
        <w:szCs w:val="22"/>
      </w:rPr>
    </w:lvl>
  </w:abstractNum>
  <w:abstractNum w:abstractNumId="4" w15:restartNumberingAfterBreak="0">
    <w:nsid w:val="00000005"/>
    <w:multiLevelType w:val="singleLevel"/>
    <w:tmpl w:val="00000005"/>
    <w:name w:val="WW8Num23"/>
    <w:lvl w:ilvl="0">
      <w:start w:val="1"/>
      <w:numFmt w:val="decimal"/>
      <w:lvlText w:val="%1."/>
      <w:lvlJc w:val="left"/>
      <w:pPr>
        <w:tabs>
          <w:tab w:val="num" w:pos="0"/>
        </w:tabs>
        <w:ind w:left="720" w:hanging="360"/>
      </w:pPr>
      <w:rPr>
        <w:rFonts w:ascii="Arial" w:hAnsi="Arial" w:cs="Arial" w:hint="default"/>
        <w:b w:val="0"/>
        <w:color w:val="FF0000"/>
        <w:sz w:val="22"/>
        <w:szCs w:val="22"/>
      </w:rPr>
    </w:lvl>
  </w:abstractNum>
  <w:abstractNum w:abstractNumId="5" w15:restartNumberingAfterBreak="0">
    <w:nsid w:val="00000006"/>
    <w:multiLevelType w:val="multilevel"/>
    <w:tmpl w:val="00000006"/>
    <w:name w:val="WW8Num2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1.%2"/>
      <w:lvlJc w:val="left"/>
      <w:pPr>
        <w:tabs>
          <w:tab w:val="num" w:pos="720"/>
        </w:tabs>
        <w:ind w:left="720" w:hanging="360"/>
      </w:pPr>
      <w:rPr>
        <w:rFonts w:ascii="Arial" w:hAnsi="Arial" w:cs="Arial" w:hint="default"/>
        <w:sz w:val="22"/>
        <w:szCs w:val="22"/>
      </w:rPr>
    </w:lvl>
    <w:lvl w:ilvl="2">
      <w:start w:val="1"/>
      <w:numFmt w:val="decimal"/>
      <w:lvlText w:val="%1.%2.%3"/>
      <w:lvlJc w:val="left"/>
      <w:pPr>
        <w:tabs>
          <w:tab w:val="num" w:pos="0"/>
        </w:tabs>
        <w:ind w:left="1080" w:hanging="720"/>
      </w:pPr>
      <w:rPr>
        <w:rFonts w:ascii="Arial" w:hAnsi="Arial" w:cs="Arial" w:hint="default"/>
        <w:sz w:val="22"/>
        <w:szCs w:val="22"/>
      </w:rPr>
    </w:lvl>
    <w:lvl w:ilvl="3">
      <w:start w:val="1"/>
      <w:numFmt w:val="decimal"/>
      <w:lvlText w:val="%1.%2.%3.%4"/>
      <w:lvlJc w:val="left"/>
      <w:pPr>
        <w:tabs>
          <w:tab w:val="num" w:pos="0"/>
        </w:tabs>
        <w:ind w:left="1080" w:hanging="720"/>
      </w:pPr>
      <w:rPr>
        <w:rFonts w:ascii="Arial" w:hAnsi="Arial" w:cs="Arial" w:hint="default"/>
        <w:sz w:val="22"/>
        <w:szCs w:val="22"/>
      </w:rPr>
    </w:lvl>
    <w:lvl w:ilvl="4">
      <w:start w:val="1"/>
      <w:numFmt w:val="decimal"/>
      <w:lvlText w:val="%1.%2.%3.%4.%5"/>
      <w:lvlJc w:val="left"/>
      <w:pPr>
        <w:tabs>
          <w:tab w:val="num" w:pos="0"/>
        </w:tabs>
        <w:ind w:left="1440" w:hanging="1080"/>
      </w:pPr>
      <w:rPr>
        <w:rFonts w:ascii="Arial" w:hAnsi="Arial" w:cs="Arial" w:hint="default"/>
        <w:sz w:val="22"/>
        <w:szCs w:val="22"/>
      </w:rPr>
    </w:lvl>
    <w:lvl w:ilvl="5">
      <w:start w:val="1"/>
      <w:numFmt w:val="decimal"/>
      <w:lvlText w:val="%1.%2.%3.%4.%5.%6"/>
      <w:lvlJc w:val="left"/>
      <w:pPr>
        <w:tabs>
          <w:tab w:val="num" w:pos="0"/>
        </w:tabs>
        <w:ind w:left="1440" w:hanging="1080"/>
      </w:pPr>
      <w:rPr>
        <w:rFonts w:ascii="Arial" w:hAnsi="Arial" w:cs="Arial" w:hint="default"/>
        <w:sz w:val="22"/>
        <w:szCs w:val="22"/>
      </w:rPr>
    </w:lvl>
    <w:lvl w:ilvl="6">
      <w:start w:val="1"/>
      <w:numFmt w:val="decimal"/>
      <w:lvlText w:val="%1.%2.%3.%4.%5.%6.%7"/>
      <w:lvlJc w:val="left"/>
      <w:pPr>
        <w:tabs>
          <w:tab w:val="num" w:pos="0"/>
        </w:tabs>
        <w:ind w:left="1800" w:hanging="1440"/>
      </w:pPr>
      <w:rPr>
        <w:rFonts w:ascii="Arial" w:hAnsi="Arial" w:cs="Arial" w:hint="default"/>
        <w:sz w:val="22"/>
        <w:szCs w:val="22"/>
      </w:rPr>
    </w:lvl>
    <w:lvl w:ilvl="7">
      <w:start w:val="1"/>
      <w:numFmt w:val="decimal"/>
      <w:lvlText w:val="%1.%2.%3.%4.%5.%6.%7.%8"/>
      <w:lvlJc w:val="left"/>
      <w:pPr>
        <w:tabs>
          <w:tab w:val="num" w:pos="0"/>
        </w:tabs>
        <w:ind w:left="1800" w:hanging="1440"/>
      </w:pPr>
      <w:rPr>
        <w:rFonts w:ascii="Arial" w:hAnsi="Arial" w:cs="Arial" w:hint="default"/>
        <w:sz w:val="22"/>
        <w:szCs w:val="22"/>
      </w:rPr>
    </w:lvl>
    <w:lvl w:ilvl="8">
      <w:start w:val="1"/>
      <w:numFmt w:val="decimal"/>
      <w:lvlText w:val="%1.%2.%3.%4.%5.%6.%7.%8.%9"/>
      <w:lvlJc w:val="left"/>
      <w:pPr>
        <w:tabs>
          <w:tab w:val="num" w:pos="0"/>
        </w:tabs>
        <w:ind w:left="2160" w:hanging="1800"/>
      </w:pPr>
      <w:rPr>
        <w:rFonts w:ascii="Arial" w:hAnsi="Arial" w:cs="Arial" w:hint="default"/>
        <w:sz w:val="22"/>
        <w:szCs w:val="22"/>
      </w:rPr>
    </w:lvl>
  </w:abstractNum>
  <w:abstractNum w:abstractNumId="6" w15:restartNumberingAfterBreak="0">
    <w:nsid w:val="00000007"/>
    <w:multiLevelType w:val="multilevel"/>
    <w:tmpl w:val="00000007"/>
    <w:name w:val="WW8Num30"/>
    <w:lvl w:ilvl="0">
      <w:start w:val="1"/>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0"/>
        </w:tabs>
        <w:ind w:left="720" w:hanging="360"/>
      </w:pPr>
      <w:rPr>
        <w:rFonts w:ascii="Arial" w:hAnsi="Arial" w:cs="Arial" w:hint="default"/>
        <w:sz w:val="22"/>
        <w:szCs w:val="22"/>
      </w:rPr>
    </w:lvl>
    <w:lvl w:ilvl="2">
      <w:start w:val="1"/>
      <w:numFmt w:val="decimal"/>
      <w:lvlText w:val="%1.%2.%3"/>
      <w:lvlJc w:val="left"/>
      <w:pPr>
        <w:tabs>
          <w:tab w:val="num" w:pos="0"/>
        </w:tabs>
        <w:ind w:left="1440" w:hanging="720"/>
      </w:pPr>
      <w:rPr>
        <w:rFonts w:ascii="Arial" w:hAnsi="Arial" w:cs="Arial" w:hint="default"/>
        <w:sz w:val="22"/>
        <w:szCs w:val="22"/>
      </w:rPr>
    </w:lvl>
    <w:lvl w:ilvl="3">
      <w:start w:val="1"/>
      <w:numFmt w:val="decimal"/>
      <w:lvlText w:val="%1.%2.%3.%4"/>
      <w:lvlJc w:val="left"/>
      <w:pPr>
        <w:tabs>
          <w:tab w:val="num" w:pos="0"/>
        </w:tabs>
        <w:ind w:left="1800" w:hanging="720"/>
      </w:pPr>
      <w:rPr>
        <w:rFonts w:ascii="Arial" w:hAnsi="Arial" w:cs="Arial" w:hint="default"/>
        <w:sz w:val="22"/>
        <w:szCs w:val="22"/>
      </w:rPr>
    </w:lvl>
    <w:lvl w:ilvl="4">
      <w:start w:val="1"/>
      <w:numFmt w:val="decimal"/>
      <w:lvlText w:val="%1.%2.%3.%4.%5"/>
      <w:lvlJc w:val="left"/>
      <w:pPr>
        <w:tabs>
          <w:tab w:val="num" w:pos="0"/>
        </w:tabs>
        <w:ind w:left="2520" w:hanging="1080"/>
      </w:pPr>
      <w:rPr>
        <w:rFonts w:ascii="Arial" w:hAnsi="Arial" w:cs="Arial" w:hint="default"/>
        <w:sz w:val="22"/>
        <w:szCs w:val="22"/>
      </w:rPr>
    </w:lvl>
    <w:lvl w:ilvl="5">
      <w:start w:val="1"/>
      <w:numFmt w:val="decimal"/>
      <w:lvlText w:val="%1.%2.%3.%4.%5.%6"/>
      <w:lvlJc w:val="left"/>
      <w:pPr>
        <w:tabs>
          <w:tab w:val="num" w:pos="0"/>
        </w:tabs>
        <w:ind w:left="2880" w:hanging="1080"/>
      </w:pPr>
      <w:rPr>
        <w:rFonts w:ascii="Arial" w:hAnsi="Arial" w:cs="Arial" w:hint="default"/>
        <w:sz w:val="22"/>
        <w:szCs w:val="22"/>
      </w:rPr>
    </w:lvl>
    <w:lvl w:ilvl="6">
      <w:start w:val="1"/>
      <w:numFmt w:val="decimal"/>
      <w:lvlText w:val="%1.%2.%3.%4.%5.%6.%7"/>
      <w:lvlJc w:val="left"/>
      <w:pPr>
        <w:tabs>
          <w:tab w:val="num" w:pos="0"/>
        </w:tabs>
        <w:ind w:left="3600" w:hanging="1440"/>
      </w:pPr>
      <w:rPr>
        <w:rFonts w:ascii="Arial" w:hAnsi="Arial" w:cs="Arial" w:hint="default"/>
        <w:sz w:val="22"/>
        <w:szCs w:val="22"/>
      </w:rPr>
    </w:lvl>
    <w:lvl w:ilvl="7">
      <w:start w:val="1"/>
      <w:numFmt w:val="decimal"/>
      <w:lvlText w:val="%1.%2.%3.%4.%5.%6.%7.%8"/>
      <w:lvlJc w:val="left"/>
      <w:pPr>
        <w:tabs>
          <w:tab w:val="num" w:pos="0"/>
        </w:tabs>
        <w:ind w:left="3960" w:hanging="1440"/>
      </w:pPr>
      <w:rPr>
        <w:rFonts w:ascii="Arial" w:hAnsi="Arial" w:cs="Arial" w:hint="default"/>
        <w:sz w:val="22"/>
        <w:szCs w:val="22"/>
      </w:rPr>
    </w:lvl>
    <w:lvl w:ilvl="8">
      <w:start w:val="1"/>
      <w:numFmt w:val="decimal"/>
      <w:lvlText w:val="%1.%2.%3.%4.%5.%6.%7.%8.%9"/>
      <w:lvlJc w:val="left"/>
      <w:pPr>
        <w:tabs>
          <w:tab w:val="num" w:pos="0"/>
        </w:tabs>
        <w:ind w:left="4680" w:hanging="1800"/>
      </w:pPr>
      <w:rPr>
        <w:rFonts w:ascii="Arial" w:hAnsi="Arial" w:cs="Arial" w:hint="default"/>
        <w:sz w:val="22"/>
        <w:szCs w:val="22"/>
      </w:rPr>
    </w:lvl>
  </w:abstractNum>
  <w:abstractNum w:abstractNumId="7" w15:restartNumberingAfterBreak="0">
    <w:nsid w:val="00000008"/>
    <w:multiLevelType w:val="singleLevel"/>
    <w:tmpl w:val="00000008"/>
    <w:name w:val="WW8Num36"/>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8" w15:restartNumberingAfterBreak="0">
    <w:nsid w:val="00000009"/>
    <w:multiLevelType w:val="multilevel"/>
    <w:tmpl w:val="00000009"/>
    <w:name w:val="WW8Num44"/>
    <w:lvl w:ilvl="0">
      <w:start w:val="3"/>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0"/>
        </w:tabs>
        <w:ind w:left="360" w:hanging="36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9" w15:restartNumberingAfterBreak="0">
    <w:nsid w:val="0000000A"/>
    <w:multiLevelType w:val="singleLevel"/>
    <w:tmpl w:val="0000000A"/>
    <w:name w:val="WW8Num46"/>
    <w:lvl w:ilvl="0">
      <w:start w:val="1"/>
      <w:numFmt w:val="lowerLetter"/>
      <w:lvlText w:val="%1."/>
      <w:lvlJc w:val="left"/>
      <w:pPr>
        <w:tabs>
          <w:tab w:val="num" w:pos="0"/>
        </w:tabs>
        <w:ind w:left="1080" w:hanging="360"/>
      </w:pPr>
      <w:rPr>
        <w:rFonts w:ascii="Arial" w:hAnsi="Arial" w:cs="Arial" w:hint="default"/>
        <w:b w:val="0"/>
      </w:rPr>
    </w:lvl>
  </w:abstractNum>
  <w:abstractNum w:abstractNumId="10" w15:restartNumberingAfterBreak="0">
    <w:nsid w:val="0000000B"/>
    <w:multiLevelType w:val="singleLevel"/>
    <w:tmpl w:val="0000000B"/>
    <w:name w:val="WW8Num48"/>
    <w:lvl w:ilvl="0">
      <w:start w:val="1"/>
      <w:numFmt w:val="lowerRoman"/>
      <w:lvlText w:val="%1."/>
      <w:lvlJc w:val="left"/>
      <w:pPr>
        <w:tabs>
          <w:tab w:val="num" w:pos="0"/>
        </w:tabs>
        <w:ind w:left="2160" w:hanging="720"/>
      </w:pPr>
      <w:rPr>
        <w:rFonts w:ascii="Arial" w:hAnsi="Arial" w:cs="Arial" w:hint="default"/>
        <w:sz w:val="22"/>
        <w:szCs w:val="22"/>
      </w:rPr>
    </w:lvl>
  </w:abstractNum>
  <w:abstractNum w:abstractNumId="11" w15:restartNumberingAfterBreak="0">
    <w:nsid w:val="0000000C"/>
    <w:multiLevelType w:val="singleLevel"/>
    <w:tmpl w:val="0000000C"/>
    <w:name w:val="WW8Num52"/>
    <w:lvl w:ilvl="0">
      <w:start w:val="1"/>
      <w:numFmt w:val="lowerLetter"/>
      <w:lvlText w:val="%1."/>
      <w:lvlJc w:val="left"/>
      <w:pPr>
        <w:tabs>
          <w:tab w:val="num" w:pos="0"/>
        </w:tabs>
        <w:ind w:left="2520" w:hanging="360"/>
      </w:pPr>
      <w:rPr>
        <w:rFonts w:ascii="Arial" w:hAnsi="Arial" w:cs="Arial" w:hint="default"/>
        <w:sz w:val="22"/>
        <w:szCs w:val="22"/>
      </w:rPr>
    </w:lvl>
  </w:abstractNum>
  <w:abstractNum w:abstractNumId="12" w15:restartNumberingAfterBreak="0">
    <w:nsid w:val="0000000D"/>
    <w:multiLevelType w:val="singleLevel"/>
    <w:tmpl w:val="0000000D"/>
    <w:name w:val="WW8Num56"/>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13" w15:restartNumberingAfterBreak="0">
    <w:nsid w:val="00DB1220"/>
    <w:multiLevelType w:val="hybridMultilevel"/>
    <w:tmpl w:val="B4B891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5CE4F94"/>
    <w:multiLevelType w:val="hybridMultilevel"/>
    <w:tmpl w:val="13BC859E"/>
    <w:lvl w:ilvl="0" w:tplc="8C26179C">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67A2286"/>
    <w:multiLevelType w:val="hybridMultilevel"/>
    <w:tmpl w:val="48CE5EE0"/>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0EDF2676"/>
    <w:multiLevelType w:val="hybridMultilevel"/>
    <w:tmpl w:val="A4D88406"/>
    <w:lvl w:ilvl="0" w:tplc="4642A6BA">
      <w:start w:val="1"/>
      <w:numFmt w:val="lowerRoman"/>
      <w:lvlText w:val="%1."/>
      <w:lvlJc w:val="left"/>
      <w:pPr>
        <w:ind w:left="2160" w:hanging="72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7" w15:restartNumberingAfterBreak="0">
    <w:nsid w:val="110C35A8"/>
    <w:multiLevelType w:val="hybridMultilevel"/>
    <w:tmpl w:val="6BEEFD04"/>
    <w:lvl w:ilvl="0" w:tplc="7BACE1D8">
      <w:start w:val="1"/>
      <w:numFmt w:val="upp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8" w15:restartNumberingAfterBreak="0">
    <w:nsid w:val="124043D3"/>
    <w:multiLevelType w:val="hybridMultilevel"/>
    <w:tmpl w:val="DAF8D912"/>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18DD1779"/>
    <w:multiLevelType w:val="hybridMultilevel"/>
    <w:tmpl w:val="079C3A1C"/>
    <w:lvl w:ilvl="0" w:tplc="294224D2">
      <w:start w:val="1"/>
      <w:numFmt w:val="lowerLetter"/>
      <w:lvlText w:val="%1."/>
      <w:lvlJc w:val="left"/>
      <w:pPr>
        <w:ind w:left="2514" w:hanging="360"/>
      </w:pPr>
      <w:rPr>
        <w:rFonts w:eastAsia="MS Mincho" w:cs="Times New Roman"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20" w15:restartNumberingAfterBreak="0">
    <w:nsid w:val="18FF26C8"/>
    <w:multiLevelType w:val="hybridMultilevel"/>
    <w:tmpl w:val="404C28AC"/>
    <w:lvl w:ilvl="0" w:tplc="DC7AC7B6">
      <w:start w:val="1"/>
      <w:numFmt w:val="lowerLetter"/>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1DDD586B"/>
    <w:multiLevelType w:val="hybridMultilevel"/>
    <w:tmpl w:val="079C3A1C"/>
    <w:lvl w:ilvl="0" w:tplc="294224D2">
      <w:start w:val="1"/>
      <w:numFmt w:val="lowerLetter"/>
      <w:lvlText w:val="%1."/>
      <w:lvlJc w:val="left"/>
      <w:pPr>
        <w:ind w:left="2514" w:hanging="360"/>
      </w:pPr>
      <w:rPr>
        <w:rFonts w:eastAsia="MS Mincho" w:cs="Times New Roman"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22" w15:restartNumberingAfterBreak="0">
    <w:nsid w:val="1F2330D0"/>
    <w:multiLevelType w:val="hybridMultilevel"/>
    <w:tmpl w:val="6018D1C2"/>
    <w:lvl w:ilvl="0" w:tplc="4E8A72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533610"/>
    <w:multiLevelType w:val="hybridMultilevel"/>
    <w:tmpl w:val="6194E15E"/>
    <w:lvl w:ilvl="0" w:tplc="3E42FE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7D2F6E"/>
    <w:multiLevelType w:val="hybridMultilevel"/>
    <w:tmpl w:val="8D38003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31869E3"/>
    <w:multiLevelType w:val="multilevel"/>
    <w:tmpl w:val="C89E0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33954E6"/>
    <w:multiLevelType w:val="multilevel"/>
    <w:tmpl w:val="C12410E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ascii="Arial" w:hAnsi="Arial" w:cs="Arial"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5954DE2"/>
    <w:multiLevelType w:val="hybridMultilevel"/>
    <w:tmpl w:val="50A2EF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040228"/>
    <w:multiLevelType w:val="multilevel"/>
    <w:tmpl w:val="C12410E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ascii="Arial" w:hAnsi="Arial" w:cs="Arial"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6A04F78"/>
    <w:multiLevelType w:val="hybridMultilevel"/>
    <w:tmpl w:val="2D3CBA80"/>
    <w:lvl w:ilvl="0" w:tplc="21EE0EF8">
      <w:start w:val="1"/>
      <w:numFmt w:val="lowerRoman"/>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0" w15:restartNumberingAfterBreak="0">
    <w:nsid w:val="36B622D9"/>
    <w:multiLevelType w:val="hybridMultilevel"/>
    <w:tmpl w:val="353836C8"/>
    <w:lvl w:ilvl="0" w:tplc="43C67132">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39715546"/>
    <w:multiLevelType w:val="multilevel"/>
    <w:tmpl w:val="C12410E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ascii="Arial" w:hAnsi="Arial" w:cs="Arial"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99E1F69"/>
    <w:multiLevelType w:val="hybridMultilevel"/>
    <w:tmpl w:val="92C6470A"/>
    <w:lvl w:ilvl="0" w:tplc="DC7AC7B6">
      <w:start w:val="1"/>
      <w:numFmt w:val="lowerLetter"/>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01D60CC"/>
    <w:multiLevelType w:val="hybridMultilevel"/>
    <w:tmpl w:val="3B4431B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1757389"/>
    <w:multiLevelType w:val="multilevel"/>
    <w:tmpl w:val="C12410E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ascii="Arial" w:hAnsi="Arial" w:cs="Arial"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F30218F"/>
    <w:multiLevelType w:val="hybridMultilevel"/>
    <w:tmpl w:val="5EB0121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4F681266"/>
    <w:multiLevelType w:val="hybridMultilevel"/>
    <w:tmpl w:val="B1BCE746"/>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7" w15:restartNumberingAfterBreak="0">
    <w:nsid w:val="53620D38"/>
    <w:multiLevelType w:val="hybridMultilevel"/>
    <w:tmpl w:val="F376B0D4"/>
    <w:lvl w:ilvl="0" w:tplc="8D24059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8" w15:restartNumberingAfterBreak="0">
    <w:nsid w:val="538B3553"/>
    <w:multiLevelType w:val="hybridMultilevel"/>
    <w:tmpl w:val="B6FA165E"/>
    <w:lvl w:ilvl="0" w:tplc="8F74E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2F172E"/>
    <w:multiLevelType w:val="hybridMultilevel"/>
    <w:tmpl w:val="6A26C286"/>
    <w:lvl w:ilvl="0" w:tplc="31FC1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9DC0BCA"/>
    <w:multiLevelType w:val="hybridMultilevel"/>
    <w:tmpl w:val="BE541B80"/>
    <w:lvl w:ilvl="0" w:tplc="34090019">
      <w:start w:val="1"/>
      <w:numFmt w:val="lowerLetter"/>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2564507"/>
    <w:multiLevelType w:val="hybridMultilevel"/>
    <w:tmpl w:val="CD106F70"/>
    <w:lvl w:ilvl="0" w:tplc="0F047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7B30A1"/>
    <w:multiLevelType w:val="hybridMultilevel"/>
    <w:tmpl w:val="5394E6C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4E156A2"/>
    <w:multiLevelType w:val="hybridMultilevel"/>
    <w:tmpl w:val="3FE81C56"/>
    <w:lvl w:ilvl="0" w:tplc="90B4CA14">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5AD6561"/>
    <w:multiLevelType w:val="hybridMultilevel"/>
    <w:tmpl w:val="D27EAB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9553913"/>
    <w:multiLevelType w:val="hybridMultilevel"/>
    <w:tmpl w:val="95CE74E2"/>
    <w:lvl w:ilvl="0" w:tplc="80D04BA0">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DE07A19"/>
    <w:multiLevelType w:val="hybridMultilevel"/>
    <w:tmpl w:val="B8344340"/>
    <w:lvl w:ilvl="0" w:tplc="A93E4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364454"/>
    <w:multiLevelType w:val="hybridMultilevel"/>
    <w:tmpl w:val="81A8967E"/>
    <w:lvl w:ilvl="0" w:tplc="49C20B5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3FE3424"/>
    <w:multiLevelType w:val="multilevel"/>
    <w:tmpl w:val="017AE6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5150983"/>
    <w:multiLevelType w:val="multilevel"/>
    <w:tmpl w:val="A4B09B36"/>
    <w:lvl w:ilvl="0">
      <w:start w:val="1"/>
      <w:numFmt w:val="decimal"/>
      <w:lvlText w:val="%1."/>
      <w:lvlJc w:val="left"/>
      <w:pPr>
        <w:ind w:left="1080" w:hanging="360"/>
      </w:pPr>
      <w:rPr>
        <w:rFonts w:hint="default"/>
        <w:b w:val="0"/>
        <w:color w:val="auto"/>
        <w:sz w:val="22"/>
        <w:szCs w:val="22"/>
      </w:rPr>
    </w:lvl>
    <w:lvl w:ilvl="1">
      <w:start w:val="1"/>
      <w:numFmt w:val="decimal"/>
      <w:isLgl/>
      <w:lvlText w:val="%1.%2"/>
      <w:lvlJc w:val="left"/>
      <w:pPr>
        <w:ind w:left="1080" w:hanging="360"/>
      </w:pPr>
      <w:rPr>
        <w:rFonts w:ascii="Arial" w:hAnsi="Arial" w:cs="Arial"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15:restartNumberingAfterBreak="0">
    <w:nsid w:val="777E7952"/>
    <w:multiLevelType w:val="hybridMultilevel"/>
    <w:tmpl w:val="A282C994"/>
    <w:lvl w:ilvl="0" w:tplc="04090019">
      <w:start w:val="1"/>
      <w:numFmt w:val="lowerLetter"/>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1" w15:restartNumberingAfterBreak="0">
    <w:nsid w:val="7C0F2282"/>
    <w:multiLevelType w:val="hybridMultilevel"/>
    <w:tmpl w:val="B7328FFA"/>
    <w:lvl w:ilvl="0" w:tplc="DC3A5C1E">
      <w:start w:val="1"/>
      <w:numFmt w:val="lowerLetter"/>
      <w:lvlText w:val="%1."/>
      <w:lvlJc w:val="left"/>
      <w:pPr>
        <w:ind w:left="1080" w:hanging="360"/>
      </w:pPr>
      <w:rPr>
        <w:rFonts w:hint="default"/>
        <w:b w:val="0"/>
        <w:sz w:val="22"/>
        <w:szCs w:val="22"/>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 w:numId="2">
    <w:abstractNumId w:val="2"/>
  </w:num>
  <w:num w:numId="3">
    <w:abstractNumId w:val="49"/>
  </w:num>
  <w:num w:numId="4">
    <w:abstractNumId w:val="13"/>
  </w:num>
  <w:num w:numId="5">
    <w:abstractNumId w:val="44"/>
  </w:num>
  <w:num w:numId="6">
    <w:abstractNumId w:val="34"/>
  </w:num>
  <w:num w:numId="7">
    <w:abstractNumId w:val="48"/>
  </w:num>
  <w:num w:numId="8">
    <w:abstractNumId w:val="27"/>
  </w:num>
  <w:num w:numId="9">
    <w:abstractNumId w:val="16"/>
  </w:num>
  <w:num w:numId="10">
    <w:abstractNumId w:val="51"/>
  </w:num>
  <w:num w:numId="11">
    <w:abstractNumId w:val="42"/>
  </w:num>
  <w:num w:numId="12">
    <w:abstractNumId w:val="25"/>
  </w:num>
  <w:num w:numId="13">
    <w:abstractNumId w:val="43"/>
  </w:num>
  <w:num w:numId="14">
    <w:abstractNumId w:val="46"/>
  </w:num>
  <w:num w:numId="15">
    <w:abstractNumId w:val="18"/>
  </w:num>
  <w:num w:numId="16">
    <w:abstractNumId w:val="15"/>
  </w:num>
  <w:num w:numId="17">
    <w:abstractNumId w:val="20"/>
  </w:num>
  <w:num w:numId="18">
    <w:abstractNumId w:val="29"/>
  </w:num>
  <w:num w:numId="19">
    <w:abstractNumId w:val="35"/>
  </w:num>
  <w:num w:numId="20">
    <w:abstractNumId w:val="17"/>
  </w:num>
  <w:num w:numId="21">
    <w:abstractNumId w:val="37"/>
  </w:num>
  <w:num w:numId="22">
    <w:abstractNumId w:val="24"/>
  </w:num>
  <w:num w:numId="23">
    <w:abstractNumId w:val="36"/>
  </w:num>
  <w:num w:numId="24">
    <w:abstractNumId w:val="45"/>
  </w:num>
  <w:num w:numId="25">
    <w:abstractNumId w:val="30"/>
  </w:num>
  <w:num w:numId="26">
    <w:abstractNumId w:val="40"/>
  </w:num>
  <w:num w:numId="27">
    <w:abstractNumId w:val="19"/>
  </w:num>
  <w:num w:numId="28">
    <w:abstractNumId w:val="23"/>
  </w:num>
  <w:num w:numId="29">
    <w:abstractNumId w:val="41"/>
  </w:num>
  <w:num w:numId="30">
    <w:abstractNumId w:val="22"/>
  </w:num>
  <w:num w:numId="31">
    <w:abstractNumId w:val="33"/>
  </w:num>
  <w:num w:numId="32">
    <w:abstractNumId w:val="38"/>
  </w:num>
  <w:num w:numId="33">
    <w:abstractNumId w:val="39"/>
  </w:num>
  <w:num w:numId="34">
    <w:abstractNumId w:val="14"/>
  </w:num>
  <w:num w:numId="35">
    <w:abstractNumId w:val="32"/>
  </w:num>
  <w:num w:numId="36">
    <w:abstractNumId w:val="47"/>
  </w:num>
  <w:num w:numId="37">
    <w:abstractNumId w:val="31"/>
  </w:num>
  <w:num w:numId="38">
    <w:abstractNumId w:val="21"/>
  </w:num>
  <w:num w:numId="39">
    <w:abstractNumId w:val="26"/>
  </w:num>
  <w:num w:numId="40">
    <w:abstractNumId w:val="28"/>
  </w:num>
  <w:num w:numId="41">
    <w:abstractNumId w:val="5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80Q0M56TJQHd+1WHFQeAWew92YbbBBHhfJjJGxG9BJvY1A7poRwT9ek3Bij+381oOpz8Hs3VbXbZ82/dolwn9g==" w:salt="041irjJ7ED4gMVuarx/4kA=="/>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60A8F62-8351-4587-9B63-22A73868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ind w:left="0" w:right="360" w:firstLine="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ascii="Arial" w:hAnsi="Arial" w:cs="Arial" w:hint="default"/>
      <w:b/>
      <w:sz w:val="22"/>
      <w:szCs w:val="22"/>
    </w:rPr>
  </w:style>
  <w:style w:type="character" w:customStyle="1" w:styleId="WW8Num9z0">
    <w:name w:val="WW8Num9z0"/>
    <w:rPr>
      <w:rFonts w:ascii="Symbol" w:hAnsi="Symbol" w:cs="Symbol" w:hint="default"/>
      <w:sz w:val="22"/>
      <w:szCs w:val="22"/>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rPr>
  </w:style>
  <w:style w:type="character" w:customStyle="1" w:styleId="WW8Num11z1">
    <w:name w:val="WW8Num11z1"/>
    <w:rPr>
      <w:rFonts w:hint="default"/>
      <w:b w:val="0"/>
      <w:i w:val="0"/>
    </w:rPr>
  </w:style>
  <w:style w:type="character" w:customStyle="1" w:styleId="WW8Num11z2">
    <w:name w:val="WW8Num11z2"/>
    <w:rPr>
      <w:rFonts w:hint="default"/>
      <w:b/>
    </w:rPr>
  </w:style>
  <w:style w:type="character" w:customStyle="1" w:styleId="WW8Num12z0">
    <w:name w:val="WW8Num12z0"/>
    <w:rPr>
      <w:rFont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b w:val="0"/>
    </w:rPr>
  </w:style>
  <w:style w:type="character" w:customStyle="1" w:styleId="WW8Num16z1">
    <w:name w:val="WW8Num16z1"/>
    <w:rPr>
      <w:rFonts w:hint="default"/>
      <w:b w:val="0"/>
      <w:i w:val="0"/>
      <w:sz w:val="22"/>
      <w:szCs w:val="22"/>
    </w:rPr>
  </w:style>
  <w:style w:type="character" w:customStyle="1" w:styleId="WW8Num16z3">
    <w:name w:val="WW8Num16z3"/>
    <w:rPr>
      <w:rFonts w:hint="default"/>
    </w:rPr>
  </w:style>
  <w:style w:type="character" w:customStyle="1" w:styleId="WW8Num17z0">
    <w:name w:val="WW8Num17z0"/>
    <w:rPr>
      <w:rFonts w:hint="default"/>
    </w:rPr>
  </w:style>
  <w:style w:type="character" w:customStyle="1" w:styleId="WW8Num17z1">
    <w:name w:val="WW8Num17z1"/>
    <w:rPr>
      <w:rFonts w:hint="default"/>
      <w:b w:val="0"/>
      <w:i w:val="0"/>
      <w:sz w:val="22"/>
      <w:szCs w:val="22"/>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b w:val="0"/>
      <w:i w:val="0"/>
      <w:color w:val="000000"/>
    </w:rPr>
  </w:style>
  <w:style w:type="character" w:customStyle="1" w:styleId="WW8Num19z1">
    <w:name w:val="WW8Num19z1"/>
    <w:rPr>
      <w:rFonts w:hint="default"/>
      <w:b w:val="0"/>
      <w:i w:val="0"/>
      <w:sz w:val="22"/>
      <w:szCs w:val="22"/>
    </w:rPr>
  </w:style>
  <w:style w:type="character" w:customStyle="1" w:styleId="WW8Num19z2">
    <w:name w:val="WW8Num19z2"/>
    <w:rPr>
      <w:rFonts w:hint="default"/>
      <w:b w:val="0"/>
      <w:sz w:val="22"/>
      <w:szCs w:val="22"/>
    </w:rPr>
  </w:style>
  <w:style w:type="character" w:customStyle="1" w:styleId="WW8Num19z3">
    <w:name w:val="WW8Num19z3"/>
    <w:rPr>
      <w:rFonts w:hint="default"/>
      <w:b/>
      <w:i w:val="0"/>
    </w:rPr>
  </w:style>
  <w:style w:type="character" w:customStyle="1" w:styleId="WW8Num19z5">
    <w:name w:val="WW8Num19z5"/>
    <w:rPr>
      <w:rFont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b w:val="0"/>
      <w:color w:val="FF0000"/>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sz w:val="22"/>
      <w:szCs w:val="22"/>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eastAsia="MS Mincho" w:hAnsi="Arial" w:cs="Arial"/>
      <w:b/>
      <w:i w:val="0"/>
      <w:sz w:val="22"/>
      <w:szCs w:val="22"/>
    </w:rPr>
  </w:style>
  <w:style w:type="character" w:customStyle="1" w:styleId="WW8Num26z1">
    <w:name w:val="WW8Num26z1"/>
    <w:rPr>
      <w:rFonts w:hint="default"/>
      <w:b w:val="0"/>
      <w:i w:val="0"/>
      <w:color w:val="auto"/>
      <w:sz w:val="22"/>
      <w:szCs w:val="22"/>
    </w:rPr>
  </w:style>
  <w:style w:type="character" w:customStyle="1" w:styleId="WW8Num26z2">
    <w:name w:val="WW8Num26z2"/>
    <w:rPr>
      <w:rFonts w:hint="default"/>
      <w:b w:val="0"/>
      <w:sz w:val="22"/>
      <w:szCs w:val="22"/>
    </w:rPr>
  </w:style>
  <w:style w:type="character" w:customStyle="1" w:styleId="WW8Num26z3">
    <w:name w:val="WW8Num26z3"/>
    <w:rPr>
      <w:rFonts w:hint="default"/>
      <w:b w:val="0"/>
    </w:rPr>
  </w:style>
  <w:style w:type="character" w:customStyle="1" w:styleId="WW8Num27z0">
    <w:name w:val="WW8Num27z0"/>
    <w:rPr>
      <w:rFonts w:hint="default"/>
    </w:rPr>
  </w:style>
  <w:style w:type="character" w:customStyle="1" w:styleId="WW8Num28z0">
    <w:name w:val="WW8Num28z0"/>
    <w:rPr>
      <w:rFonts w:hint="default"/>
      <w:b/>
    </w:rPr>
  </w:style>
  <w:style w:type="character" w:customStyle="1" w:styleId="WW8Num28z1">
    <w:name w:val="WW8Num28z1"/>
    <w:rPr>
      <w:rFonts w:hint="default"/>
      <w:b w:val="0"/>
    </w:rPr>
  </w:style>
  <w:style w:type="character" w:customStyle="1" w:styleId="WW8Num29z0">
    <w:name w:val="WW8Num29z0"/>
    <w:rPr>
      <w:rFonts w:hint="default"/>
    </w:rPr>
  </w:style>
  <w:style w:type="character" w:customStyle="1" w:styleId="WW8Num30z0">
    <w:name w:val="WW8Num30z0"/>
    <w:rPr>
      <w:rFonts w:ascii="Arial" w:hAnsi="Arial" w:cs="Arial" w:hint="default"/>
      <w:sz w:val="22"/>
      <w:szCs w:val="22"/>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val="0"/>
    </w:rPr>
  </w:style>
  <w:style w:type="character" w:customStyle="1" w:styleId="WW8Num32z1">
    <w:name w:val="WW8Num32z1"/>
    <w:rPr>
      <w:rFonts w:hint="default"/>
      <w:b w:val="0"/>
      <w:i w:val="0"/>
    </w:rPr>
  </w:style>
  <w:style w:type="character" w:customStyle="1" w:styleId="WW8Num32z2">
    <w:name w:val="WW8Num32z2"/>
    <w:rPr>
      <w:rFonts w:hint="default"/>
      <w:b/>
    </w:rPr>
  </w:style>
  <w:style w:type="character" w:customStyle="1" w:styleId="WW8Num33z0">
    <w:name w:val="WW8Num33z0"/>
    <w:rPr>
      <w:rFonts w:ascii="Arial" w:hAnsi="Arial" w:cs="Arial"/>
      <w:sz w:val="22"/>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5z1">
    <w:name w:val="WW8Num35z1"/>
    <w:rPr>
      <w:rFonts w:ascii="Arial" w:hAnsi="Arial" w:cs="Arial" w:hint="default"/>
      <w:b w:val="0"/>
      <w:i w:val="0"/>
      <w:color w:val="auto"/>
      <w:sz w:val="22"/>
      <w:szCs w:val="22"/>
    </w:rPr>
  </w:style>
  <w:style w:type="character" w:customStyle="1" w:styleId="WW8Num36z0">
    <w:name w:val="WW8Num36z0"/>
    <w:rPr>
      <w:rFonts w:ascii="Symbol" w:hAnsi="Symbol" w:cs="Symbol" w:hint="default"/>
      <w:sz w:val="22"/>
      <w:szCs w:val="22"/>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b w:val="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w:hAnsi="Arial" w:cs="Arial" w:hint="default"/>
      <w:sz w:val="22"/>
      <w:szCs w:val="22"/>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s="Arial" w:hint="default"/>
      <w:b w:val="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hint="default"/>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1z0">
    <w:name w:val="WW8Num51z0"/>
    <w:rPr>
      <w:rFonts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sz w:val="22"/>
      <w:szCs w:val="22"/>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Symbol" w:hAnsi="Symbol" w:cs="Symbol"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eastAsia="MS Mincho" w:cs="Times New Roman" w:hint="default"/>
    </w:rPr>
  </w:style>
  <w:style w:type="character" w:customStyle="1" w:styleId="WW8Num56z0">
    <w:name w:val="WW8Num56z0"/>
    <w:rPr>
      <w:rFonts w:ascii="Arial" w:hAnsi="Arial" w:cs="Arial" w:hint="default"/>
      <w:b w:val="0"/>
      <w:sz w:val="22"/>
      <w:szCs w:val="22"/>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BodyTextIndentChar">
    <w:name w:val="Body Text Indent Char"/>
    <w:rPr>
      <w:rFonts w:eastAsia="Calibri"/>
      <w:sz w:val="24"/>
      <w:szCs w:val="24"/>
      <w:lang w:val="en-US" w:eastAsia="ar-SA" w:bidi="ar-SA"/>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styleId="PageNumber">
    <w:name w:val="page number"/>
    <w:basedOn w:val="DefaultParagraphFont"/>
  </w:style>
  <w:style w:type="character" w:customStyle="1" w:styleId="BodyTextChar">
    <w:name w:val="Body Text Char"/>
    <w:rPr>
      <w:sz w:val="24"/>
      <w:szCs w:val="24"/>
      <w:lang w:val="en-U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spacing w:after="120"/>
      <w:ind w:left="360"/>
    </w:pPr>
    <w:rPr>
      <w:rFonts w:eastAsia="Calibri"/>
    </w:rPr>
  </w:style>
  <w:style w:type="paragraph" w:styleId="ListParagraph">
    <w:name w:val="List Paragraph"/>
    <w:basedOn w:val="Normal"/>
    <w:uiPriority w:val="34"/>
    <w:qFormat/>
    <w:pPr>
      <w:ind w:left="720"/>
    </w:pPr>
    <w:rPr>
      <w:rFonts w:eastAsia="Calibri"/>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Strong">
    <w:name w:val="Strong"/>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uppressAutoHyphens/>
    </w:pPr>
    <w:rPr>
      <w:sz w:val="24"/>
      <w:szCs w:val="24"/>
      <w:lang w:eastAsia="ar-SA"/>
    </w:rPr>
  </w:style>
  <w:style w:type="paragraph" w:styleId="Revision">
    <w:name w:val="Revision"/>
    <w:hidden/>
    <w:uiPriority w:val="99"/>
    <w:semiHidden/>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40336">
      <w:bodyDiv w:val="1"/>
      <w:marLeft w:val="0"/>
      <w:marRight w:val="0"/>
      <w:marTop w:val="0"/>
      <w:marBottom w:val="0"/>
      <w:divBdr>
        <w:top w:val="none" w:sz="0" w:space="0" w:color="auto"/>
        <w:left w:val="none" w:sz="0" w:space="0" w:color="auto"/>
        <w:bottom w:val="none" w:sz="0" w:space="0" w:color="auto"/>
        <w:right w:val="none" w:sz="0" w:space="0" w:color="auto"/>
      </w:divBdr>
    </w:div>
    <w:div w:id="1151486706">
      <w:bodyDiv w:val="1"/>
      <w:marLeft w:val="0"/>
      <w:marRight w:val="0"/>
      <w:marTop w:val="0"/>
      <w:marBottom w:val="0"/>
      <w:divBdr>
        <w:top w:val="none" w:sz="0" w:space="0" w:color="auto"/>
        <w:left w:val="none" w:sz="0" w:space="0" w:color="auto"/>
        <w:bottom w:val="none" w:sz="0" w:space="0" w:color="auto"/>
        <w:right w:val="none" w:sz="0" w:space="0" w:color="auto"/>
      </w:divBdr>
    </w:div>
    <w:div w:id="1898974277">
      <w:bodyDiv w:val="1"/>
      <w:marLeft w:val="0"/>
      <w:marRight w:val="0"/>
      <w:marTop w:val="0"/>
      <w:marBottom w:val="0"/>
      <w:divBdr>
        <w:top w:val="none" w:sz="0" w:space="0" w:color="auto"/>
        <w:left w:val="none" w:sz="0" w:space="0" w:color="auto"/>
        <w:bottom w:val="none" w:sz="0" w:space="0" w:color="auto"/>
        <w:right w:val="none" w:sz="0" w:space="0" w:color="auto"/>
      </w:divBdr>
    </w:div>
    <w:div w:id="20668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BBEF8-D940-4C37-AD37-94DE05D8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Executive Summary</vt:lpstr>
    </vt:vector>
  </TitlesOfParts>
  <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COA-AFP Retirement and Separation Benefits System</dc:creator>
  <cp:keywords/>
  <cp:lastModifiedBy>Judivina Antonette P. Canlas</cp:lastModifiedBy>
  <cp:revision>15</cp:revision>
  <cp:lastPrinted>2018-06-13T01:39:00Z</cp:lastPrinted>
  <dcterms:created xsi:type="dcterms:W3CDTF">2018-05-23T11:15:00Z</dcterms:created>
  <dcterms:modified xsi:type="dcterms:W3CDTF">2018-06-13T01:39:00Z</dcterms:modified>
  <cp:category/>
</cp:coreProperties>
</file>