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4A" w:rsidRPr="00C81AC2" w:rsidRDefault="0034714A" w:rsidP="00643EDE">
      <w:pPr>
        <w:tabs>
          <w:tab w:val="left" w:pos="5580"/>
        </w:tabs>
        <w:jc w:val="center"/>
        <w:rPr>
          <w:rFonts w:ascii="Arial" w:hAnsi="Arial" w:cs="Arial"/>
          <w:b/>
        </w:rPr>
      </w:pPr>
      <w:r w:rsidRPr="006A03E5">
        <w:rPr>
          <w:rFonts w:ascii="Tahoma" w:hAnsi="Tahoma" w:cs="Tahoma"/>
          <w:b/>
          <w:noProof/>
        </w:rPr>
        <w:drawing>
          <wp:anchor distT="0" distB="0" distL="114300" distR="114300" simplePos="0" relativeHeight="251662336" behindDoc="0" locked="0" layoutInCell="1" allowOverlap="1" wp14:anchorId="4CBD1D9B" wp14:editId="0E25B414">
            <wp:simplePos x="0" y="0"/>
            <wp:positionH relativeFrom="margin">
              <wp:posOffset>219075</wp:posOffset>
            </wp:positionH>
            <wp:positionV relativeFrom="paragraph">
              <wp:posOffset>-1270</wp:posOffset>
            </wp:positionV>
            <wp:extent cx="8382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sidRPr="00C81AC2">
        <w:rPr>
          <w:rFonts w:ascii="Arial" w:hAnsi="Arial" w:cs="Arial"/>
          <w:b/>
        </w:rPr>
        <w:t>Republic of the Philippines</w:t>
      </w:r>
    </w:p>
    <w:p w:rsidR="0034714A" w:rsidRDefault="0034714A" w:rsidP="00643EDE">
      <w:pPr>
        <w:jc w:val="center"/>
        <w:rPr>
          <w:rFonts w:ascii="Arial" w:hAnsi="Arial" w:cs="Arial"/>
          <w:b/>
        </w:rPr>
      </w:pPr>
      <w:r w:rsidRPr="00C81AC2">
        <w:rPr>
          <w:rFonts w:ascii="Arial" w:hAnsi="Arial" w:cs="Arial"/>
          <w:b/>
        </w:rPr>
        <w:t>COMMISSION ON AUDIT</w:t>
      </w:r>
    </w:p>
    <w:p w:rsidR="0034714A" w:rsidRPr="001673CD" w:rsidRDefault="0034714A" w:rsidP="00643EDE">
      <w:pPr>
        <w:jc w:val="center"/>
        <w:rPr>
          <w:rFonts w:ascii="Arial" w:hAnsi="Arial" w:cs="Arial"/>
          <w:b/>
          <w:sz w:val="22"/>
        </w:rPr>
      </w:pPr>
      <w:r w:rsidRPr="001673CD">
        <w:rPr>
          <w:rFonts w:ascii="Arial" w:hAnsi="Arial" w:cs="Arial"/>
          <w:b/>
          <w:sz w:val="22"/>
        </w:rPr>
        <w:t>Commonwealth Avenue, Quezon City, Philippines</w:t>
      </w:r>
    </w:p>
    <w:p w:rsidR="0034714A" w:rsidRPr="00637F77" w:rsidRDefault="0034714A" w:rsidP="00643EDE">
      <w:pPr>
        <w:pStyle w:val="Heading1"/>
        <w:jc w:val="center"/>
        <w:rPr>
          <w:rFonts w:cs="Arial"/>
          <w:b/>
          <w:sz w:val="22"/>
          <w:szCs w:val="22"/>
        </w:rPr>
      </w:pPr>
      <w:r w:rsidRPr="00637F77">
        <w:rPr>
          <w:rFonts w:cs="Arial"/>
          <w:b/>
          <w:sz w:val="22"/>
          <w:szCs w:val="22"/>
        </w:rPr>
        <w:t>Corporate Government Sector</w:t>
      </w:r>
    </w:p>
    <w:p w:rsidR="0034714A" w:rsidRDefault="0034714A" w:rsidP="00643EDE">
      <w:pPr>
        <w:pStyle w:val="Heading2"/>
        <w:rPr>
          <w:rFonts w:cs="Arial"/>
          <w:b w:val="0"/>
          <w:sz w:val="22"/>
          <w:szCs w:val="22"/>
        </w:rPr>
      </w:pPr>
      <w:r w:rsidRPr="00637F77">
        <w:rPr>
          <w:rFonts w:cs="Arial"/>
          <w:b w:val="0"/>
          <w:sz w:val="22"/>
          <w:szCs w:val="22"/>
        </w:rPr>
        <w:t>Cluster 2 – Social Security Services and Housing</w:t>
      </w:r>
    </w:p>
    <w:p w:rsidR="0034714A" w:rsidRPr="001673CD" w:rsidRDefault="0034714A" w:rsidP="00643EDE">
      <w:pPr>
        <w:jc w:val="center"/>
        <w:rPr>
          <w:rFonts w:ascii="Arial" w:hAnsi="Arial" w:cs="Arial"/>
          <w:sz w:val="22"/>
        </w:rPr>
      </w:pPr>
      <w:r w:rsidRPr="001673CD">
        <w:rPr>
          <w:rFonts w:ascii="Arial" w:hAnsi="Arial" w:cs="Arial"/>
          <w:sz w:val="22"/>
        </w:rPr>
        <w:t>Office of the Cluster Director</w:t>
      </w:r>
    </w:p>
    <w:p w:rsidR="00D94898" w:rsidRPr="00B3335C" w:rsidRDefault="00D94898" w:rsidP="00127D79">
      <w:pPr>
        <w:tabs>
          <w:tab w:val="left" w:pos="5040"/>
        </w:tabs>
        <w:jc w:val="both"/>
        <w:rPr>
          <w:rFonts w:ascii="Arial" w:hAnsi="Arial" w:cs="Arial"/>
          <w:b/>
          <w:sz w:val="22"/>
          <w:szCs w:val="22"/>
        </w:rPr>
      </w:pPr>
    </w:p>
    <w:p w:rsidR="004D7E1C" w:rsidRDefault="004D7E1C" w:rsidP="00127D79">
      <w:pPr>
        <w:tabs>
          <w:tab w:val="left" w:pos="5040"/>
        </w:tabs>
        <w:jc w:val="both"/>
        <w:rPr>
          <w:rFonts w:ascii="Arial" w:hAnsi="Arial" w:cs="Arial"/>
          <w:b/>
          <w:sz w:val="22"/>
          <w:szCs w:val="22"/>
        </w:rPr>
      </w:pPr>
    </w:p>
    <w:p w:rsidR="00183E41" w:rsidRPr="00EA029B" w:rsidRDefault="00E924E8" w:rsidP="00127D79">
      <w:pPr>
        <w:tabs>
          <w:tab w:val="left" w:pos="5310"/>
        </w:tabs>
        <w:ind w:left="5040" w:hanging="5040"/>
        <w:jc w:val="both"/>
        <w:rPr>
          <w:rFonts w:ascii="Arial" w:hAnsi="Arial" w:cs="Arial"/>
          <w:sz w:val="22"/>
          <w:szCs w:val="22"/>
        </w:rPr>
      </w:pPr>
      <w:r>
        <w:rPr>
          <w:rFonts w:ascii="Arial" w:hAnsi="Arial" w:cs="Arial"/>
          <w:sz w:val="22"/>
          <w:szCs w:val="22"/>
        </w:rPr>
        <w:t>August 20, 2020</w:t>
      </w:r>
    </w:p>
    <w:p w:rsidR="008E7332" w:rsidRPr="00EA029B" w:rsidRDefault="008E7332" w:rsidP="00127D79">
      <w:pPr>
        <w:pStyle w:val="Heading3"/>
        <w:spacing w:before="0" w:after="0"/>
        <w:jc w:val="both"/>
        <w:rPr>
          <w:rFonts w:ascii="Arial" w:hAnsi="Arial" w:cs="Arial"/>
          <w:sz w:val="22"/>
          <w:szCs w:val="22"/>
        </w:rPr>
      </w:pPr>
    </w:p>
    <w:p w:rsidR="008E7332" w:rsidRPr="00EA029B" w:rsidRDefault="008E7332" w:rsidP="00127D79">
      <w:pPr>
        <w:pStyle w:val="Heading3"/>
        <w:spacing w:before="0" w:after="0"/>
        <w:jc w:val="both"/>
        <w:rPr>
          <w:rFonts w:ascii="Arial" w:hAnsi="Arial" w:cs="Arial"/>
          <w:sz w:val="22"/>
          <w:szCs w:val="22"/>
        </w:rPr>
      </w:pPr>
    </w:p>
    <w:p w:rsidR="00336681" w:rsidRPr="00EA029B" w:rsidRDefault="00336681" w:rsidP="00127D79">
      <w:pPr>
        <w:pStyle w:val="Heading3"/>
        <w:spacing w:before="0" w:after="0"/>
        <w:jc w:val="both"/>
        <w:rPr>
          <w:rFonts w:ascii="Arial" w:hAnsi="Arial" w:cs="Arial"/>
          <w:sz w:val="22"/>
          <w:szCs w:val="22"/>
        </w:rPr>
      </w:pPr>
      <w:r w:rsidRPr="00EA029B">
        <w:rPr>
          <w:rFonts w:ascii="Arial" w:hAnsi="Arial" w:cs="Arial"/>
          <w:sz w:val="22"/>
          <w:szCs w:val="22"/>
        </w:rPr>
        <w:t xml:space="preserve">The Board of </w:t>
      </w:r>
      <w:r w:rsidR="00BD4B48" w:rsidRPr="00EA029B">
        <w:rPr>
          <w:rFonts w:ascii="Arial" w:hAnsi="Arial" w:cs="Arial"/>
          <w:sz w:val="22"/>
          <w:szCs w:val="22"/>
        </w:rPr>
        <w:t>Liquidators</w:t>
      </w:r>
    </w:p>
    <w:p w:rsidR="00336681" w:rsidRPr="00EA029B" w:rsidRDefault="00804137" w:rsidP="00127D79">
      <w:pPr>
        <w:jc w:val="both"/>
        <w:rPr>
          <w:rFonts w:ascii="Arial" w:hAnsi="Arial" w:cs="Arial"/>
          <w:sz w:val="22"/>
          <w:szCs w:val="22"/>
        </w:rPr>
      </w:pPr>
      <w:r w:rsidRPr="00EA029B">
        <w:rPr>
          <w:rFonts w:ascii="Arial" w:hAnsi="Arial" w:cs="Arial"/>
          <w:sz w:val="22"/>
          <w:szCs w:val="22"/>
        </w:rPr>
        <w:t>AFP Retirement and Separation Benefits System</w:t>
      </w:r>
    </w:p>
    <w:p w:rsidR="009B2A3C" w:rsidRPr="00EA029B" w:rsidRDefault="00442421" w:rsidP="00127D79">
      <w:pPr>
        <w:jc w:val="both"/>
        <w:rPr>
          <w:rFonts w:ascii="Arial" w:hAnsi="Arial" w:cs="Arial"/>
          <w:sz w:val="22"/>
          <w:szCs w:val="22"/>
          <w:lang w:val="it-IT"/>
        </w:rPr>
      </w:pPr>
      <w:r w:rsidRPr="00EA029B">
        <w:rPr>
          <w:rFonts w:ascii="Arial" w:hAnsi="Arial" w:cs="Arial"/>
          <w:sz w:val="22"/>
          <w:szCs w:val="22"/>
          <w:lang w:val="it-IT"/>
        </w:rPr>
        <w:t xml:space="preserve">424 </w:t>
      </w:r>
      <w:r w:rsidR="00804137" w:rsidRPr="00EA029B">
        <w:rPr>
          <w:rFonts w:ascii="Arial" w:hAnsi="Arial" w:cs="Arial"/>
          <w:sz w:val="22"/>
          <w:szCs w:val="22"/>
          <w:lang w:val="it-IT"/>
        </w:rPr>
        <w:t>Capinpin Avenue, Camp General Emilio Aguinaldo</w:t>
      </w:r>
    </w:p>
    <w:p w:rsidR="004E23D5" w:rsidRPr="00EA029B" w:rsidRDefault="004E23D5" w:rsidP="00127D79">
      <w:pPr>
        <w:jc w:val="both"/>
        <w:rPr>
          <w:rFonts w:ascii="Arial" w:hAnsi="Arial" w:cs="Arial"/>
          <w:sz w:val="22"/>
          <w:szCs w:val="22"/>
        </w:rPr>
      </w:pPr>
      <w:r w:rsidRPr="00EA029B">
        <w:rPr>
          <w:rFonts w:ascii="Arial" w:hAnsi="Arial" w:cs="Arial"/>
          <w:sz w:val="22"/>
          <w:szCs w:val="22"/>
        </w:rPr>
        <w:t>Quezon City</w:t>
      </w:r>
    </w:p>
    <w:p w:rsidR="009B2A3C" w:rsidRPr="00EA029B" w:rsidRDefault="009B2A3C" w:rsidP="00127D79">
      <w:pPr>
        <w:jc w:val="both"/>
        <w:rPr>
          <w:rFonts w:ascii="Arial" w:hAnsi="Arial" w:cs="Arial"/>
          <w:sz w:val="22"/>
          <w:szCs w:val="22"/>
        </w:rPr>
      </w:pPr>
    </w:p>
    <w:p w:rsidR="00E61AFB" w:rsidRPr="00EA029B" w:rsidRDefault="002B6424" w:rsidP="00127D79">
      <w:pPr>
        <w:jc w:val="both"/>
        <w:rPr>
          <w:rFonts w:ascii="Arial" w:hAnsi="Arial" w:cs="Arial"/>
          <w:b/>
          <w:sz w:val="22"/>
          <w:szCs w:val="22"/>
        </w:rPr>
      </w:pPr>
      <w:r w:rsidRPr="00EA029B">
        <w:rPr>
          <w:rFonts w:ascii="Arial" w:hAnsi="Arial" w:cs="Arial"/>
          <w:b/>
          <w:sz w:val="22"/>
          <w:szCs w:val="22"/>
        </w:rPr>
        <w:t>Gentlemen:</w:t>
      </w:r>
    </w:p>
    <w:p w:rsidR="00C01041" w:rsidRPr="00EA029B" w:rsidRDefault="00C01041" w:rsidP="00127D79">
      <w:pPr>
        <w:jc w:val="both"/>
        <w:rPr>
          <w:rFonts w:ascii="Arial" w:hAnsi="Arial" w:cs="Arial"/>
          <w:sz w:val="22"/>
          <w:szCs w:val="22"/>
        </w:rPr>
      </w:pPr>
    </w:p>
    <w:p w:rsidR="004E7A30" w:rsidRPr="00EA029B" w:rsidRDefault="00C01041" w:rsidP="00127D79">
      <w:pPr>
        <w:jc w:val="both"/>
        <w:rPr>
          <w:rFonts w:ascii="Arial" w:hAnsi="Arial" w:cs="Arial"/>
          <w:sz w:val="22"/>
          <w:szCs w:val="22"/>
        </w:rPr>
      </w:pPr>
      <w:r w:rsidRPr="00EA029B">
        <w:rPr>
          <w:rFonts w:ascii="Arial" w:hAnsi="Arial" w:cs="Arial"/>
          <w:sz w:val="22"/>
          <w:szCs w:val="22"/>
        </w:rPr>
        <w:t>Pursuant to Section</w:t>
      </w:r>
      <w:r w:rsidR="00611D9B" w:rsidRPr="00EA029B">
        <w:rPr>
          <w:rFonts w:ascii="Arial" w:hAnsi="Arial" w:cs="Arial"/>
          <w:sz w:val="22"/>
          <w:szCs w:val="22"/>
        </w:rPr>
        <w:t xml:space="preserve"> 2</w:t>
      </w:r>
      <w:r w:rsidRPr="00EA029B">
        <w:rPr>
          <w:rFonts w:ascii="Arial" w:hAnsi="Arial" w:cs="Arial"/>
          <w:sz w:val="22"/>
          <w:szCs w:val="22"/>
        </w:rPr>
        <w:t xml:space="preserve">, Article IX-D of the Philippine Constitution and Section 43 of Presidential Decree </w:t>
      </w:r>
      <w:r w:rsidR="00C25820">
        <w:rPr>
          <w:rFonts w:ascii="Arial" w:hAnsi="Arial" w:cs="Arial"/>
          <w:sz w:val="22"/>
          <w:szCs w:val="22"/>
        </w:rPr>
        <w:t xml:space="preserve">(PD) </w:t>
      </w:r>
      <w:r w:rsidRPr="00EA029B">
        <w:rPr>
          <w:rFonts w:ascii="Arial" w:hAnsi="Arial" w:cs="Arial"/>
          <w:sz w:val="22"/>
          <w:szCs w:val="22"/>
        </w:rPr>
        <w:t>No. 1445, otherwise known as the Government Auditing Code of the Philippines, we transmit herewith our report on the</w:t>
      </w:r>
      <w:r w:rsidR="00520E28" w:rsidRPr="00EA029B">
        <w:rPr>
          <w:rFonts w:ascii="Arial" w:hAnsi="Arial" w:cs="Arial"/>
          <w:sz w:val="22"/>
          <w:szCs w:val="22"/>
        </w:rPr>
        <w:t xml:space="preserve"> results of the</w:t>
      </w:r>
      <w:r w:rsidRPr="00EA029B">
        <w:rPr>
          <w:rFonts w:ascii="Arial" w:hAnsi="Arial" w:cs="Arial"/>
          <w:sz w:val="22"/>
          <w:szCs w:val="22"/>
        </w:rPr>
        <w:t xml:space="preserve"> </w:t>
      </w:r>
      <w:r w:rsidR="00BA2111" w:rsidRPr="00EA029B">
        <w:rPr>
          <w:rFonts w:ascii="Arial" w:hAnsi="Arial" w:cs="Arial"/>
          <w:sz w:val="22"/>
          <w:szCs w:val="22"/>
        </w:rPr>
        <w:t xml:space="preserve">audit of the </w:t>
      </w:r>
      <w:r w:rsidR="004C2C3F" w:rsidRPr="00EA029B">
        <w:rPr>
          <w:rFonts w:ascii="Arial" w:hAnsi="Arial" w:cs="Arial"/>
          <w:sz w:val="22"/>
          <w:szCs w:val="22"/>
        </w:rPr>
        <w:t>a</w:t>
      </w:r>
      <w:r w:rsidRPr="00EA029B">
        <w:rPr>
          <w:rFonts w:ascii="Arial" w:hAnsi="Arial" w:cs="Arial"/>
          <w:sz w:val="22"/>
          <w:szCs w:val="22"/>
        </w:rPr>
        <w:t xml:space="preserve">ccounts and </w:t>
      </w:r>
      <w:r w:rsidR="00637D41" w:rsidRPr="00EA029B">
        <w:rPr>
          <w:rFonts w:ascii="Arial" w:hAnsi="Arial" w:cs="Arial"/>
          <w:sz w:val="22"/>
          <w:szCs w:val="22"/>
        </w:rPr>
        <w:t>transac</w:t>
      </w:r>
      <w:r w:rsidRPr="00EA029B">
        <w:rPr>
          <w:rFonts w:ascii="Arial" w:hAnsi="Arial" w:cs="Arial"/>
          <w:sz w:val="22"/>
          <w:szCs w:val="22"/>
        </w:rPr>
        <w:t>tions of the</w:t>
      </w:r>
      <w:r w:rsidR="00336681" w:rsidRPr="00EA029B">
        <w:rPr>
          <w:rFonts w:ascii="Arial" w:hAnsi="Arial" w:cs="Arial"/>
          <w:sz w:val="22"/>
          <w:szCs w:val="22"/>
        </w:rPr>
        <w:t xml:space="preserve"> </w:t>
      </w:r>
      <w:r w:rsidR="007E7E2A" w:rsidRPr="00EA029B">
        <w:rPr>
          <w:rFonts w:ascii="Arial" w:hAnsi="Arial" w:cs="Arial"/>
          <w:sz w:val="22"/>
          <w:szCs w:val="22"/>
        </w:rPr>
        <w:t>A</w:t>
      </w:r>
      <w:r w:rsidR="00110E58">
        <w:rPr>
          <w:rFonts w:ascii="Arial" w:hAnsi="Arial" w:cs="Arial"/>
          <w:sz w:val="22"/>
          <w:szCs w:val="22"/>
        </w:rPr>
        <w:t xml:space="preserve">rmed </w:t>
      </w:r>
      <w:r w:rsidR="007E7E2A" w:rsidRPr="00EA029B">
        <w:rPr>
          <w:rFonts w:ascii="Arial" w:hAnsi="Arial" w:cs="Arial"/>
          <w:sz w:val="22"/>
          <w:szCs w:val="22"/>
        </w:rPr>
        <w:t>F</w:t>
      </w:r>
      <w:r w:rsidR="00110E58">
        <w:rPr>
          <w:rFonts w:ascii="Arial" w:hAnsi="Arial" w:cs="Arial"/>
          <w:sz w:val="22"/>
          <w:szCs w:val="22"/>
        </w:rPr>
        <w:t xml:space="preserve">orces of the </w:t>
      </w:r>
      <w:r w:rsidR="007E7E2A" w:rsidRPr="00EA029B">
        <w:rPr>
          <w:rFonts w:ascii="Arial" w:hAnsi="Arial" w:cs="Arial"/>
          <w:sz w:val="22"/>
          <w:szCs w:val="22"/>
        </w:rPr>
        <w:t>P</w:t>
      </w:r>
      <w:r w:rsidR="00110E58">
        <w:rPr>
          <w:rFonts w:ascii="Arial" w:hAnsi="Arial" w:cs="Arial"/>
          <w:sz w:val="22"/>
          <w:szCs w:val="22"/>
        </w:rPr>
        <w:t>hilippines</w:t>
      </w:r>
      <w:r w:rsidR="007E7E2A" w:rsidRPr="00EA029B">
        <w:rPr>
          <w:rFonts w:ascii="Arial" w:hAnsi="Arial" w:cs="Arial"/>
          <w:sz w:val="22"/>
          <w:szCs w:val="22"/>
        </w:rPr>
        <w:t xml:space="preserve"> Retirement and Separation</w:t>
      </w:r>
      <w:r w:rsidR="00DD62CB" w:rsidRPr="00EA029B">
        <w:rPr>
          <w:rFonts w:ascii="Arial" w:hAnsi="Arial" w:cs="Arial"/>
          <w:sz w:val="22"/>
          <w:szCs w:val="22"/>
        </w:rPr>
        <w:t xml:space="preserve"> Benefit</w:t>
      </w:r>
      <w:r w:rsidR="007E7E2A" w:rsidRPr="00EA029B">
        <w:rPr>
          <w:rFonts w:ascii="Arial" w:hAnsi="Arial" w:cs="Arial"/>
          <w:sz w:val="22"/>
          <w:szCs w:val="22"/>
        </w:rPr>
        <w:t>s</w:t>
      </w:r>
      <w:r w:rsidR="00DD62CB" w:rsidRPr="00EA029B">
        <w:rPr>
          <w:rFonts w:ascii="Arial" w:hAnsi="Arial" w:cs="Arial"/>
          <w:sz w:val="22"/>
          <w:szCs w:val="22"/>
        </w:rPr>
        <w:t xml:space="preserve"> System (AFPRSBS)</w:t>
      </w:r>
      <w:r w:rsidR="004D7E1C" w:rsidRPr="00EA029B">
        <w:rPr>
          <w:rFonts w:ascii="Arial" w:hAnsi="Arial" w:cs="Arial"/>
          <w:sz w:val="22"/>
          <w:szCs w:val="22"/>
        </w:rPr>
        <w:t xml:space="preserve"> </w:t>
      </w:r>
      <w:r w:rsidR="00520E28" w:rsidRPr="00EA029B">
        <w:rPr>
          <w:rFonts w:ascii="Arial" w:hAnsi="Arial" w:cs="Arial"/>
          <w:sz w:val="22"/>
          <w:szCs w:val="22"/>
        </w:rPr>
        <w:t xml:space="preserve">for the </w:t>
      </w:r>
      <w:r w:rsidR="004E7A30" w:rsidRPr="00EA029B">
        <w:rPr>
          <w:rFonts w:ascii="Arial" w:hAnsi="Arial" w:cs="Arial"/>
          <w:sz w:val="22"/>
          <w:szCs w:val="22"/>
        </w:rPr>
        <w:t>year</w:t>
      </w:r>
      <w:r w:rsidR="007F706C" w:rsidRPr="00EA029B">
        <w:rPr>
          <w:rFonts w:ascii="Arial" w:hAnsi="Arial" w:cs="Arial"/>
          <w:sz w:val="22"/>
          <w:szCs w:val="22"/>
        </w:rPr>
        <w:t>s</w:t>
      </w:r>
      <w:r w:rsidR="004E7A30" w:rsidRPr="00EA029B">
        <w:rPr>
          <w:rFonts w:ascii="Arial" w:hAnsi="Arial" w:cs="Arial"/>
          <w:sz w:val="22"/>
          <w:szCs w:val="22"/>
        </w:rPr>
        <w:t xml:space="preserve"> ended December </w:t>
      </w:r>
      <w:r w:rsidR="00050601" w:rsidRPr="00EA029B">
        <w:rPr>
          <w:rFonts w:ascii="Arial" w:hAnsi="Arial" w:cs="Arial"/>
          <w:sz w:val="22"/>
          <w:szCs w:val="22"/>
        </w:rPr>
        <w:t>31,</w:t>
      </w:r>
      <w:r w:rsidR="00050601" w:rsidRPr="00127D79">
        <w:rPr>
          <w:rFonts w:ascii="Arial" w:hAnsi="Arial" w:cs="Arial"/>
          <w:sz w:val="22"/>
          <w:szCs w:val="22"/>
        </w:rPr>
        <w:t xml:space="preserve"> </w:t>
      </w:r>
      <w:r w:rsidR="004E7A30" w:rsidRPr="00127D79">
        <w:rPr>
          <w:rFonts w:ascii="Arial" w:hAnsi="Arial" w:cs="Arial"/>
          <w:sz w:val="22"/>
          <w:szCs w:val="22"/>
        </w:rPr>
        <w:t>201</w:t>
      </w:r>
      <w:r w:rsidR="00C763C6" w:rsidRPr="00127D79">
        <w:rPr>
          <w:rFonts w:ascii="Arial" w:hAnsi="Arial" w:cs="Arial"/>
          <w:sz w:val="22"/>
          <w:szCs w:val="22"/>
        </w:rPr>
        <w:t>9</w:t>
      </w:r>
      <w:r w:rsidR="007F706C" w:rsidRPr="00127D79">
        <w:rPr>
          <w:rFonts w:ascii="Arial" w:hAnsi="Arial" w:cs="Arial"/>
          <w:sz w:val="22"/>
          <w:szCs w:val="22"/>
        </w:rPr>
        <w:t xml:space="preserve"> and 201</w:t>
      </w:r>
      <w:r w:rsidR="00C763C6" w:rsidRPr="00127D79">
        <w:rPr>
          <w:rFonts w:ascii="Arial" w:hAnsi="Arial" w:cs="Arial"/>
          <w:sz w:val="22"/>
          <w:szCs w:val="22"/>
        </w:rPr>
        <w:t>8</w:t>
      </w:r>
      <w:r w:rsidR="004E7A30" w:rsidRPr="00127D79">
        <w:rPr>
          <w:rFonts w:ascii="Arial" w:hAnsi="Arial" w:cs="Arial"/>
          <w:sz w:val="22"/>
          <w:szCs w:val="22"/>
        </w:rPr>
        <w:t>.</w:t>
      </w:r>
    </w:p>
    <w:p w:rsidR="002836AF" w:rsidRPr="00EA029B" w:rsidRDefault="002836AF" w:rsidP="00127D79">
      <w:pPr>
        <w:jc w:val="both"/>
        <w:rPr>
          <w:rFonts w:ascii="Arial" w:hAnsi="Arial" w:cs="Arial"/>
          <w:sz w:val="22"/>
          <w:szCs w:val="22"/>
        </w:rPr>
      </w:pPr>
    </w:p>
    <w:p w:rsidR="00AD49B5" w:rsidRPr="00EA029B" w:rsidRDefault="00AD49B5" w:rsidP="00127D79">
      <w:pPr>
        <w:jc w:val="both"/>
        <w:rPr>
          <w:rFonts w:ascii="Arial" w:hAnsi="Arial" w:cs="Arial"/>
          <w:sz w:val="22"/>
          <w:szCs w:val="22"/>
        </w:rPr>
      </w:pPr>
      <w:r w:rsidRPr="00EA029B">
        <w:rPr>
          <w:rFonts w:ascii="Arial" w:hAnsi="Arial" w:cs="Arial"/>
          <w:sz w:val="22"/>
          <w:szCs w:val="22"/>
        </w:rPr>
        <w:t>The report consists of the Independent Auditor’s Report, the Audited Financial Statements, the</w:t>
      </w:r>
      <w:r w:rsidR="00BC32D6" w:rsidRPr="00EA029B">
        <w:rPr>
          <w:rFonts w:ascii="Arial" w:hAnsi="Arial" w:cs="Arial"/>
          <w:sz w:val="22"/>
          <w:szCs w:val="22"/>
        </w:rPr>
        <w:t xml:space="preserve"> </w:t>
      </w:r>
      <w:r w:rsidRPr="00EA029B">
        <w:rPr>
          <w:rFonts w:ascii="Arial" w:hAnsi="Arial" w:cs="Arial"/>
          <w:sz w:val="22"/>
          <w:szCs w:val="22"/>
        </w:rPr>
        <w:t>Observations and Recommendations</w:t>
      </w:r>
      <w:r w:rsidR="006C1727" w:rsidRPr="00EA029B">
        <w:rPr>
          <w:rFonts w:ascii="Arial" w:hAnsi="Arial" w:cs="Arial"/>
          <w:sz w:val="22"/>
          <w:szCs w:val="22"/>
        </w:rPr>
        <w:t>, and</w:t>
      </w:r>
      <w:r w:rsidRPr="00EA029B">
        <w:rPr>
          <w:rFonts w:ascii="Arial" w:hAnsi="Arial" w:cs="Arial"/>
          <w:sz w:val="22"/>
          <w:szCs w:val="22"/>
        </w:rPr>
        <w:t xml:space="preserve"> the Status </w:t>
      </w:r>
      <w:r w:rsidR="00EF6387" w:rsidRPr="00EA029B">
        <w:rPr>
          <w:rFonts w:ascii="Arial" w:hAnsi="Arial" w:cs="Arial"/>
          <w:sz w:val="22"/>
          <w:szCs w:val="22"/>
        </w:rPr>
        <w:t>of Implementation of Prior Year</w:t>
      </w:r>
      <w:r w:rsidRPr="00EA029B">
        <w:rPr>
          <w:rFonts w:ascii="Arial" w:hAnsi="Arial" w:cs="Arial"/>
          <w:sz w:val="22"/>
          <w:szCs w:val="22"/>
        </w:rPr>
        <w:t>s</w:t>
      </w:r>
      <w:r w:rsidR="00EF6387" w:rsidRPr="00EA029B">
        <w:rPr>
          <w:rFonts w:ascii="Arial" w:hAnsi="Arial" w:cs="Arial"/>
          <w:sz w:val="22"/>
          <w:szCs w:val="22"/>
        </w:rPr>
        <w:t>’</w:t>
      </w:r>
      <w:r w:rsidRPr="00EA029B">
        <w:rPr>
          <w:rFonts w:ascii="Arial" w:hAnsi="Arial" w:cs="Arial"/>
          <w:sz w:val="22"/>
          <w:szCs w:val="22"/>
        </w:rPr>
        <w:t xml:space="preserve"> Audit Recommendations. </w:t>
      </w:r>
    </w:p>
    <w:p w:rsidR="00AD49B5" w:rsidRPr="00EA029B" w:rsidRDefault="00AD49B5" w:rsidP="00127D79">
      <w:pPr>
        <w:jc w:val="both"/>
        <w:rPr>
          <w:rFonts w:ascii="Arial" w:hAnsi="Arial" w:cs="Arial"/>
          <w:sz w:val="22"/>
          <w:szCs w:val="22"/>
        </w:rPr>
      </w:pPr>
      <w:r w:rsidRPr="00EA029B">
        <w:rPr>
          <w:rFonts w:ascii="Arial" w:hAnsi="Arial" w:cs="Arial"/>
          <w:sz w:val="22"/>
          <w:szCs w:val="22"/>
        </w:rPr>
        <w:tab/>
      </w:r>
    </w:p>
    <w:p w:rsidR="00C76E96" w:rsidRPr="00C76E96" w:rsidRDefault="004B50CC" w:rsidP="00127D79">
      <w:pPr>
        <w:jc w:val="both"/>
        <w:rPr>
          <w:rFonts w:ascii="Arial" w:hAnsi="Arial" w:cs="Arial"/>
          <w:sz w:val="22"/>
          <w:szCs w:val="22"/>
        </w:rPr>
      </w:pPr>
      <w:r w:rsidRPr="00C76E96">
        <w:rPr>
          <w:rFonts w:ascii="Arial" w:hAnsi="Arial" w:cs="Arial"/>
          <w:sz w:val="22"/>
          <w:szCs w:val="22"/>
        </w:rPr>
        <w:t>The Auditor</w:t>
      </w:r>
      <w:r w:rsidR="00C76E96" w:rsidRPr="00C76E96">
        <w:rPr>
          <w:rFonts w:ascii="Arial" w:hAnsi="Arial" w:cs="Arial"/>
          <w:sz w:val="22"/>
          <w:szCs w:val="22"/>
        </w:rPr>
        <w:t xml:space="preserve"> rendered a disclaimer of opinion</w:t>
      </w:r>
      <w:r w:rsidR="00BD47B0" w:rsidRPr="00C76E96">
        <w:rPr>
          <w:rFonts w:ascii="Arial" w:hAnsi="Arial" w:cs="Arial"/>
          <w:sz w:val="22"/>
          <w:szCs w:val="22"/>
        </w:rPr>
        <w:t xml:space="preserve"> on the </w:t>
      </w:r>
      <w:r w:rsidR="00F11A8F" w:rsidRPr="00C76E96">
        <w:rPr>
          <w:rFonts w:ascii="Arial" w:hAnsi="Arial" w:cs="Arial"/>
          <w:sz w:val="22"/>
          <w:szCs w:val="22"/>
        </w:rPr>
        <w:t>fairness of presentation of the financial statements of the System for the years ended December 31, 201</w:t>
      </w:r>
      <w:r w:rsidR="00C763C6" w:rsidRPr="00C76E96">
        <w:rPr>
          <w:rFonts w:ascii="Arial" w:hAnsi="Arial" w:cs="Arial"/>
          <w:sz w:val="22"/>
          <w:szCs w:val="22"/>
        </w:rPr>
        <w:t>9</w:t>
      </w:r>
      <w:r w:rsidR="00F11A8F" w:rsidRPr="00C76E96">
        <w:rPr>
          <w:rFonts w:ascii="Arial" w:hAnsi="Arial" w:cs="Arial"/>
          <w:sz w:val="22"/>
          <w:szCs w:val="22"/>
        </w:rPr>
        <w:t xml:space="preserve"> and 201</w:t>
      </w:r>
      <w:r w:rsidR="00C763C6" w:rsidRPr="00C76E96">
        <w:rPr>
          <w:rFonts w:ascii="Arial" w:hAnsi="Arial" w:cs="Arial"/>
          <w:sz w:val="22"/>
          <w:szCs w:val="22"/>
        </w:rPr>
        <w:t>8</w:t>
      </w:r>
      <w:r w:rsidR="00F11A8F" w:rsidRPr="00C76E96">
        <w:rPr>
          <w:rFonts w:ascii="Arial" w:hAnsi="Arial" w:cs="Arial"/>
          <w:sz w:val="22"/>
          <w:szCs w:val="22"/>
        </w:rPr>
        <w:t xml:space="preserve"> </w:t>
      </w:r>
      <w:r w:rsidR="00BD6054" w:rsidRPr="00B930C6">
        <w:rPr>
          <w:rFonts w:ascii="Arial" w:hAnsi="Arial" w:cs="Arial"/>
          <w:color w:val="000000" w:themeColor="text1"/>
          <w:sz w:val="22"/>
          <w:szCs w:val="22"/>
        </w:rPr>
        <w:t xml:space="preserve">in view of the non-submission of schedules to support the balances of the receivable accounts amounting to </w:t>
      </w:r>
      <w:r w:rsidR="00BD6054" w:rsidRPr="00B930C6">
        <w:rPr>
          <w:rFonts w:ascii="Arial" w:hAnsi="Arial" w:cs="Arial"/>
          <w:color w:val="000000" w:themeColor="text1"/>
          <w:sz w:val="22"/>
          <w:szCs w:val="22"/>
        </w:rPr>
        <w:softHyphen/>
        <w:t xml:space="preserve">P244.145 million for CY 2019 and P216.987 million for CY 2018; other asset accounts amounting to P28.533 million for CY 2019 and P29.667 million for CY 2018; allowance for doubtful accounts amounting to P308.357 million </w:t>
      </w:r>
      <w:r w:rsidR="00D22232">
        <w:rPr>
          <w:rFonts w:ascii="Arial" w:hAnsi="Arial" w:cs="Arial"/>
          <w:color w:val="000000" w:themeColor="text1"/>
          <w:sz w:val="22"/>
          <w:szCs w:val="22"/>
        </w:rPr>
        <w:t xml:space="preserve">both </w:t>
      </w:r>
      <w:r w:rsidR="00BD6054" w:rsidRPr="00B930C6">
        <w:rPr>
          <w:rFonts w:ascii="Arial" w:hAnsi="Arial" w:cs="Arial"/>
          <w:color w:val="000000" w:themeColor="text1"/>
          <w:sz w:val="22"/>
          <w:szCs w:val="22"/>
        </w:rPr>
        <w:t xml:space="preserve">for CYs 2019 and 2018; accounts payable, accrued expenses and other liability accounts amounting to P1.048 billion for CY 2019 and P1.050 billion for CY 2018 and equity accounts amounting to P8.244 billion for CY 2019 and P7.604 billion for </w:t>
      </w:r>
      <w:r w:rsidR="00E924E8">
        <w:rPr>
          <w:rFonts w:ascii="Arial" w:hAnsi="Arial" w:cs="Arial"/>
          <w:color w:val="000000" w:themeColor="text1"/>
          <w:sz w:val="22"/>
          <w:szCs w:val="22"/>
        </w:rPr>
        <w:t xml:space="preserve"> CY </w:t>
      </w:r>
      <w:r w:rsidR="00BD6054" w:rsidRPr="00B930C6">
        <w:rPr>
          <w:rFonts w:ascii="Arial" w:hAnsi="Arial" w:cs="Arial"/>
          <w:color w:val="000000" w:themeColor="text1"/>
          <w:sz w:val="22"/>
          <w:szCs w:val="22"/>
        </w:rPr>
        <w:t xml:space="preserve">2018. Further, the </w:t>
      </w:r>
      <w:r w:rsidR="00BD6054">
        <w:rPr>
          <w:rFonts w:ascii="Arial" w:hAnsi="Arial" w:cs="Arial"/>
          <w:color w:val="000000" w:themeColor="text1"/>
          <w:sz w:val="22"/>
          <w:szCs w:val="22"/>
        </w:rPr>
        <w:t>m</w:t>
      </w:r>
      <w:r w:rsidR="00BD6054" w:rsidRPr="00B930C6">
        <w:rPr>
          <w:rFonts w:ascii="Arial" w:hAnsi="Arial" w:cs="Arial"/>
          <w:color w:val="000000" w:themeColor="text1"/>
          <w:sz w:val="22"/>
          <w:szCs w:val="22"/>
        </w:rPr>
        <w:t xml:space="preserve">embers’ contributions </w:t>
      </w:r>
      <w:r w:rsidR="00BD6054">
        <w:rPr>
          <w:rFonts w:ascii="Arial" w:hAnsi="Arial" w:cs="Arial"/>
          <w:sz w:val="22"/>
          <w:szCs w:val="22"/>
        </w:rPr>
        <w:t>payable</w:t>
      </w:r>
      <w:r w:rsidR="00BD6054" w:rsidRPr="00836AE8">
        <w:rPr>
          <w:rFonts w:ascii="Arial" w:hAnsi="Arial" w:cs="Arial"/>
          <w:sz w:val="22"/>
          <w:szCs w:val="22"/>
        </w:rPr>
        <w:t xml:space="preserve"> </w:t>
      </w:r>
      <w:r w:rsidR="00BD6054" w:rsidRPr="00BE1052">
        <w:rPr>
          <w:rFonts w:ascii="Arial" w:hAnsi="Arial" w:cs="Arial"/>
          <w:sz w:val="22"/>
          <w:szCs w:val="22"/>
        </w:rPr>
        <w:t xml:space="preserve">account </w:t>
      </w:r>
      <w:r w:rsidR="00BD6054" w:rsidRPr="00836AE8">
        <w:rPr>
          <w:rFonts w:ascii="Arial" w:hAnsi="Arial" w:cs="Arial"/>
          <w:sz w:val="22"/>
          <w:szCs w:val="22"/>
        </w:rPr>
        <w:t>amou</w:t>
      </w:r>
      <w:r w:rsidR="00BD6054">
        <w:rPr>
          <w:rFonts w:ascii="Arial" w:hAnsi="Arial" w:cs="Arial"/>
          <w:sz w:val="22"/>
          <w:szCs w:val="22"/>
        </w:rPr>
        <w:t>n</w:t>
      </w:r>
      <w:r w:rsidR="00BD6054" w:rsidRPr="00836AE8">
        <w:rPr>
          <w:rFonts w:ascii="Arial" w:hAnsi="Arial" w:cs="Arial"/>
          <w:sz w:val="22"/>
          <w:szCs w:val="22"/>
        </w:rPr>
        <w:t xml:space="preserve">ting to P7.268 billion for CY 2019 and P9.603 billion </w:t>
      </w:r>
      <w:r w:rsidR="00BD6054">
        <w:rPr>
          <w:rFonts w:ascii="Arial" w:hAnsi="Arial" w:cs="Arial"/>
          <w:sz w:val="22"/>
          <w:szCs w:val="22"/>
        </w:rPr>
        <w:t xml:space="preserve">for CY 2018 </w:t>
      </w:r>
      <w:r w:rsidR="00BD6054" w:rsidRPr="00836AE8">
        <w:rPr>
          <w:rFonts w:ascii="Arial" w:hAnsi="Arial" w:cs="Arial"/>
          <w:sz w:val="22"/>
          <w:szCs w:val="22"/>
        </w:rPr>
        <w:t xml:space="preserve">and </w:t>
      </w:r>
      <w:r w:rsidR="00BD6054">
        <w:rPr>
          <w:rFonts w:ascii="Arial" w:hAnsi="Arial" w:cs="Arial"/>
          <w:sz w:val="22"/>
          <w:szCs w:val="22"/>
        </w:rPr>
        <w:t>e</w:t>
      </w:r>
      <w:r w:rsidR="00BD6054" w:rsidRPr="00836AE8">
        <w:rPr>
          <w:rFonts w:ascii="Arial" w:hAnsi="Arial" w:cs="Arial"/>
          <w:sz w:val="22"/>
          <w:szCs w:val="22"/>
        </w:rPr>
        <w:t xml:space="preserve">stimated </w:t>
      </w:r>
      <w:r w:rsidR="00BD6054">
        <w:rPr>
          <w:rFonts w:ascii="Arial" w:hAnsi="Arial" w:cs="Arial"/>
          <w:sz w:val="22"/>
          <w:szCs w:val="22"/>
        </w:rPr>
        <w:t>l</w:t>
      </w:r>
      <w:r w:rsidR="00BD6054" w:rsidRPr="00836AE8">
        <w:rPr>
          <w:rFonts w:ascii="Arial" w:hAnsi="Arial" w:cs="Arial"/>
          <w:sz w:val="22"/>
          <w:szCs w:val="22"/>
        </w:rPr>
        <w:t xml:space="preserve">iability on </w:t>
      </w:r>
      <w:r w:rsidR="00BD6054">
        <w:rPr>
          <w:rFonts w:ascii="Arial" w:hAnsi="Arial" w:cs="Arial"/>
          <w:sz w:val="22"/>
          <w:szCs w:val="22"/>
        </w:rPr>
        <w:t>members’ contributions</w:t>
      </w:r>
      <w:r w:rsidR="00BD6054" w:rsidRPr="00836AE8">
        <w:rPr>
          <w:rFonts w:ascii="Arial" w:hAnsi="Arial" w:cs="Arial"/>
          <w:sz w:val="22"/>
          <w:szCs w:val="22"/>
        </w:rPr>
        <w:t xml:space="preserve"> </w:t>
      </w:r>
      <w:r w:rsidR="00BD6054">
        <w:rPr>
          <w:rFonts w:ascii="Arial" w:hAnsi="Arial" w:cs="Arial"/>
          <w:sz w:val="22"/>
          <w:szCs w:val="22"/>
        </w:rPr>
        <w:t>e</w:t>
      </w:r>
      <w:r w:rsidR="00BD6054" w:rsidRPr="00836AE8">
        <w:rPr>
          <w:rFonts w:ascii="Arial" w:hAnsi="Arial" w:cs="Arial"/>
          <w:sz w:val="22"/>
          <w:szCs w:val="22"/>
        </w:rPr>
        <w:t>arnings account, amounting to P2.294 billion for CY 2019 and P3.216 billion for CY 2018, have no updated subsidiary ledgers.</w:t>
      </w:r>
      <w:r w:rsidR="00BD6054">
        <w:rPr>
          <w:rFonts w:ascii="Arial" w:hAnsi="Arial" w:cs="Arial"/>
          <w:b/>
          <w:sz w:val="22"/>
          <w:szCs w:val="22"/>
        </w:rPr>
        <w:t xml:space="preserve"> </w:t>
      </w:r>
      <w:r w:rsidR="00BD6054">
        <w:rPr>
          <w:rFonts w:ascii="Arial" w:hAnsi="Arial" w:cs="Arial"/>
          <w:sz w:val="22"/>
          <w:szCs w:val="22"/>
        </w:rPr>
        <w:t>Because of the status of the accounting records, we were not able to apply alternative audit procedure to obtain sufficient evidence on the correctness of the balances of the affected accounts and determine whether any adjustments to these accounts were necessary.</w:t>
      </w:r>
    </w:p>
    <w:p w:rsidR="002F6AD3" w:rsidRPr="00EA029B" w:rsidRDefault="00B3335C" w:rsidP="00B611CB">
      <w:pPr>
        <w:pStyle w:val="BodyText"/>
        <w:tabs>
          <w:tab w:val="left" w:pos="0"/>
        </w:tabs>
        <w:ind w:right="29"/>
        <w:jc w:val="both"/>
        <w:rPr>
          <w:rFonts w:ascii="Arial" w:hAnsi="Arial" w:cs="Arial"/>
          <w:sz w:val="22"/>
          <w:szCs w:val="22"/>
        </w:rPr>
      </w:pPr>
      <w:r w:rsidRPr="00EA029B">
        <w:rPr>
          <w:rFonts w:ascii="Arial" w:hAnsi="Arial" w:cs="Arial"/>
          <w:sz w:val="22"/>
          <w:szCs w:val="22"/>
        </w:rPr>
        <w:tab/>
      </w:r>
    </w:p>
    <w:p w:rsidR="00770AC0" w:rsidRDefault="00770AC0" w:rsidP="00770AC0">
      <w:pPr>
        <w:pStyle w:val="BodyText"/>
        <w:tabs>
          <w:tab w:val="left" w:pos="0"/>
        </w:tabs>
        <w:ind w:right="29"/>
        <w:jc w:val="both"/>
        <w:rPr>
          <w:rFonts w:ascii="Arial" w:hAnsi="Arial" w:cs="Arial"/>
          <w:sz w:val="22"/>
          <w:szCs w:val="22"/>
        </w:rPr>
      </w:pPr>
      <w:r>
        <w:rPr>
          <w:rFonts w:ascii="Arial" w:hAnsi="Arial" w:cs="Arial"/>
          <w:sz w:val="22"/>
          <w:szCs w:val="22"/>
        </w:rPr>
        <w:t>For the above observations that caused the issuance of a disclaimer of opinion, we recommended that Management make a timetable for the preparation of schedules and reconciliation of the said schedules with the controlling accounts to determine the correct and reliable account balances and strictly comply with the established timetable, and as a result of reconciliation, effect the necessary adjustments in the books for fair presentation of the accounts in the financial statements.</w:t>
      </w:r>
    </w:p>
    <w:p w:rsidR="00770AC0" w:rsidRDefault="00770AC0" w:rsidP="00127D79">
      <w:pPr>
        <w:pStyle w:val="ListParagraph"/>
        <w:suppressAutoHyphens w:val="0"/>
        <w:contextualSpacing/>
        <w:jc w:val="both"/>
        <w:rPr>
          <w:rFonts w:ascii="Arial" w:hAnsi="Arial" w:cs="Arial"/>
          <w:sz w:val="22"/>
          <w:szCs w:val="22"/>
        </w:rPr>
      </w:pPr>
    </w:p>
    <w:p w:rsidR="00770AC0" w:rsidRDefault="00770AC0" w:rsidP="00127D79">
      <w:pPr>
        <w:pStyle w:val="ListParagraph"/>
        <w:suppressAutoHyphens w:val="0"/>
        <w:contextualSpacing/>
        <w:jc w:val="both"/>
        <w:rPr>
          <w:rFonts w:ascii="Arial" w:hAnsi="Arial" w:cs="Arial"/>
          <w:sz w:val="22"/>
          <w:szCs w:val="22"/>
        </w:rPr>
      </w:pPr>
    </w:p>
    <w:p w:rsidR="00770AC0" w:rsidRDefault="00770AC0" w:rsidP="00127D79">
      <w:pPr>
        <w:pStyle w:val="ListParagraph"/>
        <w:suppressAutoHyphens w:val="0"/>
        <w:contextualSpacing/>
        <w:jc w:val="both"/>
        <w:rPr>
          <w:rFonts w:ascii="Arial" w:hAnsi="Arial" w:cs="Arial"/>
          <w:sz w:val="22"/>
          <w:szCs w:val="22"/>
        </w:rPr>
      </w:pPr>
    </w:p>
    <w:p w:rsidR="00770AC0" w:rsidRDefault="00770AC0" w:rsidP="00127D79">
      <w:pPr>
        <w:pStyle w:val="ListParagraph"/>
        <w:suppressAutoHyphens w:val="0"/>
        <w:contextualSpacing/>
        <w:jc w:val="both"/>
        <w:rPr>
          <w:rFonts w:ascii="Arial" w:hAnsi="Arial" w:cs="Arial"/>
          <w:sz w:val="22"/>
          <w:szCs w:val="22"/>
        </w:rPr>
      </w:pPr>
    </w:p>
    <w:p w:rsidR="00500FFC" w:rsidRDefault="00B611CB" w:rsidP="00127D79">
      <w:pPr>
        <w:pStyle w:val="ListParagraph"/>
        <w:suppressAutoHyphens w:val="0"/>
        <w:contextualSpacing/>
        <w:jc w:val="both"/>
        <w:rPr>
          <w:rFonts w:ascii="Arial" w:hAnsi="Arial" w:cs="Arial"/>
          <w:sz w:val="22"/>
          <w:szCs w:val="22"/>
        </w:rPr>
      </w:pPr>
      <w:r>
        <w:rPr>
          <w:rFonts w:ascii="Arial" w:hAnsi="Arial" w:cs="Arial"/>
          <w:sz w:val="22"/>
          <w:szCs w:val="22"/>
        </w:rPr>
        <w:lastRenderedPageBreak/>
        <w:t>O</w:t>
      </w:r>
      <w:r w:rsidR="00865CAA" w:rsidRPr="00EA029B">
        <w:rPr>
          <w:rFonts w:ascii="Arial" w:hAnsi="Arial" w:cs="Arial"/>
          <w:sz w:val="22"/>
          <w:szCs w:val="22"/>
        </w:rPr>
        <w:t>ther significant observation</w:t>
      </w:r>
      <w:r w:rsidR="00416AF7" w:rsidRPr="00EA029B">
        <w:rPr>
          <w:rFonts w:ascii="Arial" w:hAnsi="Arial" w:cs="Arial"/>
          <w:sz w:val="22"/>
          <w:szCs w:val="22"/>
        </w:rPr>
        <w:t>s</w:t>
      </w:r>
      <w:r w:rsidR="00865CAA" w:rsidRPr="00EA029B">
        <w:rPr>
          <w:rFonts w:ascii="Arial" w:hAnsi="Arial" w:cs="Arial"/>
          <w:sz w:val="22"/>
          <w:szCs w:val="22"/>
        </w:rPr>
        <w:t xml:space="preserve"> and recommendations that need immediate action</w:t>
      </w:r>
      <w:r w:rsidR="00770AC0">
        <w:rPr>
          <w:rFonts w:ascii="Arial" w:hAnsi="Arial" w:cs="Arial"/>
          <w:sz w:val="22"/>
          <w:szCs w:val="22"/>
        </w:rPr>
        <w:t>s</w:t>
      </w:r>
      <w:r w:rsidR="00865CAA" w:rsidRPr="00EA029B">
        <w:rPr>
          <w:rFonts w:ascii="Arial" w:hAnsi="Arial" w:cs="Arial"/>
          <w:sz w:val="22"/>
          <w:szCs w:val="22"/>
        </w:rPr>
        <w:t xml:space="preserve"> </w:t>
      </w:r>
      <w:r w:rsidR="00770AC0">
        <w:rPr>
          <w:rFonts w:ascii="Arial" w:hAnsi="Arial" w:cs="Arial"/>
          <w:sz w:val="22"/>
          <w:szCs w:val="22"/>
        </w:rPr>
        <w:t>are as follows</w:t>
      </w:r>
      <w:r w:rsidR="00416AF7" w:rsidRPr="00EA029B">
        <w:rPr>
          <w:rFonts w:ascii="Arial" w:hAnsi="Arial" w:cs="Arial"/>
          <w:sz w:val="22"/>
          <w:szCs w:val="22"/>
        </w:rPr>
        <w:t xml:space="preserve">:  </w:t>
      </w:r>
    </w:p>
    <w:p w:rsidR="00127D79" w:rsidRPr="00EA029B" w:rsidRDefault="00127D79" w:rsidP="00127D79">
      <w:pPr>
        <w:pStyle w:val="ListParagraph"/>
        <w:suppressAutoHyphens w:val="0"/>
        <w:contextualSpacing/>
        <w:jc w:val="both"/>
        <w:rPr>
          <w:rFonts w:ascii="Arial" w:hAnsi="Arial" w:cs="Arial"/>
          <w:sz w:val="22"/>
          <w:szCs w:val="22"/>
        </w:rPr>
      </w:pPr>
    </w:p>
    <w:p w:rsidR="00127D79" w:rsidRDefault="00127D79" w:rsidP="00127D79">
      <w:pPr>
        <w:pStyle w:val="ListParagraph"/>
        <w:numPr>
          <w:ilvl w:val="0"/>
          <w:numId w:val="10"/>
        </w:numPr>
        <w:ind w:left="360"/>
        <w:jc w:val="both"/>
        <w:rPr>
          <w:rFonts w:ascii="Arial" w:hAnsi="Arial" w:cs="Arial"/>
          <w:sz w:val="22"/>
          <w:szCs w:val="22"/>
        </w:rPr>
      </w:pPr>
      <w:r w:rsidRPr="0012477D">
        <w:rPr>
          <w:rFonts w:ascii="Arial" w:hAnsi="Arial" w:cs="Arial"/>
          <w:sz w:val="22"/>
          <w:szCs w:val="22"/>
        </w:rPr>
        <w:t xml:space="preserve">The unreconciled balances </w:t>
      </w:r>
      <w:r w:rsidR="00770AC0">
        <w:rPr>
          <w:rFonts w:ascii="Arial" w:hAnsi="Arial" w:cs="Arial"/>
          <w:sz w:val="22"/>
          <w:szCs w:val="22"/>
        </w:rPr>
        <w:t xml:space="preserve">of </w:t>
      </w:r>
      <w:r w:rsidRPr="0012477D">
        <w:rPr>
          <w:rFonts w:ascii="Arial" w:hAnsi="Arial" w:cs="Arial"/>
          <w:sz w:val="22"/>
          <w:szCs w:val="22"/>
        </w:rPr>
        <w:t xml:space="preserve">Member’s Contributions (MC) and Estimated liability on MC earnings account, amounting to P7.268 billion and P2.294 billion, respectively, representing collections of capital contribution and earnings on members’ capital contribution, respectively, have no updated </w:t>
      </w:r>
      <w:r w:rsidR="00770AC0">
        <w:rPr>
          <w:rFonts w:ascii="Arial" w:hAnsi="Arial" w:cs="Arial"/>
          <w:sz w:val="22"/>
          <w:szCs w:val="22"/>
        </w:rPr>
        <w:t>subsidiary ledgers (</w:t>
      </w:r>
      <w:r w:rsidRPr="0012477D">
        <w:rPr>
          <w:rFonts w:ascii="Arial" w:hAnsi="Arial" w:cs="Arial"/>
          <w:sz w:val="22"/>
          <w:szCs w:val="22"/>
        </w:rPr>
        <w:t>SLs</w:t>
      </w:r>
      <w:r w:rsidR="00770AC0">
        <w:rPr>
          <w:rFonts w:ascii="Arial" w:hAnsi="Arial" w:cs="Arial"/>
          <w:sz w:val="22"/>
          <w:szCs w:val="22"/>
        </w:rPr>
        <w:t>)</w:t>
      </w:r>
      <w:r w:rsidRPr="0012477D">
        <w:rPr>
          <w:rFonts w:ascii="Arial" w:hAnsi="Arial" w:cs="Arial"/>
          <w:sz w:val="22"/>
          <w:szCs w:val="22"/>
        </w:rPr>
        <w:t xml:space="preserve">, thereby affecting the accuracy and correctness of presentation of members’ data in the SLs contrary to Paragraph 15 of </w:t>
      </w:r>
      <w:r w:rsidR="00770AC0">
        <w:rPr>
          <w:rFonts w:ascii="Arial" w:hAnsi="Arial" w:cs="Arial"/>
          <w:sz w:val="22"/>
          <w:szCs w:val="22"/>
        </w:rPr>
        <w:t>Philippine Accounting Standards (</w:t>
      </w:r>
      <w:r w:rsidRPr="0012477D">
        <w:rPr>
          <w:rFonts w:ascii="Arial" w:hAnsi="Arial" w:cs="Arial"/>
          <w:sz w:val="22"/>
          <w:szCs w:val="22"/>
        </w:rPr>
        <w:t>PAS</w:t>
      </w:r>
      <w:r w:rsidR="00770AC0">
        <w:rPr>
          <w:rFonts w:ascii="Arial" w:hAnsi="Arial" w:cs="Arial"/>
          <w:sz w:val="22"/>
          <w:szCs w:val="22"/>
        </w:rPr>
        <w:t>)</w:t>
      </w:r>
      <w:r w:rsidRPr="0012477D">
        <w:rPr>
          <w:rFonts w:ascii="Arial" w:hAnsi="Arial" w:cs="Arial"/>
          <w:sz w:val="22"/>
          <w:szCs w:val="22"/>
        </w:rPr>
        <w:t xml:space="preserve"> 1, Section 111 of PD No. 1445,</w:t>
      </w:r>
      <w:r w:rsidR="007A7BD6">
        <w:rPr>
          <w:rFonts w:ascii="Arial" w:hAnsi="Arial" w:cs="Arial"/>
          <w:sz w:val="22"/>
          <w:szCs w:val="22"/>
        </w:rPr>
        <w:t xml:space="preserve"> and Office of the President’s issuances, particularly,</w:t>
      </w:r>
      <w:r w:rsidRPr="0012477D">
        <w:rPr>
          <w:rFonts w:ascii="Arial" w:hAnsi="Arial" w:cs="Arial"/>
          <w:sz w:val="22"/>
          <w:szCs w:val="22"/>
        </w:rPr>
        <w:t xml:space="preserve"> </w:t>
      </w:r>
      <w:r w:rsidR="007A7BD6">
        <w:rPr>
          <w:rFonts w:ascii="Arial" w:hAnsi="Arial" w:cs="Arial"/>
          <w:sz w:val="22"/>
          <w:szCs w:val="22"/>
        </w:rPr>
        <w:t>Executive Order (</w:t>
      </w:r>
      <w:r>
        <w:rPr>
          <w:rFonts w:ascii="Arial" w:hAnsi="Arial" w:cs="Arial"/>
          <w:sz w:val="22"/>
          <w:szCs w:val="22"/>
        </w:rPr>
        <w:t>EO</w:t>
      </w:r>
      <w:r w:rsidR="007A7BD6">
        <w:rPr>
          <w:rFonts w:ascii="Arial" w:hAnsi="Arial" w:cs="Arial"/>
          <w:sz w:val="22"/>
          <w:szCs w:val="22"/>
        </w:rPr>
        <w:t>)</w:t>
      </w:r>
      <w:r w:rsidRPr="0012477D">
        <w:rPr>
          <w:rFonts w:ascii="Arial" w:hAnsi="Arial" w:cs="Arial"/>
          <w:sz w:val="22"/>
          <w:szCs w:val="22"/>
        </w:rPr>
        <w:t xml:space="preserve"> Nos. 590 and 590-A and </w:t>
      </w:r>
      <w:r w:rsidR="007A7BD6">
        <w:rPr>
          <w:rFonts w:ascii="Arial" w:hAnsi="Arial" w:cs="Arial"/>
          <w:sz w:val="22"/>
          <w:szCs w:val="22"/>
        </w:rPr>
        <w:t>Memorandum Order (</w:t>
      </w:r>
      <w:r>
        <w:rPr>
          <w:rFonts w:ascii="Arial" w:hAnsi="Arial" w:cs="Arial"/>
          <w:sz w:val="22"/>
          <w:szCs w:val="22"/>
        </w:rPr>
        <w:t>MO</w:t>
      </w:r>
      <w:r w:rsidR="007A7BD6">
        <w:rPr>
          <w:rFonts w:ascii="Arial" w:hAnsi="Arial" w:cs="Arial"/>
          <w:sz w:val="22"/>
          <w:szCs w:val="22"/>
        </w:rPr>
        <w:t>)</w:t>
      </w:r>
      <w:r w:rsidRPr="0012477D">
        <w:rPr>
          <w:rFonts w:ascii="Arial" w:hAnsi="Arial" w:cs="Arial"/>
          <w:sz w:val="22"/>
          <w:szCs w:val="22"/>
        </w:rPr>
        <w:t xml:space="preserve"> No. 90 series of 2016.</w:t>
      </w:r>
    </w:p>
    <w:p w:rsidR="00127D79" w:rsidRDefault="00127D79" w:rsidP="00127D79">
      <w:pPr>
        <w:pStyle w:val="ListParagraph"/>
        <w:ind w:left="360"/>
        <w:jc w:val="both"/>
        <w:rPr>
          <w:rFonts w:ascii="Arial" w:hAnsi="Arial" w:cs="Arial"/>
          <w:sz w:val="22"/>
          <w:szCs w:val="22"/>
        </w:rPr>
      </w:pPr>
    </w:p>
    <w:p w:rsidR="00127D79" w:rsidRPr="0012477D" w:rsidRDefault="00127D79" w:rsidP="00127D79">
      <w:pPr>
        <w:ind w:left="360"/>
        <w:contextualSpacing/>
        <w:jc w:val="both"/>
        <w:rPr>
          <w:rFonts w:ascii="Arial" w:hAnsi="Arial" w:cs="Arial"/>
          <w:sz w:val="22"/>
          <w:szCs w:val="22"/>
        </w:rPr>
      </w:pPr>
      <w:r w:rsidRPr="0012477D">
        <w:rPr>
          <w:rFonts w:ascii="Arial" w:hAnsi="Arial" w:cs="Arial"/>
          <w:sz w:val="22"/>
          <w:szCs w:val="22"/>
        </w:rPr>
        <w:t xml:space="preserve">We reiterated our CY 2018 recommendation that Management update and reconcile the SLs of the </w:t>
      </w:r>
      <w:r w:rsidR="00770AC0">
        <w:rPr>
          <w:rFonts w:ascii="Arial" w:hAnsi="Arial" w:cs="Arial"/>
          <w:sz w:val="22"/>
          <w:szCs w:val="22"/>
        </w:rPr>
        <w:t>Integrated Financial Management System (</w:t>
      </w:r>
      <w:r w:rsidRPr="0012477D">
        <w:rPr>
          <w:rFonts w:ascii="Arial" w:hAnsi="Arial" w:cs="Arial"/>
          <w:sz w:val="22"/>
          <w:szCs w:val="22"/>
        </w:rPr>
        <w:t>IFMS</w:t>
      </w:r>
      <w:r w:rsidR="00770AC0">
        <w:rPr>
          <w:rFonts w:ascii="Arial" w:hAnsi="Arial" w:cs="Arial"/>
          <w:sz w:val="22"/>
          <w:szCs w:val="22"/>
        </w:rPr>
        <w:t>)</w:t>
      </w:r>
      <w:r w:rsidRPr="0012477D">
        <w:rPr>
          <w:rFonts w:ascii="Arial" w:hAnsi="Arial" w:cs="Arial"/>
          <w:sz w:val="22"/>
          <w:szCs w:val="22"/>
        </w:rPr>
        <w:t xml:space="preserve"> with the books </w:t>
      </w:r>
      <w:r>
        <w:rPr>
          <w:rFonts w:ascii="Arial" w:hAnsi="Arial" w:cs="Arial"/>
          <w:sz w:val="22"/>
          <w:szCs w:val="22"/>
        </w:rPr>
        <w:t>of accounts maintained by the Accounting Department</w:t>
      </w:r>
      <w:r w:rsidRPr="0012477D">
        <w:rPr>
          <w:rFonts w:ascii="Arial" w:hAnsi="Arial" w:cs="Arial"/>
          <w:sz w:val="22"/>
          <w:szCs w:val="22"/>
        </w:rPr>
        <w:t xml:space="preserve"> in preparation for the transfer of the records of MC to the </w:t>
      </w:r>
      <w:r w:rsidR="00770AC0">
        <w:rPr>
          <w:rFonts w:ascii="Arial" w:hAnsi="Arial" w:cs="Arial"/>
          <w:sz w:val="22"/>
          <w:szCs w:val="22"/>
        </w:rPr>
        <w:t>Government Financial Institution (</w:t>
      </w:r>
      <w:r w:rsidRPr="0012477D">
        <w:rPr>
          <w:rFonts w:ascii="Arial" w:hAnsi="Arial" w:cs="Arial"/>
          <w:sz w:val="22"/>
          <w:szCs w:val="22"/>
        </w:rPr>
        <w:t>GFI</w:t>
      </w:r>
      <w:r w:rsidR="00770AC0">
        <w:rPr>
          <w:rFonts w:ascii="Arial" w:hAnsi="Arial" w:cs="Arial"/>
          <w:sz w:val="22"/>
          <w:szCs w:val="22"/>
        </w:rPr>
        <w:t>)</w:t>
      </w:r>
      <w:r w:rsidRPr="0012477D">
        <w:rPr>
          <w:rFonts w:ascii="Arial" w:hAnsi="Arial" w:cs="Arial"/>
          <w:sz w:val="22"/>
          <w:szCs w:val="22"/>
        </w:rPr>
        <w:t xml:space="preserve"> Trustee in accordance with EO Nos. 590 and 590-A, as amended by MO No. 90.</w:t>
      </w:r>
    </w:p>
    <w:p w:rsidR="00127D79" w:rsidRPr="0012477D" w:rsidRDefault="00127D79" w:rsidP="00127D79">
      <w:pPr>
        <w:pStyle w:val="ListParagraph"/>
        <w:jc w:val="both"/>
        <w:rPr>
          <w:rFonts w:ascii="Arial" w:hAnsi="Arial" w:cs="Arial"/>
          <w:sz w:val="22"/>
          <w:szCs w:val="22"/>
        </w:rPr>
      </w:pPr>
    </w:p>
    <w:p w:rsidR="00127D79" w:rsidRPr="0012477D" w:rsidRDefault="00127D79" w:rsidP="00127D79">
      <w:pPr>
        <w:ind w:left="360"/>
        <w:contextualSpacing/>
        <w:jc w:val="both"/>
        <w:rPr>
          <w:rFonts w:ascii="Arial" w:hAnsi="Arial" w:cs="Arial"/>
          <w:bCs/>
          <w:sz w:val="22"/>
          <w:szCs w:val="22"/>
        </w:rPr>
      </w:pPr>
      <w:r w:rsidRPr="0012477D">
        <w:rPr>
          <w:rFonts w:ascii="Arial" w:hAnsi="Arial" w:cs="Arial"/>
          <w:bCs/>
          <w:sz w:val="22"/>
          <w:szCs w:val="22"/>
        </w:rPr>
        <w:t xml:space="preserve">We further recommended that Management continue the disposal of individual residential units, in addition to the </w:t>
      </w:r>
      <w:r w:rsidR="00770AC0">
        <w:rPr>
          <w:rFonts w:ascii="Arial" w:hAnsi="Arial" w:cs="Arial"/>
          <w:bCs/>
          <w:sz w:val="22"/>
          <w:szCs w:val="22"/>
        </w:rPr>
        <w:t>b</w:t>
      </w:r>
      <w:r w:rsidRPr="0012477D">
        <w:rPr>
          <w:rFonts w:ascii="Arial" w:hAnsi="Arial" w:cs="Arial"/>
          <w:bCs/>
          <w:sz w:val="22"/>
          <w:szCs w:val="22"/>
        </w:rPr>
        <w:t>onds and commercial papers, to fully cover the obligation to refund members’ contributions and interests thereon.</w:t>
      </w:r>
    </w:p>
    <w:p w:rsidR="00127D79" w:rsidRPr="0012477D" w:rsidRDefault="00127D79" w:rsidP="00127D79">
      <w:pPr>
        <w:jc w:val="both"/>
        <w:rPr>
          <w:rFonts w:ascii="Arial" w:hAnsi="Arial" w:cs="Arial"/>
          <w:bCs/>
          <w:sz w:val="22"/>
          <w:szCs w:val="22"/>
        </w:rPr>
      </w:pPr>
    </w:p>
    <w:p w:rsidR="00127D79" w:rsidRPr="00C6771F" w:rsidRDefault="00127D79" w:rsidP="00127D79">
      <w:pPr>
        <w:pStyle w:val="ListParagraph"/>
        <w:numPr>
          <w:ilvl w:val="0"/>
          <w:numId w:val="10"/>
        </w:numPr>
        <w:ind w:left="360"/>
        <w:jc w:val="both"/>
        <w:rPr>
          <w:rFonts w:ascii="Arial" w:hAnsi="Arial" w:cs="Arial"/>
          <w:bCs/>
          <w:sz w:val="22"/>
          <w:szCs w:val="22"/>
        </w:rPr>
      </w:pPr>
      <w:r>
        <w:rPr>
          <w:rFonts w:ascii="Arial" w:hAnsi="Arial" w:cs="Arial"/>
          <w:bCs/>
          <w:sz w:val="22"/>
          <w:szCs w:val="22"/>
        </w:rPr>
        <w:t>Dormant Accounts Receivable</w:t>
      </w:r>
      <w:r w:rsidRPr="00C6771F">
        <w:rPr>
          <w:rFonts w:ascii="Arial" w:hAnsi="Arial" w:cs="Arial"/>
          <w:bCs/>
          <w:sz w:val="22"/>
          <w:szCs w:val="22"/>
        </w:rPr>
        <w:t xml:space="preserve"> as at December 31, 2019 totaling to P955.148 million </w:t>
      </w:r>
      <w:r w:rsidR="00770AC0">
        <w:rPr>
          <w:rFonts w:ascii="Arial" w:hAnsi="Arial" w:cs="Arial"/>
          <w:bCs/>
          <w:sz w:val="22"/>
          <w:szCs w:val="22"/>
        </w:rPr>
        <w:t xml:space="preserve">have remained </w:t>
      </w:r>
      <w:r w:rsidRPr="00C6771F">
        <w:rPr>
          <w:rFonts w:ascii="Arial" w:hAnsi="Arial" w:cs="Arial"/>
          <w:bCs/>
          <w:sz w:val="22"/>
          <w:szCs w:val="22"/>
        </w:rPr>
        <w:t>outstanding for 11 to more than 20 years, thus, deprives the System of funds for its accelerated refund and payment of ot</w:t>
      </w:r>
      <w:r>
        <w:rPr>
          <w:rFonts w:ascii="Arial" w:hAnsi="Arial" w:cs="Arial"/>
          <w:bCs/>
          <w:sz w:val="22"/>
          <w:szCs w:val="22"/>
        </w:rPr>
        <w:t>her obligations, contrary to Commission on Audit (COA)</w:t>
      </w:r>
      <w:r w:rsidRPr="00C6771F">
        <w:rPr>
          <w:rFonts w:ascii="Arial" w:hAnsi="Arial" w:cs="Arial"/>
          <w:bCs/>
          <w:sz w:val="22"/>
          <w:szCs w:val="22"/>
        </w:rPr>
        <w:t xml:space="preserve"> Circular No. 2016-005. </w:t>
      </w:r>
    </w:p>
    <w:p w:rsidR="00127D79" w:rsidRPr="00C6771F" w:rsidRDefault="00127D79" w:rsidP="00127D79">
      <w:pPr>
        <w:pStyle w:val="ListParagraph"/>
        <w:ind w:left="900"/>
        <w:jc w:val="both"/>
        <w:rPr>
          <w:rFonts w:ascii="Arial" w:hAnsi="Arial" w:cs="Arial"/>
          <w:sz w:val="22"/>
          <w:szCs w:val="22"/>
        </w:rPr>
      </w:pPr>
    </w:p>
    <w:p w:rsidR="00127D79" w:rsidRPr="00C6771F" w:rsidRDefault="00127D79" w:rsidP="00127D79">
      <w:pPr>
        <w:pStyle w:val="ListParagraph"/>
        <w:ind w:left="360"/>
        <w:jc w:val="both"/>
        <w:rPr>
          <w:rFonts w:ascii="Arial" w:hAnsi="Arial" w:cs="Arial"/>
          <w:sz w:val="22"/>
          <w:szCs w:val="22"/>
        </w:rPr>
      </w:pPr>
      <w:r w:rsidRPr="00C6771F">
        <w:rPr>
          <w:rFonts w:ascii="Arial" w:hAnsi="Arial" w:cs="Arial"/>
          <w:bCs/>
          <w:sz w:val="22"/>
          <w:szCs w:val="22"/>
        </w:rPr>
        <w:t>W</w:t>
      </w:r>
      <w:r w:rsidR="00B611CB">
        <w:rPr>
          <w:rFonts w:ascii="Arial" w:hAnsi="Arial" w:cs="Arial"/>
          <w:sz w:val="22"/>
          <w:szCs w:val="22"/>
        </w:rPr>
        <w:t>e recommended and</w:t>
      </w:r>
      <w:r w:rsidRPr="00C6771F">
        <w:rPr>
          <w:rFonts w:ascii="Arial" w:hAnsi="Arial" w:cs="Arial"/>
          <w:sz w:val="22"/>
          <w:szCs w:val="22"/>
        </w:rPr>
        <w:t xml:space="preserve"> Management agreed to:</w:t>
      </w:r>
    </w:p>
    <w:p w:rsidR="00127D79" w:rsidRPr="00C6771F" w:rsidRDefault="00127D79" w:rsidP="00127D79">
      <w:pPr>
        <w:pStyle w:val="ListParagraph"/>
        <w:jc w:val="both"/>
        <w:rPr>
          <w:rFonts w:ascii="Arial" w:hAnsi="Arial" w:cs="Arial"/>
          <w:sz w:val="22"/>
          <w:szCs w:val="22"/>
        </w:rPr>
      </w:pPr>
    </w:p>
    <w:p w:rsidR="00127D79" w:rsidRPr="00C6771F" w:rsidRDefault="00127D79" w:rsidP="00127D79">
      <w:pPr>
        <w:pStyle w:val="ListParagraph"/>
        <w:numPr>
          <w:ilvl w:val="2"/>
          <w:numId w:val="10"/>
        </w:numPr>
        <w:ind w:left="851" w:hanging="425"/>
        <w:jc w:val="both"/>
        <w:rPr>
          <w:rFonts w:ascii="Arial" w:hAnsi="Arial" w:cs="Arial"/>
          <w:sz w:val="22"/>
          <w:szCs w:val="22"/>
        </w:rPr>
      </w:pPr>
      <w:r w:rsidRPr="00C6771F">
        <w:rPr>
          <w:rFonts w:ascii="Arial" w:hAnsi="Arial" w:cs="Arial"/>
          <w:sz w:val="22"/>
          <w:szCs w:val="22"/>
        </w:rPr>
        <w:t>Exhaust all available remedies to collect all long outstanding/dormant/past due accounts and ensure proper documentation of accounts and coordination of concerned Agencies;</w:t>
      </w:r>
    </w:p>
    <w:p w:rsidR="00127D79" w:rsidRPr="00C6771F" w:rsidRDefault="00127D79" w:rsidP="00127D79">
      <w:pPr>
        <w:pStyle w:val="ListParagraph"/>
        <w:jc w:val="both"/>
        <w:rPr>
          <w:rFonts w:ascii="Arial" w:hAnsi="Arial" w:cs="Arial"/>
          <w:sz w:val="22"/>
          <w:szCs w:val="22"/>
        </w:rPr>
      </w:pPr>
    </w:p>
    <w:p w:rsidR="00127D79" w:rsidRPr="00C6771F" w:rsidRDefault="00127D79" w:rsidP="00127D79">
      <w:pPr>
        <w:pStyle w:val="ListParagraph"/>
        <w:numPr>
          <w:ilvl w:val="2"/>
          <w:numId w:val="10"/>
        </w:numPr>
        <w:ind w:left="851" w:hanging="425"/>
        <w:jc w:val="both"/>
        <w:rPr>
          <w:rFonts w:ascii="Arial" w:hAnsi="Arial" w:cs="Arial"/>
          <w:sz w:val="22"/>
          <w:szCs w:val="22"/>
        </w:rPr>
      </w:pPr>
      <w:r w:rsidRPr="00C6771F">
        <w:rPr>
          <w:rFonts w:ascii="Arial" w:hAnsi="Arial" w:cs="Arial"/>
          <w:sz w:val="22"/>
          <w:szCs w:val="22"/>
        </w:rPr>
        <w:t>Devise other options and if warranted, resort to legal means to enforce settlement of accounts including those pertaining to prior years without request for write-off;</w:t>
      </w:r>
    </w:p>
    <w:p w:rsidR="00127D79" w:rsidRPr="00C6771F" w:rsidRDefault="00127D79" w:rsidP="00127D79">
      <w:pPr>
        <w:pStyle w:val="ListParagraph"/>
        <w:jc w:val="both"/>
        <w:rPr>
          <w:rFonts w:ascii="Arial" w:hAnsi="Arial" w:cs="Arial"/>
          <w:sz w:val="22"/>
          <w:szCs w:val="22"/>
        </w:rPr>
      </w:pPr>
    </w:p>
    <w:p w:rsidR="00127D79" w:rsidRPr="00C6771F" w:rsidRDefault="00127D79" w:rsidP="00127D79">
      <w:pPr>
        <w:pStyle w:val="ListParagraph"/>
        <w:numPr>
          <w:ilvl w:val="2"/>
          <w:numId w:val="10"/>
        </w:numPr>
        <w:ind w:left="851" w:hanging="425"/>
        <w:jc w:val="both"/>
        <w:rPr>
          <w:rFonts w:ascii="Arial" w:hAnsi="Arial" w:cs="Arial"/>
          <w:sz w:val="22"/>
          <w:szCs w:val="22"/>
        </w:rPr>
      </w:pPr>
      <w:r w:rsidRPr="00C6771F">
        <w:rPr>
          <w:rFonts w:ascii="Arial" w:hAnsi="Arial" w:cs="Arial"/>
          <w:sz w:val="22"/>
          <w:szCs w:val="22"/>
        </w:rPr>
        <w:t>Document all efforts to collect the dormant accounts; and</w:t>
      </w:r>
    </w:p>
    <w:p w:rsidR="00127D79" w:rsidRPr="00C6771F" w:rsidRDefault="00127D79" w:rsidP="00127D79">
      <w:pPr>
        <w:pStyle w:val="ListParagraph"/>
        <w:jc w:val="both"/>
        <w:rPr>
          <w:rFonts w:ascii="Arial" w:hAnsi="Arial" w:cs="Arial"/>
          <w:sz w:val="22"/>
          <w:szCs w:val="22"/>
        </w:rPr>
      </w:pPr>
    </w:p>
    <w:p w:rsidR="00127D79" w:rsidRPr="00C6771F" w:rsidRDefault="00127D79" w:rsidP="00127D79">
      <w:pPr>
        <w:pStyle w:val="ListParagraph"/>
        <w:numPr>
          <w:ilvl w:val="2"/>
          <w:numId w:val="10"/>
        </w:numPr>
        <w:ind w:left="851" w:hanging="425"/>
        <w:jc w:val="both"/>
        <w:rPr>
          <w:rFonts w:ascii="Arial" w:hAnsi="Arial" w:cs="Arial"/>
          <w:sz w:val="22"/>
          <w:szCs w:val="22"/>
        </w:rPr>
      </w:pPr>
      <w:r w:rsidRPr="00C6771F">
        <w:rPr>
          <w:rFonts w:ascii="Arial" w:hAnsi="Arial" w:cs="Arial"/>
          <w:sz w:val="22"/>
          <w:szCs w:val="22"/>
        </w:rPr>
        <w:t xml:space="preserve">When all efforts have failed, request the </w:t>
      </w:r>
      <w:r>
        <w:rPr>
          <w:rFonts w:ascii="Arial" w:hAnsi="Arial" w:cs="Arial"/>
          <w:sz w:val="22"/>
          <w:szCs w:val="22"/>
        </w:rPr>
        <w:t>COA</w:t>
      </w:r>
      <w:r w:rsidRPr="00C6771F">
        <w:rPr>
          <w:rFonts w:ascii="Arial" w:hAnsi="Arial" w:cs="Arial"/>
          <w:sz w:val="22"/>
          <w:szCs w:val="22"/>
        </w:rPr>
        <w:t xml:space="preserve"> for write-off as provided for under COA Circular No. 2016-005 dated December 19, 2016.</w:t>
      </w:r>
    </w:p>
    <w:p w:rsidR="00127D79" w:rsidRPr="00C6771F" w:rsidRDefault="00127D79" w:rsidP="00127D79">
      <w:pPr>
        <w:pStyle w:val="ListParagraph"/>
        <w:jc w:val="both"/>
        <w:rPr>
          <w:rFonts w:ascii="Arial" w:hAnsi="Arial" w:cs="Arial"/>
          <w:sz w:val="22"/>
          <w:szCs w:val="22"/>
        </w:rPr>
      </w:pPr>
    </w:p>
    <w:p w:rsidR="00770AC0" w:rsidRPr="00C6771F" w:rsidRDefault="00770AC0" w:rsidP="00770AC0">
      <w:pPr>
        <w:pStyle w:val="ListParagraph"/>
        <w:numPr>
          <w:ilvl w:val="0"/>
          <w:numId w:val="10"/>
        </w:numPr>
        <w:ind w:left="360"/>
        <w:jc w:val="both"/>
        <w:rPr>
          <w:rFonts w:ascii="Arial" w:hAnsi="Arial" w:cs="Arial"/>
          <w:bCs/>
          <w:sz w:val="22"/>
          <w:szCs w:val="22"/>
        </w:rPr>
      </w:pPr>
      <w:r w:rsidRPr="00C6771F">
        <w:rPr>
          <w:rFonts w:ascii="Arial" w:hAnsi="Arial" w:cs="Arial"/>
          <w:bCs/>
          <w:sz w:val="22"/>
          <w:szCs w:val="22"/>
        </w:rPr>
        <w:t xml:space="preserve">The System did not exercise due diligence in the examination of the title and documents presented by the former owner in connection with the acquisition of the 150 hectares agricultural lot.  Further, it did not consider the possible disadvantages amounting to P284.237 million on the swapping of shares of stocks between </w:t>
      </w:r>
      <w:r>
        <w:rPr>
          <w:rFonts w:ascii="Arial" w:hAnsi="Arial" w:cs="Arial"/>
          <w:bCs/>
          <w:sz w:val="22"/>
          <w:szCs w:val="22"/>
        </w:rPr>
        <w:t>Monterrosa Development Corporation (MDC)</w:t>
      </w:r>
      <w:r w:rsidRPr="00C6771F">
        <w:rPr>
          <w:rFonts w:ascii="Arial" w:hAnsi="Arial" w:cs="Arial"/>
          <w:bCs/>
          <w:sz w:val="22"/>
          <w:szCs w:val="22"/>
        </w:rPr>
        <w:t xml:space="preserve"> and an AFPRSBS’ subsidiary realty corporation in 1999, thus, unfavorable to the Members of the System and is inconsistent with Section 2 of PD No. 1445.</w:t>
      </w:r>
    </w:p>
    <w:p w:rsidR="00770AC0" w:rsidRPr="00C6771F" w:rsidRDefault="00770AC0" w:rsidP="00770AC0">
      <w:pPr>
        <w:pStyle w:val="ListParagraph"/>
        <w:ind w:left="360"/>
        <w:jc w:val="both"/>
        <w:rPr>
          <w:rFonts w:ascii="Arial" w:hAnsi="Arial" w:cs="Arial"/>
          <w:sz w:val="22"/>
          <w:szCs w:val="22"/>
        </w:rPr>
      </w:pPr>
    </w:p>
    <w:p w:rsidR="00770AC0" w:rsidRPr="00C6771F" w:rsidRDefault="00770AC0" w:rsidP="00770AC0">
      <w:pPr>
        <w:pStyle w:val="ListParagraph"/>
        <w:ind w:left="360"/>
        <w:jc w:val="both"/>
        <w:rPr>
          <w:rFonts w:ascii="Arial" w:hAnsi="Arial" w:cs="Arial"/>
          <w:bCs/>
          <w:sz w:val="22"/>
          <w:szCs w:val="22"/>
        </w:rPr>
      </w:pPr>
      <w:r w:rsidRPr="00C6771F">
        <w:rPr>
          <w:rFonts w:ascii="Arial" w:hAnsi="Arial" w:cs="Arial"/>
          <w:bCs/>
          <w:sz w:val="22"/>
          <w:szCs w:val="22"/>
        </w:rPr>
        <w:t>We recommended that Management:</w:t>
      </w:r>
    </w:p>
    <w:p w:rsidR="00770AC0" w:rsidRPr="00C6771F" w:rsidRDefault="00770AC0" w:rsidP="00770AC0">
      <w:pPr>
        <w:jc w:val="both"/>
        <w:rPr>
          <w:rFonts w:ascii="Arial" w:hAnsi="Arial" w:cs="Arial"/>
          <w:sz w:val="22"/>
          <w:szCs w:val="22"/>
        </w:rPr>
      </w:pPr>
    </w:p>
    <w:p w:rsidR="00770AC0" w:rsidRPr="00C6771F" w:rsidRDefault="00770AC0" w:rsidP="00770AC0">
      <w:pPr>
        <w:pStyle w:val="ListParagraph"/>
        <w:numPr>
          <w:ilvl w:val="2"/>
          <w:numId w:val="10"/>
        </w:numPr>
        <w:ind w:left="851" w:hanging="425"/>
        <w:jc w:val="both"/>
        <w:rPr>
          <w:rFonts w:ascii="Arial" w:hAnsi="Arial" w:cs="Arial"/>
          <w:sz w:val="22"/>
          <w:szCs w:val="22"/>
        </w:rPr>
      </w:pPr>
      <w:r w:rsidRPr="00C6771F">
        <w:rPr>
          <w:rFonts w:ascii="Arial" w:hAnsi="Arial" w:cs="Arial"/>
          <w:sz w:val="22"/>
          <w:szCs w:val="22"/>
        </w:rPr>
        <w:t xml:space="preserve">Submit all BOT’s directives, decisions, minutes of meeting and preliminaries to establish the true intention of the swap; </w:t>
      </w:r>
    </w:p>
    <w:p w:rsidR="00770AC0" w:rsidRPr="00C6771F" w:rsidRDefault="00770AC0" w:rsidP="00770AC0">
      <w:pPr>
        <w:jc w:val="both"/>
        <w:rPr>
          <w:rFonts w:ascii="Arial" w:hAnsi="Arial" w:cs="Arial"/>
          <w:sz w:val="22"/>
          <w:szCs w:val="22"/>
        </w:rPr>
      </w:pPr>
    </w:p>
    <w:p w:rsidR="00770AC0" w:rsidRPr="00C6771F" w:rsidRDefault="00770AC0" w:rsidP="00770AC0">
      <w:pPr>
        <w:pStyle w:val="ListParagraph"/>
        <w:numPr>
          <w:ilvl w:val="2"/>
          <w:numId w:val="10"/>
        </w:numPr>
        <w:ind w:left="851" w:hanging="425"/>
        <w:jc w:val="both"/>
        <w:rPr>
          <w:rFonts w:ascii="Arial" w:hAnsi="Arial" w:cs="Arial"/>
          <w:sz w:val="22"/>
          <w:szCs w:val="22"/>
        </w:rPr>
      </w:pPr>
      <w:r w:rsidRPr="00C6771F">
        <w:rPr>
          <w:rFonts w:ascii="Arial" w:hAnsi="Arial" w:cs="Arial"/>
          <w:sz w:val="22"/>
          <w:szCs w:val="22"/>
        </w:rPr>
        <w:lastRenderedPageBreak/>
        <w:t>Make the officers directly and indirectly involved in the corporates swap liable for the loss of P284.237 million; and</w:t>
      </w:r>
    </w:p>
    <w:p w:rsidR="00770AC0" w:rsidRPr="00C6771F" w:rsidRDefault="00770AC0" w:rsidP="00770AC0">
      <w:pPr>
        <w:jc w:val="both"/>
        <w:rPr>
          <w:rFonts w:ascii="Arial" w:hAnsi="Arial" w:cs="Arial"/>
          <w:sz w:val="22"/>
          <w:szCs w:val="22"/>
        </w:rPr>
      </w:pPr>
    </w:p>
    <w:p w:rsidR="00770AC0" w:rsidRPr="00C6771F" w:rsidRDefault="00770AC0" w:rsidP="00770AC0">
      <w:pPr>
        <w:pStyle w:val="ListParagraph"/>
        <w:numPr>
          <w:ilvl w:val="2"/>
          <w:numId w:val="10"/>
        </w:numPr>
        <w:ind w:left="851" w:hanging="425"/>
        <w:jc w:val="both"/>
        <w:rPr>
          <w:rFonts w:ascii="Arial" w:hAnsi="Arial" w:cs="Arial"/>
          <w:sz w:val="22"/>
          <w:szCs w:val="22"/>
        </w:rPr>
      </w:pPr>
      <w:r w:rsidRPr="00C6771F">
        <w:rPr>
          <w:rFonts w:ascii="Arial" w:hAnsi="Arial" w:cs="Arial"/>
          <w:sz w:val="22"/>
          <w:szCs w:val="22"/>
        </w:rPr>
        <w:t>Prepare the necessary accounting of the sales price of the 120 condominium units and the interest from 1999 to present to expedite the execution of judgment in case it becomes final and executory.</w:t>
      </w:r>
    </w:p>
    <w:p w:rsidR="00770AC0" w:rsidRDefault="00770AC0" w:rsidP="00770AC0">
      <w:pPr>
        <w:pStyle w:val="ListParagraph"/>
        <w:ind w:left="360"/>
        <w:jc w:val="both"/>
        <w:rPr>
          <w:rFonts w:ascii="Arial" w:hAnsi="Arial" w:cs="Arial"/>
          <w:bCs/>
          <w:sz w:val="22"/>
          <w:szCs w:val="22"/>
        </w:rPr>
      </w:pPr>
    </w:p>
    <w:p w:rsidR="00127D79" w:rsidRPr="00C6771F" w:rsidRDefault="00770AC0" w:rsidP="00127D79">
      <w:pPr>
        <w:pStyle w:val="ListParagraph"/>
        <w:numPr>
          <w:ilvl w:val="0"/>
          <w:numId w:val="10"/>
        </w:numPr>
        <w:ind w:left="360"/>
        <w:jc w:val="both"/>
        <w:rPr>
          <w:rFonts w:ascii="Arial" w:hAnsi="Arial" w:cs="Arial"/>
          <w:bCs/>
          <w:sz w:val="22"/>
          <w:szCs w:val="22"/>
        </w:rPr>
      </w:pPr>
      <w:r>
        <w:rPr>
          <w:rFonts w:ascii="Arial" w:hAnsi="Arial" w:cs="Arial"/>
          <w:bCs/>
          <w:sz w:val="22"/>
          <w:szCs w:val="22"/>
        </w:rPr>
        <w:t>The System</w:t>
      </w:r>
      <w:r w:rsidR="00127D79" w:rsidRPr="00C6771F">
        <w:rPr>
          <w:rFonts w:ascii="Arial" w:hAnsi="Arial" w:cs="Arial"/>
          <w:bCs/>
          <w:sz w:val="22"/>
          <w:szCs w:val="22"/>
        </w:rPr>
        <w:t xml:space="preserve"> did not register the certificate of sale of the foreclosed properties from the real estate corporation thereby depriving it of economic benefits including but not limited to receiving rental income and consolidation of title under its name contrary to the Section 6 of Act No. 3135 and Article 428 of the Civil Code.</w:t>
      </w:r>
    </w:p>
    <w:p w:rsidR="00127D79" w:rsidRPr="00C6771F" w:rsidRDefault="00127D79" w:rsidP="00127D79">
      <w:pPr>
        <w:tabs>
          <w:tab w:val="left" w:pos="990"/>
        </w:tabs>
        <w:contextualSpacing/>
        <w:jc w:val="both"/>
        <w:rPr>
          <w:rFonts w:ascii="Arial" w:hAnsi="Arial" w:cs="Arial"/>
          <w:sz w:val="22"/>
          <w:szCs w:val="22"/>
        </w:rPr>
      </w:pPr>
    </w:p>
    <w:p w:rsidR="00127D79" w:rsidRPr="00FC4054" w:rsidRDefault="00B611CB" w:rsidP="00FC4054">
      <w:pPr>
        <w:pStyle w:val="ListParagraph"/>
        <w:ind w:left="360"/>
        <w:jc w:val="both"/>
        <w:rPr>
          <w:rFonts w:ascii="Arial" w:hAnsi="Arial" w:cs="Arial"/>
          <w:bCs/>
          <w:sz w:val="22"/>
          <w:szCs w:val="22"/>
        </w:rPr>
      </w:pPr>
      <w:r>
        <w:rPr>
          <w:rFonts w:ascii="Arial" w:hAnsi="Arial" w:cs="Arial"/>
          <w:bCs/>
          <w:sz w:val="22"/>
          <w:szCs w:val="22"/>
        </w:rPr>
        <w:t>We recommended and</w:t>
      </w:r>
      <w:r w:rsidR="00127D79" w:rsidRPr="00C6771F">
        <w:rPr>
          <w:rFonts w:ascii="Arial" w:hAnsi="Arial" w:cs="Arial"/>
          <w:bCs/>
          <w:sz w:val="22"/>
          <w:szCs w:val="22"/>
        </w:rPr>
        <w:t xml:space="preserve"> Management agreed to pay the deficiency tax assessments and cause the registratio</w:t>
      </w:r>
      <w:r w:rsidR="00127D79">
        <w:rPr>
          <w:rFonts w:ascii="Arial" w:hAnsi="Arial" w:cs="Arial"/>
          <w:bCs/>
          <w:sz w:val="22"/>
          <w:szCs w:val="22"/>
        </w:rPr>
        <w:t xml:space="preserve">n of certificate of sale with </w:t>
      </w:r>
      <w:r w:rsidR="00770AC0">
        <w:rPr>
          <w:rFonts w:ascii="Arial" w:hAnsi="Arial" w:cs="Arial"/>
          <w:bCs/>
          <w:sz w:val="22"/>
          <w:szCs w:val="22"/>
        </w:rPr>
        <w:t xml:space="preserve">the </w:t>
      </w:r>
      <w:r w:rsidR="00127D79">
        <w:rPr>
          <w:rFonts w:ascii="Arial" w:hAnsi="Arial" w:cs="Arial"/>
          <w:bCs/>
          <w:sz w:val="22"/>
          <w:szCs w:val="22"/>
        </w:rPr>
        <w:t>Registry of Deeds</w:t>
      </w:r>
      <w:r w:rsidR="00127D79" w:rsidRPr="00C6771F">
        <w:rPr>
          <w:rFonts w:ascii="Arial" w:hAnsi="Arial" w:cs="Arial"/>
          <w:bCs/>
          <w:sz w:val="22"/>
          <w:szCs w:val="22"/>
        </w:rPr>
        <w:t>.</w:t>
      </w:r>
    </w:p>
    <w:p w:rsidR="00C97379" w:rsidRPr="00EA029B" w:rsidRDefault="00C97379" w:rsidP="00127D79">
      <w:pPr>
        <w:jc w:val="both"/>
        <w:rPr>
          <w:rFonts w:ascii="Arial" w:hAnsi="Arial" w:cs="Arial"/>
          <w:sz w:val="22"/>
          <w:szCs w:val="22"/>
        </w:rPr>
      </w:pPr>
    </w:p>
    <w:p w:rsidR="009C3371" w:rsidRPr="00EA029B" w:rsidRDefault="009C3371" w:rsidP="00127D79">
      <w:pPr>
        <w:jc w:val="both"/>
        <w:rPr>
          <w:rFonts w:ascii="Arial" w:hAnsi="Arial" w:cs="Arial"/>
          <w:sz w:val="22"/>
          <w:szCs w:val="22"/>
        </w:rPr>
      </w:pPr>
      <w:r w:rsidRPr="00EA029B">
        <w:rPr>
          <w:rFonts w:ascii="Arial" w:hAnsi="Arial" w:cs="Arial"/>
          <w:sz w:val="22"/>
          <w:szCs w:val="22"/>
        </w:rPr>
        <w:t>The other audit observations together with the recommended courses of action</w:t>
      </w:r>
      <w:r w:rsidR="00416AF7" w:rsidRPr="00EA029B">
        <w:rPr>
          <w:rFonts w:ascii="Arial" w:hAnsi="Arial" w:cs="Arial"/>
          <w:sz w:val="22"/>
          <w:szCs w:val="22"/>
        </w:rPr>
        <w:t>,</w:t>
      </w:r>
      <w:r w:rsidRPr="00EA029B">
        <w:rPr>
          <w:rFonts w:ascii="Arial" w:hAnsi="Arial" w:cs="Arial"/>
          <w:sz w:val="22"/>
          <w:szCs w:val="22"/>
        </w:rPr>
        <w:t xml:space="preserve"> which were discussed by the Audit Team with concerned Management officials and staff during the exit conference conducted on </w:t>
      </w:r>
      <w:r w:rsidR="00127D79">
        <w:rPr>
          <w:rFonts w:ascii="Arial" w:hAnsi="Arial" w:cs="Arial"/>
          <w:sz w:val="22"/>
          <w:szCs w:val="22"/>
        </w:rPr>
        <w:t>June 10, 2020</w:t>
      </w:r>
      <w:r w:rsidR="00416AF7" w:rsidRPr="00EA029B">
        <w:rPr>
          <w:rFonts w:ascii="Arial" w:hAnsi="Arial" w:cs="Arial"/>
          <w:sz w:val="22"/>
          <w:szCs w:val="22"/>
        </w:rPr>
        <w:t>,</w:t>
      </w:r>
      <w:r w:rsidRPr="00EA029B">
        <w:rPr>
          <w:rFonts w:ascii="Arial" w:hAnsi="Arial" w:cs="Arial"/>
          <w:sz w:val="22"/>
          <w:szCs w:val="22"/>
        </w:rPr>
        <w:t xml:space="preserve"> are discussed in detail in Part II of the </w:t>
      </w:r>
      <w:r w:rsidR="00276E47">
        <w:rPr>
          <w:rFonts w:ascii="Arial" w:hAnsi="Arial" w:cs="Arial"/>
          <w:sz w:val="22"/>
          <w:szCs w:val="22"/>
        </w:rPr>
        <w:t>r</w:t>
      </w:r>
      <w:r w:rsidRPr="00EA029B">
        <w:rPr>
          <w:rFonts w:ascii="Arial" w:hAnsi="Arial" w:cs="Arial"/>
          <w:sz w:val="22"/>
          <w:szCs w:val="22"/>
        </w:rPr>
        <w:t>eport.</w:t>
      </w:r>
    </w:p>
    <w:p w:rsidR="00B2314B" w:rsidRPr="00EA029B" w:rsidRDefault="00B2314B" w:rsidP="00127D79">
      <w:pPr>
        <w:jc w:val="both"/>
        <w:rPr>
          <w:rFonts w:ascii="Arial" w:hAnsi="Arial" w:cs="Arial"/>
          <w:sz w:val="22"/>
          <w:szCs w:val="22"/>
        </w:rPr>
      </w:pPr>
    </w:p>
    <w:p w:rsidR="009C3371" w:rsidRPr="00EA029B" w:rsidRDefault="009C3371" w:rsidP="00127D79">
      <w:pPr>
        <w:jc w:val="both"/>
        <w:rPr>
          <w:rFonts w:ascii="Arial" w:hAnsi="Arial" w:cs="Arial"/>
          <w:sz w:val="22"/>
          <w:szCs w:val="22"/>
        </w:rPr>
      </w:pPr>
      <w:r w:rsidRPr="00EA029B">
        <w:rPr>
          <w:rFonts w:ascii="Arial" w:hAnsi="Arial" w:cs="Arial"/>
          <w:sz w:val="22"/>
          <w:szCs w:val="22"/>
        </w:rPr>
        <w:t>In a letter of even date, we</w:t>
      </w:r>
      <w:r w:rsidR="00842E9D" w:rsidRPr="00EA029B">
        <w:rPr>
          <w:rFonts w:ascii="Arial" w:hAnsi="Arial" w:cs="Arial"/>
          <w:sz w:val="22"/>
          <w:szCs w:val="22"/>
        </w:rPr>
        <w:t xml:space="preserve"> </w:t>
      </w:r>
      <w:r w:rsidRPr="00EA029B">
        <w:rPr>
          <w:rFonts w:ascii="Arial" w:hAnsi="Arial" w:cs="Arial"/>
          <w:sz w:val="22"/>
          <w:szCs w:val="22"/>
        </w:rPr>
        <w:t xml:space="preserve">requested the </w:t>
      </w:r>
      <w:r w:rsidR="00B071F6" w:rsidRPr="00EA029B">
        <w:rPr>
          <w:rFonts w:ascii="Arial" w:hAnsi="Arial" w:cs="Arial"/>
          <w:sz w:val="22"/>
          <w:szCs w:val="22"/>
        </w:rPr>
        <w:t>President and Chief Executive Officer</w:t>
      </w:r>
      <w:r w:rsidRPr="00EA029B">
        <w:rPr>
          <w:rFonts w:ascii="Arial" w:hAnsi="Arial" w:cs="Arial"/>
          <w:sz w:val="22"/>
          <w:szCs w:val="22"/>
        </w:rPr>
        <w:t xml:space="preserve"> of </w:t>
      </w:r>
      <w:r w:rsidR="00DD62CB" w:rsidRPr="00EA029B">
        <w:rPr>
          <w:rFonts w:ascii="Arial" w:hAnsi="Arial" w:cs="Arial"/>
          <w:sz w:val="22"/>
          <w:szCs w:val="22"/>
        </w:rPr>
        <w:t>AFPRSBS</w:t>
      </w:r>
      <w:r w:rsidRPr="00EA029B">
        <w:rPr>
          <w:rFonts w:ascii="Arial" w:hAnsi="Arial" w:cs="Arial"/>
          <w:sz w:val="22"/>
          <w:szCs w:val="22"/>
        </w:rPr>
        <w:t xml:space="preserve"> </w:t>
      </w:r>
      <w:r w:rsidR="00276E47">
        <w:rPr>
          <w:rFonts w:ascii="Arial" w:hAnsi="Arial" w:cs="Arial"/>
          <w:sz w:val="22"/>
          <w:szCs w:val="22"/>
        </w:rPr>
        <w:t>to take appropriate actions on</w:t>
      </w:r>
      <w:r w:rsidRPr="00EA029B">
        <w:rPr>
          <w:rFonts w:ascii="Arial" w:hAnsi="Arial" w:cs="Arial"/>
          <w:sz w:val="22"/>
          <w:szCs w:val="22"/>
        </w:rPr>
        <w:t xml:space="preserve"> the recommendation</w:t>
      </w:r>
      <w:r w:rsidR="00842E9D" w:rsidRPr="00EA029B">
        <w:rPr>
          <w:rFonts w:ascii="Arial" w:hAnsi="Arial" w:cs="Arial"/>
          <w:sz w:val="22"/>
          <w:szCs w:val="22"/>
        </w:rPr>
        <w:t>s</w:t>
      </w:r>
      <w:r w:rsidRPr="00EA029B">
        <w:rPr>
          <w:rFonts w:ascii="Arial" w:hAnsi="Arial" w:cs="Arial"/>
          <w:sz w:val="22"/>
          <w:szCs w:val="22"/>
        </w:rPr>
        <w:t xml:space="preserve"> contained in the report </w:t>
      </w:r>
      <w:r w:rsidR="00276E47">
        <w:rPr>
          <w:rFonts w:ascii="Arial" w:hAnsi="Arial" w:cs="Arial"/>
          <w:sz w:val="22"/>
          <w:szCs w:val="22"/>
        </w:rPr>
        <w:t xml:space="preserve">and to inform this </w:t>
      </w:r>
      <w:r w:rsidRPr="00EA029B">
        <w:rPr>
          <w:rFonts w:ascii="Arial" w:hAnsi="Arial" w:cs="Arial"/>
          <w:sz w:val="22"/>
          <w:szCs w:val="22"/>
        </w:rPr>
        <w:t>Commission of the actions taken thereon within 60 days from the date of receip</w:t>
      </w:r>
      <w:r w:rsidR="00276E47">
        <w:rPr>
          <w:rFonts w:ascii="Arial" w:hAnsi="Arial" w:cs="Arial"/>
          <w:sz w:val="22"/>
          <w:szCs w:val="22"/>
        </w:rPr>
        <w:t>t</w:t>
      </w:r>
      <w:r w:rsidRPr="00EA029B">
        <w:rPr>
          <w:rFonts w:ascii="Arial" w:hAnsi="Arial" w:cs="Arial"/>
          <w:sz w:val="22"/>
          <w:szCs w:val="22"/>
        </w:rPr>
        <w:t xml:space="preserve">. </w:t>
      </w:r>
    </w:p>
    <w:p w:rsidR="007E7E2A" w:rsidRPr="00EA029B" w:rsidRDefault="007E7E2A" w:rsidP="00127D79">
      <w:pPr>
        <w:jc w:val="both"/>
        <w:rPr>
          <w:rFonts w:ascii="Arial" w:hAnsi="Arial" w:cs="Arial"/>
          <w:sz w:val="22"/>
          <w:szCs w:val="22"/>
        </w:rPr>
      </w:pPr>
    </w:p>
    <w:p w:rsidR="00BA2111" w:rsidRPr="00EA029B" w:rsidRDefault="009E2EFF" w:rsidP="00127D79">
      <w:pPr>
        <w:jc w:val="both"/>
        <w:rPr>
          <w:rFonts w:ascii="Arial" w:hAnsi="Arial" w:cs="Arial"/>
          <w:sz w:val="22"/>
          <w:szCs w:val="22"/>
        </w:rPr>
      </w:pPr>
      <w:r w:rsidRPr="00EA029B">
        <w:rPr>
          <w:rFonts w:ascii="Arial" w:hAnsi="Arial" w:cs="Arial"/>
          <w:sz w:val="22"/>
          <w:szCs w:val="22"/>
        </w:rPr>
        <w:t>We acknowledge the support and c</w:t>
      </w:r>
      <w:r w:rsidR="004E7A30" w:rsidRPr="00EA029B">
        <w:rPr>
          <w:rFonts w:ascii="Arial" w:hAnsi="Arial" w:cs="Arial"/>
          <w:sz w:val="22"/>
          <w:szCs w:val="22"/>
        </w:rPr>
        <w:t>ooperation</w:t>
      </w:r>
      <w:r w:rsidR="00FB58E2" w:rsidRPr="00EA029B">
        <w:rPr>
          <w:rFonts w:ascii="Arial" w:hAnsi="Arial" w:cs="Arial"/>
          <w:sz w:val="22"/>
          <w:szCs w:val="22"/>
        </w:rPr>
        <w:t xml:space="preserve"> </w:t>
      </w:r>
      <w:r w:rsidR="00771302" w:rsidRPr="00EA029B">
        <w:rPr>
          <w:rFonts w:ascii="Arial" w:hAnsi="Arial" w:cs="Arial"/>
          <w:sz w:val="22"/>
          <w:szCs w:val="22"/>
        </w:rPr>
        <w:t xml:space="preserve">that the Management </w:t>
      </w:r>
      <w:r w:rsidR="00FB58E2" w:rsidRPr="00EA029B">
        <w:rPr>
          <w:rFonts w:ascii="Arial" w:hAnsi="Arial" w:cs="Arial"/>
          <w:sz w:val="22"/>
          <w:szCs w:val="22"/>
        </w:rPr>
        <w:t xml:space="preserve">extended to </w:t>
      </w:r>
      <w:r w:rsidR="00771302" w:rsidRPr="00EA029B">
        <w:rPr>
          <w:rFonts w:ascii="Arial" w:hAnsi="Arial" w:cs="Arial"/>
          <w:sz w:val="22"/>
          <w:szCs w:val="22"/>
        </w:rPr>
        <w:t xml:space="preserve">the Audit Team, thus facilitating the </w:t>
      </w:r>
      <w:r w:rsidR="009C3371" w:rsidRPr="00EA029B">
        <w:rPr>
          <w:rFonts w:ascii="Arial" w:hAnsi="Arial" w:cs="Arial"/>
          <w:sz w:val="22"/>
          <w:szCs w:val="22"/>
        </w:rPr>
        <w:t>completion</w:t>
      </w:r>
      <w:r w:rsidR="00771302" w:rsidRPr="00EA029B">
        <w:rPr>
          <w:rFonts w:ascii="Arial" w:hAnsi="Arial" w:cs="Arial"/>
          <w:sz w:val="22"/>
          <w:szCs w:val="22"/>
        </w:rPr>
        <w:t xml:space="preserve"> of the report</w:t>
      </w:r>
      <w:r w:rsidRPr="00EA029B">
        <w:rPr>
          <w:rFonts w:ascii="Arial" w:hAnsi="Arial" w:cs="Arial"/>
          <w:sz w:val="22"/>
          <w:szCs w:val="22"/>
        </w:rPr>
        <w:t>.</w:t>
      </w:r>
    </w:p>
    <w:p w:rsidR="00056811" w:rsidRPr="00EA029B" w:rsidRDefault="00056811" w:rsidP="00127D79">
      <w:pPr>
        <w:spacing w:line="480" w:lineRule="auto"/>
        <w:jc w:val="both"/>
        <w:rPr>
          <w:rFonts w:ascii="Arial" w:hAnsi="Arial" w:cs="Arial"/>
          <w:sz w:val="22"/>
          <w:szCs w:val="22"/>
        </w:rPr>
      </w:pPr>
    </w:p>
    <w:p w:rsidR="009C3371" w:rsidRPr="00EA029B" w:rsidRDefault="009C3371" w:rsidP="00127D79">
      <w:pPr>
        <w:jc w:val="both"/>
        <w:rPr>
          <w:rFonts w:ascii="Arial" w:hAnsi="Arial" w:cs="Arial"/>
          <w:sz w:val="22"/>
          <w:szCs w:val="22"/>
        </w:rPr>
      </w:pPr>
      <w:r w:rsidRPr="00EA029B">
        <w:rPr>
          <w:rFonts w:ascii="Arial" w:hAnsi="Arial" w:cs="Arial"/>
          <w:sz w:val="22"/>
          <w:szCs w:val="22"/>
        </w:rPr>
        <w:t>Very truly yours,</w:t>
      </w:r>
    </w:p>
    <w:p w:rsidR="00C97379" w:rsidRPr="00EA029B" w:rsidRDefault="00C97379" w:rsidP="00127D79">
      <w:pPr>
        <w:spacing w:line="480" w:lineRule="auto"/>
        <w:jc w:val="both"/>
        <w:rPr>
          <w:rFonts w:ascii="Arial" w:hAnsi="Arial" w:cs="Arial"/>
          <w:b/>
          <w:sz w:val="22"/>
          <w:szCs w:val="22"/>
        </w:rPr>
      </w:pPr>
    </w:p>
    <w:p w:rsidR="009C3371" w:rsidRPr="00EA029B" w:rsidRDefault="009C3371" w:rsidP="00127D79">
      <w:pPr>
        <w:jc w:val="both"/>
        <w:rPr>
          <w:rFonts w:ascii="Arial" w:hAnsi="Arial" w:cs="Arial"/>
          <w:b/>
          <w:sz w:val="22"/>
          <w:szCs w:val="22"/>
        </w:rPr>
      </w:pPr>
      <w:r w:rsidRPr="00EA029B">
        <w:rPr>
          <w:rFonts w:ascii="Arial" w:hAnsi="Arial" w:cs="Arial"/>
          <w:b/>
          <w:sz w:val="22"/>
          <w:szCs w:val="22"/>
        </w:rPr>
        <w:t>COMMISSION ON AUDIT</w:t>
      </w:r>
    </w:p>
    <w:p w:rsidR="00B3335C" w:rsidRPr="00EA029B" w:rsidRDefault="00B3335C" w:rsidP="00127D79">
      <w:pPr>
        <w:jc w:val="both"/>
        <w:rPr>
          <w:rFonts w:ascii="Arial" w:hAnsi="Arial" w:cs="Arial"/>
          <w:b/>
          <w:sz w:val="22"/>
          <w:szCs w:val="22"/>
        </w:rPr>
      </w:pPr>
    </w:p>
    <w:p w:rsidR="009C3371" w:rsidRPr="00EA029B" w:rsidRDefault="009C3371" w:rsidP="00127D79">
      <w:pPr>
        <w:jc w:val="both"/>
        <w:rPr>
          <w:rFonts w:ascii="Arial" w:hAnsi="Arial" w:cs="Arial"/>
          <w:b/>
          <w:sz w:val="22"/>
          <w:szCs w:val="22"/>
        </w:rPr>
      </w:pPr>
      <w:r w:rsidRPr="00EA029B">
        <w:rPr>
          <w:rFonts w:ascii="Arial" w:hAnsi="Arial" w:cs="Arial"/>
          <w:b/>
          <w:sz w:val="22"/>
          <w:szCs w:val="22"/>
        </w:rPr>
        <w:t>By:</w:t>
      </w:r>
    </w:p>
    <w:p w:rsidR="00B3335C" w:rsidRPr="00EA029B" w:rsidRDefault="00B3335C" w:rsidP="00127D79">
      <w:pPr>
        <w:jc w:val="both"/>
        <w:rPr>
          <w:rFonts w:ascii="Arial" w:hAnsi="Arial" w:cs="Arial"/>
          <w:b/>
          <w:sz w:val="22"/>
          <w:szCs w:val="22"/>
        </w:rPr>
      </w:pPr>
    </w:p>
    <w:p w:rsidR="003C1994" w:rsidRPr="00EA029B" w:rsidRDefault="003C1994" w:rsidP="00127D79">
      <w:pPr>
        <w:jc w:val="both"/>
        <w:rPr>
          <w:rFonts w:ascii="Arial" w:hAnsi="Arial" w:cs="Arial"/>
          <w:b/>
          <w:sz w:val="22"/>
          <w:szCs w:val="22"/>
        </w:rPr>
      </w:pPr>
    </w:p>
    <w:p w:rsidR="007626C0" w:rsidRPr="00EA029B" w:rsidRDefault="007626C0" w:rsidP="00127D79">
      <w:pPr>
        <w:jc w:val="both"/>
        <w:rPr>
          <w:rFonts w:ascii="Arial" w:hAnsi="Arial" w:cs="Arial"/>
          <w:b/>
          <w:sz w:val="22"/>
          <w:szCs w:val="22"/>
        </w:rPr>
      </w:pPr>
    </w:p>
    <w:p w:rsidR="009C3371" w:rsidRPr="00EA029B" w:rsidRDefault="004E2BC2" w:rsidP="00127D79">
      <w:pPr>
        <w:jc w:val="both"/>
        <w:rPr>
          <w:rFonts w:ascii="Arial" w:hAnsi="Arial" w:cs="Arial"/>
          <w:b/>
          <w:sz w:val="22"/>
          <w:szCs w:val="22"/>
        </w:rPr>
      </w:pPr>
      <w:r w:rsidRPr="00EA029B">
        <w:rPr>
          <w:rFonts w:ascii="Arial" w:hAnsi="Arial" w:cs="Arial"/>
          <w:b/>
          <w:sz w:val="22"/>
          <w:szCs w:val="22"/>
        </w:rPr>
        <w:t>MA. LISA P. INGUILLO</w:t>
      </w:r>
    </w:p>
    <w:p w:rsidR="009C3371" w:rsidRPr="00EA029B" w:rsidRDefault="00985656" w:rsidP="00127D79">
      <w:pPr>
        <w:jc w:val="both"/>
        <w:rPr>
          <w:rFonts w:ascii="Arial" w:hAnsi="Arial" w:cs="Arial"/>
          <w:sz w:val="22"/>
          <w:szCs w:val="22"/>
        </w:rPr>
      </w:pPr>
      <w:r>
        <w:rPr>
          <w:rFonts w:ascii="Arial" w:hAnsi="Arial" w:cs="Arial"/>
          <w:sz w:val="22"/>
          <w:szCs w:val="22"/>
        </w:rPr>
        <w:t>Director IV</w:t>
      </w:r>
    </w:p>
    <w:p w:rsidR="004B6AC8" w:rsidRPr="00EA029B" w:rsidRDefault="004B6AC8" w:rsidP="00127D79">
      <w:pPr>
        <w:jc w:val="both"/>
        <w:rPr>
          <w:rFonts w:ascii="Arial" w:hAnsi="Arial" w:cs="Arial"/>
          <w:b/>
          <w:sz w:val="22"/>
          <w:szCs w:val="22"/>
        </w:rPr>
      </w:pPr>
    </w:p>
    <w:p w:rsidR="00056811" w:rsidRPr="00EA029B" w:rsidRDefault="00056811" w:rsidP="00127D79">
      <w:pPr>
        <w:tabs>
          <w:tab w:val="left" w:pos="5580"/>
        </w:tabs>
        <w:jc w:val="both"/>
        <w:rPr>
          <w:rFonts w:ascii="Arial" w:hAnsi="Arial" w:cs="Arial"/>
          <w:b/>
          <w:sz w:val="21"/>
          <w:szCs w:val="21"/>
        </w:rPr>
      </w:pPr>
    </w:p>
    <w:p w:rsidR="00056811" w:rsidRPr="00EA029B" w:rsidRDefault="00056811" w:rsidP="00127D79">
      <w:pPr>
        <w:tabs>
          <w:tab w:val="left" w:pos="5580"/>
        </w:tabs>
        <w:jc w:val="both"/>
        <w:rPr>
          <w:rFonts w:ascii="Arial" w:hAnsi="Arial" w:cs="Arial"/>
          <w:b/>
          <w:sz w:val="21"/>
          <w:szCs w:val="21"/>
        </w:rPr>
      </w:pPr>
    </w:p>
    <w:p w:rsidR="006308D1" w:rsidRPr="00EA029B" w:rsidRDefault="006308D1" w:rsidP="00127D79">
      <w:pPr>
        <w:tabs>
          <w:tab w:val="left" w:pos="5580"/>
        </w:tabs>
        <w:jc w:val="both"/>
        <w:rPr>
          <w:rFonts w:ascii="Arial" w:hAnsi="Arial" w:cs="Arial"/>
          <w:b/>
          <w:sz w:val="21"/>
          <w:szCs w:val="21"/>
        </w:rPr>
      </w:pPr>
    </w:p>
    <w:p w:rsidR="00EA029B" w:rsidRDefault="00EA029B" w:rsidP="00127D79">
      <w:pPr>
        <w:tabs>
          <w:tab w:val="left" w:pos="5580"/>
        </w:tabs>
        <w:jc w:val="both"/>
        <w:rPr>
          <w:rFonts w:ascii="Arial" w:hAnsi="Arial" w:cs="Arial"/>
          <w:b/>
          <w:sz w:val="21"/>
          <w:szCs w:val="21"/>
        </w:rPr>
      </w:pPr>
    </w:p>
    <w:p w:rsidR="009C3371" w:rsidRPr="00EA029B" w:rsidRDefault="009C3371" w:rsidP="00127D79">
      <w:pPr>
        <w:tabs>
          <w:tab w:val="left" w:pos="5580"/>
        </w:tabs>
        <w:jc w:val="both"/>
        <w:rPr>
          <w:rFonts w:ascii="Arial" w:hAnsi="Arial" w:cs="Arial"/>
          <w:b/>
          <w:sz w:val="21"/>
          <w:szCs w:val="21"/>
        </w:rPr>
      </w:pPr>
      <w:r w:rsidRPr="00EA029B">
        <w:rPr>
          <w:rFonts w:ascii="Arial" w:hAnsi="Arial" w:cs="Arial"/>
          <w:b/>
          <w:sz w:val="21"/>
          <w:szCs w:val="21"/>
        </w:rPr>
        <w:t>Copy furnished:</w:t>
      </w:r>
    </w:p>
    <w:p w:rsidR="009C3371" w:rsidRPr="00EA029B" w:rsidRDefault="009C3371" w:rsidP="00127D79">
      <w:pPr>
        <w:tabs>
          <w:tab w:val="left" w:pos="5580"/>
        </w:tabs>
        <w:jc w:val="both"/>
        <w:rPr>
          <w:rFonts w:ascii="Arial" w:hAnsi="Arial" w:cs="Arial"/>
          <w:b/>
          <w:sz w:val="16"/>
          <w:szCs w:val="21"/>
        </w:rPr>
      </w:pPr>
    </w:p>
    <w:p w:rsidR="009C3371"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President of the Republic of the Philippines</w:t>
      </w:r>
    </w:p>
    <w:p w:rsidR="009C3371"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Vice President</w:t>
      </w:r>
    </w:p>
    <w:p w:rsidR="009C3371"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Speaker of the House of Representatives</w:t>
      </w:r>
    </w:p>
    <w:p w:rsidR="009C3371"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Chairperson – Senate Finance Committee</w:t>
      </w:r>
    </w:p>
    <w:p w:rsidR="009C3371"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Chairperson – Appropriations Committee</w:t>
      </w:r>
    </w:p>
    <w:p w:rsidR="009C3371"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Secretary of the Department of Budget and Management</w:t>
      </w:r>
    </w:p>
    <w:p w:rsidR="009C3371"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Governance Commission for Government Owned or Controlled Corporations</w:t>
      </w:r>
    </w:p>
    <w:p w:rsidR="009C3371"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Presidential Management Staff, Office of the President</w:t>
      </w:r>
    </w:p>
    <w:p w:rsidR="009C3371"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UP Law Center</w:t>
      </w:r>
    </w:p>
    <w:p w:rsidR="00EA029B" w:rsidRPr="00EA029B" w:rsidRDefault="009C3371" w:rsidP="00127D79">
      <w:pPr>
        <w:tabs>
          <w:tab w:val="left" w:pos="5580"/>
        </w:tabs>
        <w:jc w:val="both"/>
        <w:rPr>
          <w:rFonts w:ascii="Arial" w:hAnsi="Arial" w:cs="Arial"/>
          <w:sz w:val="20"/>
          <w:szCs w:val="20"/>
        </w:rPr>
      </w:pPr>
      <w:r w:rsidRPr="00EA029B">
        <w:rPr>
          <w:rFonts w:ascii="Arial" w:hAnsi="Arial" w:cs="Arial"/>
          <w:sz w:val="20"/>
          <w:szCs w:val="20"/>
        </w:rPr>
        <w:t>The National Library</w:t>
      </w:r>
    </w:p>
    <w:p w:rsidR="0034714A" w:rsidRPr="00C81AC2" w:rsidRDefault="00357EFF" w:rsidP="00643EDE">
      <w:pPr>
        <w:tabs>
          <w:tab w:val="left" w:pos="5580"/>
        </w:tabs>
        <w:jc w:val="center"/>
        <w:rPr>
          <w:rFonts w:ascii="Arial" w:hAnsi="Arial" w:cs="Arial"/>
          <w:b/>
        </w:rPr>
      </w:pPr>
      <w:r w:rsidRPr="00EA029B">
        <w:rPr>
          <w:rFonts w:ascii="Arial" w:hAnsi="Arial" w:cs="Arial"/>
          <w:b/>
          <w:sz w:val="21"/>
          <w:szCs w:val="21"/>
        </w:rPr>
        <w:br w:type="page"/>
      </w:r>
      <w:r w:rsidR="0034714A" w:rsidRPr="00C81AC2">
        <w:rPr>
          <w:rFonts w:ascii="Arial" w:hAnsi="Arial" w:cs="Arial"/>
          <w:b/>
        </w:rPr>
        <w:lastRenderedPageBreak/>
        <w:t>Republic of the Philippines</w:t>
      </w:r>
    </w:p>
    <w:p w:rsidR="0034714A" w:rsidRDefault="00526001" w:rsidP="00643EDE">
      <w:pPr>
        <w:jc w:val="center"/>
        <w:rPr>
          <w:rFonts w:ascii="Arial" w:hAnsi="Arial" w:cs="Arial"/>
          <w:b/>
        </w:rPr>
      </w:pPr>
      <w:r w:rsidRPr="006A03E5">
        <w:rPr>
          <w:rFonts w:ascii="Tahoma" w:hAnsi="Tahoma" w:cs="Tahoma"/>
          <w:b/>
          <w:noProof/>
        </w:rPr>
        <w:drawing>
          <wp:anchor distT="0" distB="0" distL="114300" distR="114300" simplePos="0" relativeHeight="251664384" behindDoc="0" locked="0" layoutInCell="1" allowOverlap="1" wp14:anchorId="66B7AE4B" wp14:editId="2FA66031">
            <wp:simplePos x="0" y="0"/>
            <wp:positionH relativeFrom="margin">
              <wp:posOffset>95250</wp:posOffset>
            </wp:positionH>
            <wp:positionV relativeFrom="paragraph">
              <wp:posOffset>-106045</wp:posOffset>
            </wp:positionV>
            <wp:extent cx="82867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14:sizeRelH relativeFrom="page">
              <wp14:pctWidth>0</wp14:pctWidth>
            </wp14:sizeRelH>
            <wp14:sizeRelV relativeFrom="page">
              <wp14:pctHeight>0</wp14:pctHeight>
            </wp14:sizeRelV>
          </wp:anchor>
        </w:drawing>
      </w:r>
      <w:r w:rsidR="0034714A" w:rsidRPr="00C81AC2">
        <w:rPr>
          <w:rFonts w:ascii="Arial" w:hAnsi="Arial" w:cs="Arial"/>
          <w:b/>
        </w:rPr>
        <w:t>COMMISSION ON AUDIT</w:t>
      </w:r>
    </w:p>
    <w:p w:rsidR="0034714A" w:rsidRPr="001673CD" w:rsidRDefault="0034714A" w:rsidP="00643EDE">
      <w:pPr>
        <w:jc w:val="center"/>
        <w:rPr>
          <w:rFonts w:ascii="Arial" w:hAnsi="Arial" w:cs="Arial"/>
          <w:b/>
          <w:sz w:val="22"/>
        </w:rPr>
      </w:pPr>
      <w:r w:rsidRPr="001673CD">
        <w:rPr>
          <w:rFonts w:ascii="Arial" w:hAnsi="Arial" w:cs="Arial"/>
          <w:b/>
          <w:sz w:val="22"/>
        </w:rPr>
        <w:t>Commonwealth Avenue, Quezon City, Philippines</w:t>
      </w:r>
    </w:p>
    <w:p w:rsidR="0034714A" w:rsidRPr="00637F77" w:rsidRDefault="0034714A" w:rsidP="00643EDE">
      <w:pPr>
        <w:pStyle w:val="Heading1"/>
        <w:jc w:val="center"/>
        <w:rPr>
          <w:rFonts w:cs="Arial"/>
          <w:b/>
          <w:sz w:val="22"/>
          <w:szCs w:val="22"/>
        </w:rPr>
      </w:pPr>
      <w:r w:rsidRPr="00637F77">
        <w:rPr>
          <w:rFonts w:cs="Arial"/>
          <w:b/>
          <w:sz w:val="22"/>
          <w:szCs w:val="22"/>
        </w:rPr>
        <w:t>Corporate Government Sector</w:t>
      </w:r>
    </w:p>
    <w:p w:rsidR="0034714A" w:rsidRDefault="0034714A" w:rsidP="00643EDE">
      <w:pPr>
        <w:pStyle w:val="Heading2"/>
        <w:rPr>
          <w:rFonts w:cs="Arial"/>
          <w:b w:val="0"/>
          <w:sz w:val="22"/>
          <w:szCs w:val="22"/>
        </w:rPr>
      </w:pPr>
      <w:r w:rsidRPr="00637F77">
        <w:rPr>
          <w:rFonts w:cs="Arial"/>
          <w:b w:val="0"/>
          <w:sz w:val="22"/>
          <w:szCs w:val="22"/>
        </w:rPr>
        <w:t>Cluster 2 – Social Security Services and Housing</w:t>
      </w:r>
    </w:p>
    <w:p w:rsidR="0034714A" w:rsidRPr="001673CD" w:rsidRDefault="0034714A" w:rsidP="00643EDE">
      <w:pPr>
        <w:jc w:val="center"/>
        <w:rPr>
          <w:rFonts w:ascii="Arial" w:hAnsi="Arial" w:cs="Arial"/>
          <w:sz w:val="22"/>
        </w:rPr>
      </w:pPr>
      <w:r w:rsidRPr="001673CD">
        <w:rPr>
          <w:rFonts w:ascii="Arial" w:hAnsi="Arial" w:cs="Arial"/>
          <w:sz w:val="22"/>
        </w:rPr>
        <w:t>Office of the Cluster Director</w:t>
      </w:r>
    </w:p>
    <w:p w:rsidR="00C97379" w:rsidRPr="00B3335C" w:rsidRDefault="00C97379" w:rsidP="00127D79">
      <w:pPr>
        <w:tabs>
          <w:tab w:val="left" w:pos="5580"/>
        </w:tabs>
        <w:jc w:val="both"/>
        <w:rPr>
          <w:rFonts w:ascii="Arial" w:hAnsi="Arial" w:cs="Arial"/>
          <w:b/>
          <w:sz w:val="22"/>
          <w:szCs w:val="22"/>
        </w:rPr>
      </w:pPr>
    </w:p>
    <w:p w:rsidR="00C97379" w:rsidRDefault="00C97379" w:rsidP="00127D79">
      <w:pPr>
        <w:tabs>
          <w:tab w:val="left" w:pos="5040"/>
        </w:tabs>
        <w:jc w:val="both"/>
        <w:rPr>
          <w:rFonts w:ascii="Arial" w:hAnsi="Arial" w:cs="Arial"/>
          <w:b/>
          <w:sz w:val="22"/>
          <w:szCs w:val="22"/>
        </w:rPr>
      </w:pPr>
    </w:p>
    <w:p w:rsidR="00643EDE" w:rsidRPr="00EA029B" w:rsidRDefault="00276E47" w:rsidP="00643EDE">
      <w:pPr>
        <w:tabs>
          <w:tab w:val="left" w:pos="5310"/>
        </w:tabs>
        <w:ind w:left="5040" w:hanging="5040"/>
        <w:jc w:val="both"/>
        <w:rPr>
          <w:rFonts w:ascii="Arial" w:hAnsi="Arial" w:cs="Arial"/>
          <w:sz w:val="22"/>
          <w:szCs w:val="22"/>
        </w:rPr>
      </w:pPr>
      <w:r>
        <w:rPr>
          <w:rFonts w:ascii="Arial" w:hAnsi="Arial" w:cs="Arial"/>
          <w:sz w:val="22"/>
          <w:szCs w:val="22"/>
        </w:rPr>
        <w:t>August 20, 2020</w:t>
      </w:r>
    </w:p>
    <w:p w:rsidR="00643EDE" w:rsidRPr="00EA029B" w:rsidRDefault="00643EDE" w:rsidP="00643EDE">
      <w:pPr>
        <w:pStyle w:val="Heading3"/>
        <w:spacing w:before="0" w:after="0"/>
        <w:jc w:val="both"/>
        <w:rPr>
          <w:rFonts w:ascii="Arial" w:hAnsi="Arial" w:cs="Arial"/>
          <w:sz w:val="22"/>
          <w:szCs w:val="22"/>
        </w:rPr>
      </w:pPr>
    </w:p>
    <w:p w:rsidR="00643EDE" w:rsidRPr="00EA029B" w:rsidRDefault="00643EDE" w:rsidP="00643EDE">
      <w:pPr>
        <w:pStyle w:val="Heading3"/>
        <w:spacing w:before="0" w:after="0"/>
        <w:jc w:val="both"/>
        <w:rPr>
          <w:rFonts w:ascii="Arial" w:hAnsi="Arial" w:cs="Arial"/>
          <w:sz w:val="22"/>
          <w:szCs w:val="22"/>
        </w:rPr>
      </w:pPr>
    </w:p>
    <w:p w:rsidR="00643EDE" w:rsidRPr="00B24A6A" w:rsidRDefault="00643EDE" w:rsidP="00643EDE">
      <w:pPr>
        <w:pStyle w:val="Heading3"/>
        <w:spacing w:before="0" w:after="0"/>
        <w:jc w:val="both"/>
        <w:rPr>
          <w:rFonts w:ascii="Arial" w:hAnsi="Arial" w:cs="Arial"/>
          <w:sz w:val="22"/>
          <w:szCs w:val="22"/>
        </w:rPr>
      </w:pPr>
      <w:r w:rsidRPr="00B24A6A">
        <w:rPr>
          <w:rFonts w:ascii="Arial" w:hAnsi="Arial" w:cs="Arial"/>
          <w:sz w:val="22"/>
          <w:szCs w:val="22"/>
        </w:rPr>
        <w:t>COL. NORMAN C. LEGASPI (Ret)</w:t>
      </w:r>
    </w:p>
    <w:p w:rsidR="00643EDE" w:rsidRPr="00B24A6A" w:rsidRDefault="00643EDE" w:rsidP="00643EDE">
      <w:pPr>
        <w:jc w:val="both"/>
        <w:rPr>
          <w:rFonts w:ascii="Arial" w:hAnsi="Arial" w:cs="Arial"/>
          <w:sz w:val="22"/>
          <w:szCs w:val="22"/>
        </w:rPr>
      </w:pPr>
      <w:r w:rsidRPr="00B24A6A">
        <w:rPr>
          <w:rFonts w:ascii="Arial" w:hAnsi="Arial" w:cs="Arial"/>
          <w:sz w:val="22"/>
          <w:szCs w:val="22"/>
        </w:rPr>
        <w:t>President and Chief Executive Officer</w:t>
      </w:r>
    </w:p>
    <w:p w:rsidR="00643EDE" w:rsidRPr="00B24A6A" w:rsidRDefault="00643EDE" w:rsidP="00643EDE">
      <w:pPr>
        <w:jc w:val="both"/>
        <w:rPr>
          <w:rFonts w:ascii="Arial" w:hAnsi="Arial" w:cs="Arial"/>
          <w:sz w:val="22"/>
          <w:szCs w:val="22"/>
        </w:rPr>
      </w:pPr>
      <w:r w:rsidRPr="00B24A6A">
        <w:rPr>
          <w:rFonts w:ascii="Arial" w:hAnsi="Arial" w:cs="Arial"/>
          <w:sz w:val="22"/>
          <w:szCs w:val="22"/>
        </w:rPr>
        <w:t>AFP Retirement and Separation Benefits System</w:t>
      </w:r>
    </w:p>
    <w:p w:rsidR="00643EDE" w:rsidRPr="00B24A6A" w:rsidRDefault="00643EDE" w:rsidP="00643EDE">
      <w:pPr>
        <w:jc w:val="both"/>
        <w:rPr>
          <w:rFonts w:ascii="Arial" w:hAnsi="Arial" w:cs="Arial"/>
          <w:sz w:val="22"/>
          <w:szCs w:val="22"/>
          <w:lang w:val="it-IT"/>
        </w:rPr>
      </w:pPr>
      <w:r w:rsidRPr="00B24A6A">
        <w:rPr>
          <w:rFonts w:ascii="Arial" w:hAnsi="Arial" w:cs="Arial"/>
          <w:sz w:val="22"/>
          <w:szCs w:val="22"/>
          <w:lang w:val="it-IT"/>
        </w:rPr>
        <w:t>424 Capinpin Avenue, Camp General Emilio Aguinaldo</w:t>
      </w:r>
    </w:p>
    <w:p w:rsidR="00643EDE" w:rsidRPr="00B24A6A" w:rsidRDefault="00643EDE" w:rsidP="00643EDE">
      <w:pPr>
        <w:jc w:val="both"/>
        <w:rPr>
          <w:rFonts w:ascii="Arial" w:hAnsi="Arial" w:cs="Arial"/>
          <w:sz w:val="22"/>
          <w:szCs w:val="22"/>
        </w:rPr>
      </w:pPr>
      <w:r w:rsidRPr="00B24A6A">
        <w:rPr>
          <w:rFonts w:ascii="Arial" w:hAnsi="Arial" w:cs="Arial"/>
          <w:sz w:val="22"/>
          <w:szCs w:val="22"/>
        </w:rPr>
        <w:t>Quezon City</w:t>
      </w:r>
    </w:p>
    <w:p w:rsidR="00643EDE" w:rsidRPr="00EA029B" w:rsidRDefault="00643EDE" w:rsidP="00643EDE">
      <w:pPr>
        <w:pStyle w:val="Title"/>
        <w:jc w:val="both"/>
        <w:rPr>
          <w:rFonts w:ascii="Arial" w:hAnsi="Arial" w:cs="Arial"/>
          <w:sz w:val="22"/>
          <w:szCs w:val="22"/>
        </w:rPr>
      </w:pPr>
      <w:r w:rsidRPr="00D94898">
        <w:rPr>
          <w:rFonts w:ascii="Arial" w:hAnsi="Arial" w:cs="Arial"/>
          <w:sz w:val="22"/>
          <w:szCs w:val="22"/>
        </w:rPr>
        <w:t xml:space="preserve">          </w:t>
      </w:r>
    </w:p>
    <w:p w:rsidR="00643EDE" w:rsidRPr="00EA029B" w:rsidRDefault="001159A1" w:rsidP="00643EDE">
      <w:pPr>
        <w:jc w:val="both"/>
        <w:rPr>
          <w:rFonts w:ascii="Arial" w:hAnsi="Arial" w:cs="Arial"/>
          <w:b/>
          <w:sz w:val="22"/>
          <w:szCs w:val="22"/>
        </w:rPr>
      </w:pPr>
      <w:r>
        <w:rPr>
          <w:rFonts w:ascii="Arial" w:hAnsi="Arial" w:cs="Arial"/>
          <w:b/>
          <w:sz w:val="22"/>
          <w:szCs w:val="22"/>
        </w:rPr>
        <w:t>Dear Col. Legaspi</w:t>
      </w:r>
      <w:r w:rsidR="00643EDE" w:rsidRPr="00EA029B">
        <w:rPr>
          <w:rFonts w:ascii="Arial" w:hAnsi="Arial" w:cs="Arial"/>
          <w:b/>
          <w:sz w:val="22"/>
          <w:szCs w:val="22"/>
        </w:rPr>
        <w:t>:</w:t>
      </w:r>
    </w:p>
    <w:p w:rsidR="00643EDE" w:rsidRPr="00EA029B" w:rsidRDefault="00643EDE" w:rsidP="00643EDE">
      <w:pPr>
        <w:jc w:val="both"/>
        <w:rPr>
          <w:rFonts w:ascii="Arial" w:hAnsi="Arial" w:cs="Arial"/>
          <w:sz w:val="22"/>
          <w:szCs w:val="22"/>
        </w:rPr>
      </w:pPr>
    </w:p>
    <w:p w:rsidR="00643EDE" w:rsidRPr="00EA029B" w:rsidRDefault="00643EDE" w:rsidP="00643EDE">
      <w:pPr>
        <w:jc w:val="both"/>
        <w:rPr>
          <w:rFonts w:ascii="Arial" w:hAnsi="Arial" w:cs="Arial"/>
          <w:sz w:val="22"/>
          <w:szCs w:val="22"/>
        </w:rPr>
      </w:pPr>
      <w:r w:rsidRPr="00EA029B">
        <w:rPr>
          <w:rFonts w:ascii="Arial" w:hAnsi="Arial" w:cs="Arial"/>
          <w:sz w:val="22"/>
          <w:szCs w:val="22"/>
        </w:rPr>
        <w:t xml:space="preserve">Pursuant to Section 2, Article IX-D of the Philippine Constitution and Section 43 of Presidential Decree </w:t>
      </w:r>
      <w:r>
        <w:rPr>
          <w:rFonts w:ascii="Arial" w:hAnsi="Arial" w:cs="Arial"/>
          <w:sz w:val="22"/>
          <w:szCs w:val="22"/>
        </w:rPr>
        <w:t xml:space="preserve">(P.D.) </w:t>
      </w:r>
      <w:r w:rsidRPr="00EA029B">
        <w:rPr>
          <w:rFonts w:ascii="Arial" w:hAnsi="Arial" w:cs="Arial"/>
          <w:sz w:val="22"/>
          <w:szCs w:val="22"/>
        </w:rPr>
        <w:t>No. 1445, otherwise known as the Government Auditing Code of the Philippines, we transmit herewith our report on the results of the audit of the accounts and transactions of the A</w:t>
      </w:r>
      <w:r>
        <w:rPr>
          <w:rFonts w:ascii="Arial" w:hAnsi="Arial" w:cs="Arial"/>
          <w:sz w:val="22"/>
          <w:szCs w:val="22"/>
        </w:rPr>
        <w:t xml:space="preserve">rmed </w:t>
      </w:r>
      <w:r w:rsidRPr="00EA029B">
        <w:rPr>
          <w:rFonts w:ascii="Arial" w:hAnsi="Arial" w:cs="Arial"/>
          <w:sz w:val="22"/>
          <w:szCs w:val="22"/>
        </w:rPr>
        <w:t>F</w:t>
      </w:r>
      <w:r>
        <w:rPr>
          <w:rFonts w:ascii="Arial" w:hAnsi="Arial" w:cs="Arial"/>
          <w:sz w:val="22"/>
          <w:szCs w:val="22"/>
        </w:rPr>
        <w:t xml:space="preserve">orces of the </w:t>
      </w:r>
      <w:r w:rsidRPr="00EA029B">
        <w:rPr>
          <w:rFonts w:ascii="Arial" w:hAnsi="Arial" w:cs="Arial"/>
          <w:sz w:val="22"/>
          <w:szCs w:val="22"/>
        </w:rPr>
        <w:t>P</w:t>
      </w:r>
      <w:r>
        <w:rPr>
          <w:rFonts w:ascii="Arial" w:hAnsi="Arial" w:cs="Arial"/>
          <w:sz w:val="22"/>
          <w:szCs w:val="22"/>
        </w:rPr>
        <w:t>hilippines</w:t>
      </w:r>
      <w:r w:rsidRPr="00EA029B">
        <w:rPr>
          <w:rFonts w:ascii="Arial" w:hAnsi="Arial" w:cs="Arial"/>
          <w:sz w:val="22"/>
          <w:szCs w:val="22"/>
        </w:rPr>
        <w:t xml:space="preserve"> Retirement and Separation Benefits System (AFPRSBS) for the years ended December 31,</w:t>
      </w:r>
      <w:r w:rsidRPr="00127D79">
        <w:rPr>
          <w:rFonts w:ascii="Arial" w:hAnsi="Arial" w:cs="Arial"/>
          <w:sz w:val="22"/>
          <w:szCs w:val="22"/>
        </w:rPr>
        <w:t xml:space="preserve"> 2019 and 2018.</w:t>
      </w:r>
    </w:p>
    <w:p w:rsidR="00643EDE" w:rsidRPr="00EA029B" w:rsidRDefault="00643EDE" w:rsidP="00643EDE">
      <w:pPr>
        <w:jc w:val="both"/>
        <w:rPr>
          <w:rFonts w:ascii="Arial" w:hAnsi="Arial" w:cs="Arial"/>
          <w:sz w:val="22"/>
          <w:szCs w:val="22"/>
        </w:rPr>
      </w:pPr>
    </w:p>
    <w:p w:rsidR="00643EDE" w:rsidRPr="00EA029B" w:rsidRDefault="00643EDE" w:rsidP="00643EDE">
      <w:pPr>
        <w:jc w:val="both"/>
        <w:rPr>
          <w:rFonts w:ascii="Arial" w:hAnsi="Arial" w:cs="Arial"/>
          <w:sz w:val="22"/>
          <w:szCs w:val="22"/>
        </w:rPr>
      </w:pPr>
      <w:r w:rsidRPr="00EA029B">
        <w:rPr>
          <w:rFonts w:ascii="Arial" w:hAnsi="Arial" w:cs="Arial"/>
          <w:sz w:val="22"/>
          <w:szCs w:val="22"/>
        </w:rPr>
        <w:t xml:space="preserve">The report consists of the Independent Auditor’s Report, the Audited Financial Statements, the Observations and Recommendations, and the Status of Implementation of Prior Years’ Audit Recommendations. </w:t>
      </w:r>
    </w:p>
    <w:p w:rsidR="00643EDE" w:rsidRPr="00EA029B" w:rsidRDefault="00643EDE" w:rsidP="00643EDE">
      <w:pPr>
        <w:jc w:val="both"/>
        <w:rPr>
          <w:rFonts w:ascii="Arial" w:hAnsi="Arial" w:cs="Arial"/>
          <w:sz w:val="22"/>
          <w:szCs w:val="22"/>
        </w:rPr>
      </w:pPr>
      <w:r w:rsidRPr="00EA029B">
        <w:rPr>
          <w:rFonts w:ascii="Arial" w:hAnsi="Arial" w:cs="Arial"/>
          <w:sz w:val="22"/>
          <w:szCs w:val="22"/>
        </w:rPr>
        <w:tab/>
      </w:r>
    </w:p>
    <w:p w:rsidR="00BD6054" w:rsidRPr="00C76E96" w:rsidRDefault="00BD6054" w:rsidP="00BD6054">
      <w:pPr>
        <w:jc w:val="both"/>
        <w:rPr>
          <w:rFonts w:ascii="Arial" w:hAnsi="Arial" w:cs="Arial"/>
          <w:sz w:val="22"/>
          <w:szCs w:val="22"/>
        </w:rPr>
      </w:pPr>
      <w:r w:rsidRPr="00C76E96">
        <w:rPr>
          <w:rFonts w:ascii="Arial" w:hAnsi="Arial" w:cs="Arial"/>
          <w:sz w:val="22"/>
          <w:szCs w:val="22"/>
        </w:rPr>
        <w:t xml:space="preserve">The Auditor rendered a disclaimer of opinion on the fairness of presentation of the financial statements of the System for the years ended December 31, 2019 and 2018 </w:t>
      </w:r>
      <w:r w:rsidRPr="00B930C6">
        <w:rPr>
          <w:rFonts w:ascii="Arial" w:hAnsi="Arial" w:cs="Arial"/>
          <w:color w:val="000000" w:themeColor="text1"/>
          <w:sz w:val="22"/>
          <w:szCs w:val="22"/>
        </w:rPr>
        <w:t xml:space="preserve">in view of the non-submission of schedules to support the balances of the receivable accounts amounting to </w:t>
      </w:r>
      <w:r w:rsidRPr="00B930C6">
        <w:rPr>
          <w:rFonts w:ascii="Arial" w:hAnsi="Arial" w:cs="Arial"/>
          <w:color w:val="000000" w:themeColor="text1"/>
          <w:sz w:val="22"/>
          <w:szCs w:val="22"/>
        </w:rPr>
        <w:softHyphen/>
        <w:t>P244.145 million for CY 2019 and P216.987 million for CY 2018; other asset accounts amounting to P28.533 million for CY 2019 and P29.667 million for CY 2018; allowance for doubtful accounts amounting to P308.357 million</w:t>
      </w:r>
      <w:r w:rsidR="00212F71">
        <w:rPr>
          <w:rFonts w:ascii="Arial" w:hAnsi="Arial" w:cs="Arial"/>
          <w:color w:val="000000" w:themeColor="text1"/>
          <w:sz w:val="22"/>
          <w:szCs w:val="22"/>
        </w:rPr>
        <w:t xml:space="preserve"> both</w:t>
      </w:r>
      <w:bookmarkStart w:id="0" w:name="_GoBack"/>
      <w:bookmarkEnd w:id="0"/>
      <w:r w:rsidRPr="00B930C6">
        <w:rPr>
          <w:rFonts w:ascii="Arial" w:hAnsi="Arial" w:cs="Arial"/>
          <w:color w:val="000000" w:themeColor="text1"/>
          <w:sz w:val="22"/>
          <w:szCs w:val="22"/>
        </w:rPr>
        <w:t xml:space="preserve"> for CYs 2019 and 2018; accounts payable, accrued expenses and other liability accounts amounting to P1.048 billion for CY 2019 and P1.050 billion for CY 2018 and equity accounts amounting to P8.244 billion for CY 2019 and P7.604 billion for </w:t>
      </w:r>
      <w:r w:rsidR="00462071">
        <w:rPr>
          <w:rFonts w:ascii="Arial" w:hAnsi="Arial" w:cs="Arial"/>
          <w:color w:val="000000" w:themeColor="text1"/>
          <w:sz w:val="22"/>
          <w:szCs w:val="22"/>
        </w:rPr>
        <w:t xml:space="preserve">CY </w:t>
      </w:r>
      <w:r w:rsidRPr="00B930C6">
        <w:rPr>
          <w:rFonts w:ascii="Arial" w:hAnsi="Arial" w:cs="Arial"/>
          <w:color w:val="000000" w:themeColor="text1"/>
          <w:sz w:val="22"/>
          <w:szCs w:val="22"/>
        </w:rPr>
        <w:t xml:space="preserve">2018. Further, the </w:t>
      </w:r>
      <w:r>
        <w:rPr>
          <w:rFonts w:ascii="Arial" w:hAnsi="Arial" w:cs="Arial"/>
          <w:color w:val="000000" w:themeColor="text1"/>
          <w:sz w:val="22"/>
          <w:szCs w:val="22"/>
        </w:rPr>
        <w:t>m</w:t>
      </w:r>
      <w:r w:rsidRPr="00B930C6">
        <w:rPr>
          <w:rFonts w:ascii="Arial" w:hAnsi="Arial" w:cs="Arial"/>
          <w:color w:val="000000" w:themeColor="text1"/>
          <w:sz w:val="22"/>
          <w:szCs w:val="22"/>
        </w:rPr>
        <w:t xml:space="preserve">embers’ contributions </w:t>
      </w:r>
      <w:r>
        <w:rPr>
          <w:rFonts w:ascii="Arial" w:hAnsi="Arial" w:cs="Arial"/>
          <w:sz w:val="22"/>
          <w:szCs w:val="22"/>
        </w:rPr>
        <w:t>payable</w:t>
      </w:r>
      <w:r w:rsidRPr="00836AE8">
        <w:rPr>
          <w:rFonts w:ascii="Arial" w:hAnsi="Arial" w:cs="Arial"/>
          <w:sz w:val="22"/>
          <w:szCs w:val="22"/>
        </w:rPr>
        <w:t xml:space="preserve"> </w:t>
      </w:r>
      <w:r w:rsidRPr="00BE1052">
        <w:rPr>
          <w:rFonts w:ascii="Arial" w:hAnsi="Arial" w:cs="Arial"/>
          <w:sz w:val="22"/>
          <w:szCs w:val="22"/>
        </w:rPr>
        <w:t xml:space="preserve">account </w:t>
      </w:r>
      <w:r w:rsidRPr="00836AE8">
        <w:rPr>
          <w:rFonts w:ascii="Arial" w:hAnsi="Arial" w:cs="Arial"/>
          <w:sz w:val="22"/>
          <w:szCs w:val="22"/>
        </w:rPr>
        <w:t>amou</w:t>
      </w:r>
      <w:r>
        <w:rPr>
          <w:rFonts w:ascii="Arial" w:hAnsi="Arial" w:cs="Arial"/>
          <w:sz w:val="22"/>
          <w:szCs w:val="22"/>
        </w:rPr>
        <w:t>n</w:t>
      </w:r>
      <w:r w:rsidRPr="00836AE8">
        <w:rPr>
          <w:rFonts w:ascii="Arial" w:hAnsi="Arial" w:cs="Arial"/>
          <w:sz w:val="22"/>
          <w:szCs w:val="22"/>
        </w:rPr>
        <w:t xml:space="preserve">ting to P7.268 billion for CY 2019 and P9.603 billion </w:t>
      </w:r>
      <w:r>
        <w:rPr>
          <w:rFonts w:ascii="Arial" w:hAnsi="Arial" w:cs="Arial"/>
          <w:sz w:val="22"/>
          <w:szCs w:val="22"/>
        </w:rPr>
        <w:t xml:space="preserve">for CY 2018 </w:t>
      </w:r>
      <w:r w:rsidRPr="00836AE8">
        <w:rPr>
          <w:rFonts w:ascii="Arial" w:hAnsi="Arial" w:cs="Arial"/>
          <w:sz w:val="22"/>
          <w:szCs w:val="22"/>
        </w:rPr>
        <w:t xml:space="preserve">and </w:t>
      </w:r>
      <w:r>
        <w:rPr>
          <w:rFonts w:ascii="Arial" w:hAnsi="Arial" w:cs="Arial"/>
          <w:sz w:val="22"/>
          <w:szCs w:val="22"/>
        </w:rPr>
        <w:t>e</w:t>
      </w:r>
      <w:r w:rsidRPr="00836AE8">
        <w:rPr>
          <w:rFonts w:ascii="Arial" w:hAnsi="Arial" w:cs="Arial"/>
          <w:sz w:val="22"/>
          <w:szCs w:val="22"/>
        </w:rPr>
        <w:t xml:space="preserve">stimated </w:t>
      </w:r>
      <w:r>
        <w:rPr>
          <w:rFonts w:ascii="Arial" w:hAnsi="Arial" w:cs="Arial"/>
          <w:sz w:val="22"/>
          <w:szCs w:val="22"/>
        </w:rPr>
        <w:t>l</w:t>
      </w:r>
      <w:r w:rsidRPr="00836AE8">
        <w:rPr>
          <w:rFonts w:ascii="Arial" w:hAnsi="Arial" w:cs="Arial"/>
          <w:sz w:val="22"/>
          <w:szCs w:val="22"/>
        </w:rPr>
        <w:t xml:space="preserve">iability on </w:t>
      </w:r>
      <w:r>
        <w:rPr>
          <w:rFonts w:ascii="Arial" w:hAnsi="Arial" w:cs="Arial"/>
          <w:sz w:val="22"/>
          <w:szCs w:val="22"/>
        </w:rPr>
        <w:t>members’ contributions</w:t>
      </w:r>
      <w:r w:rsidRPr="00836AE8">
        <w:rPr>
          <w:rFonts w:ascii="Arial" w:hAnsi="Arial" w:cs="Arial"/>
          <w:sz w:val="22"/>
          <w:szCs w:val="22"/>
        </w:rPr>
        <w:t xml:space="preserve"> </w:t>
      </w:r>
      <w:r>
        <w:rPr>
          <w:rFonts w:ascii="Arial" w:hAnsi="Arial" w:cs="Arial"/>
          <w:sz w:val="22"/>
          <w:szCs w:val="22"/>
        </w:rPr>
        <w:t>e</w:t>
      </w:r>
      <w:r w:rsidRPr="00836AE8">
        <w:rPr>
          <w:rFonts w:ascii="Arial" w:hAnsi="Arial" w:cs="Arial"/>
          <w:sz w:val="22"/>
          <w:szCs w:val="22"/>
        </w:rPr>
        <w:t>arnings account, amounting to P2.294 billion for CY 2019 and P3.216 billion for CY 2018, have no updated subsidiary ledgers.</w:t>
      </w:r>
      <w:r>
        <w:rPr>
          <w:rFonts w:ascii="Arial" w:hAnsi="Arial" w:cs="Arial"/>
          <w:b/>
          <w:sz w:val="22"/>
          <w:szCs w:val="22"/>
        </w:rPr>
        <w:t xml:space="preserve"> </w:t>
      </w:r>
      <w:r>
        <w:rPr>
          <w:rFonts w:ascii="Arial" w:hAnsi="Arial" w:cs="Arial"/>
          <w:sz w:val="22"/>
          <w:szCs w:val="22"/>
        </w:rPr>
        <w:t>Because of the status of the accounting records, we were not able to apply alternative audit procedure to obtain sufficient evidence on the correctness of the balances of the affected accounts and determine whether any adjustments to these accounts were necessary.</w:t>
      </w:r>
    </w:p>
    <w:p w:rsidR="00B611CB" w:rsidRDefault="00643EDE" w:rsidP="00B611CB">
      <w:pPr>
        <w:pStyle w:val="BodyText"/>
        <w:tabs>
          <w:tab w:val="left" w:pos="0"/>
        </w:tabs>
        <w:ind w:right="29"/>
        <w:jc w:val="both"/>
        <w:rPr>
          <w:rFonts w:ascii="Arial" w:hAnsi="Arial" w:cs="Arial"/>
          <w:sz w:val="22"/>
          <w:szCs w:val="22"/>
        </w:rPr>
      </w:pPr>
      <w:r w:rsidRPr="00EA029B">
        <w:rPr>
          <w:rFonts w:ascii="Arial" w:hAnsi="Arial" w:cs="Arial"/>
          <w:sz w:val="22"/>
          <w:szCs w:val="22"/>
        </w:rPr>
        <w:tab/>
      </w:r>
    </w:p>
    <w:p w:rsidR="00462071" w:rsidRDefault="00462071" w:rsidP="00462071">
      <w:pPr>
        <w:pStyle w:val="BodyText"/>
        <w:tabs>
          <w:tab w:val="left" w:pos="0"/>
        </w:tabs>
        <w:ind w:right="29"/>
        <w:jc w:val="both"/>
        <w:rPr>
          <w:rFonts w:ascii="Arial" w:hAnsi="Arial" w:cs="Arial"/>
          <w:sz w:val="22"/>
          <w:szCs w:val="22"/>
        </w:rPr>
      </w:pPr>
      <w:r>
        <w:rPr>
          <w:rFonts w:ascii="Arial" w:hAnsi="Arial" w:cs="Arial"/>
          <w:sz w:val="22"/>
          <w:szCs w:val="22"/>
        </w:rPr>
        <w:t>For the above observations that caused the issuance of a disclaimer of opinion, we recommended that Management make a timetable for the preparation of schedules and reconciliation of the said schedules with the controlling accounts to determine the correct and reliable account balances and strictly comply with the established timetable, and as a result of reconciliation, effect the necessary adjustments in the books for fair presentation of the accounts in the financial statements.</w:t>
      </w:r>
    </w:p>
    <w:p w:rsidR="00462071" w:rsidRDefault="00462071" w:rsidP="00643EDE">
      <w:pPr>
        <w:pStyle w:val="ListParagraph"/>
        <w:suppressAutoHyphens w:val="0"/>
        <w:contextualSpacing/>
        <w:jc w:val="both"/>
        <w:rPr>
          <w:rFonts w:ascii="Arial" w:hAnsi="Arial" w:cs="Arial"/>
          <w:sz w:val="22"/>
          <w:szCs w:val="22"/>
        </w:rPr>
      </w:pPr>
    </w:p>
    <w:p w:rsidR="00FC4054" w:rsidRDefault="00FC4054" w:rsidP="00643EDE">
      <w:pPr>
        <w:pStyle w:val="ListParagraph"/>
        <w:suppressAutoHyphens w:val="0"/>
        <w:contextualSpacing/>
        <w:jc w:val="both"/>
        <w:rPr>
          <w:rFonts w:ascii="Arial" w:hAnsi="Arial" w:cs="Arial"/>
          <w:sz w:val="22"/>
          <w:szCs w:val="22"/>
        </w:rPr>
      </w:pPr>
    </w:p>
    <w:p w:rsidR="00FC4054" w:rsidRDefault="00FC4054" w:rsidP="00643EDE">
      <w:pPr>
        <w:pStyle w:val="ListParagraph"/>
        <w:suppressAutoHyphens w:val="0"/>
        <w:contextualSpacing/>
        <w:jc w:val="both"/>
        <w:rPr>
          <w:rFonts w:ascii="Arial" w:hAnsi="Arial" w:cs="Arial"/>
          <w:sz w:val="22"/>
          <w:szCs w:val="22"/>
        </w:rPr>
      </w:pPr>
    </w:p>
    <w:p w:rsidR="00FC4054" w:rsidRDefault="00FC4054" w:rsidP="00FC4054">
      <w:pPr>
        <w:pStyle w:val="ListParagraph"/>
        <w:suppressAutoHyphens w:val="0"/>
        <w:contextualSpacing/>
        <w:jc w:val="both"/>
        <w:rPr>
          <w:rFonts w:ascii="Arial" w:hAnsi="Arial" w:cs="Arial"/>
          <w:sz w:val="22"/>
          <w:szCs w:val="22"/>
        </w:rPr>
      </w:pPr>
      <w:r>
        <w:rPr>
          <w:rFonts w:ascii="Arial" w:hAnsi="Arial" w:cs="Arial"/>
          <w:sz w:val="22"/>
          <w:szCs w:val="22"/>
        </w:rPr>
        <w:lastRenderedPageBreak/>
        <w:t>O</w:t>
      </w:r>
      <w:r w:rsidRPr="00EA029B">
        <w:rPr>
          <w:rFonts w:ascii="Arial" w:hAnsi="Arial" w:cs="Arial"/>
          <w:sz w:val="22"/>
          <w:szCs w:val="22"/>
        </w:rPr>
        <w:t>ther significant observations and recommendations that need immediate action</w:t>
      </w:r>
      <w:r>
        <w:rPr>
          <w:rFonts w:ascii="Arial" w:hAnsi="Arial" w:cs="Arial"/>
          <w:sz w:val="22"/>
          <w:szCs w:val="22"/>
        </w:rPr>
        <w:t>s</w:t>
      </w:r>
      <w:r w:rsidRPr="00EA029B">
        <w:rPr>
          <w:rFonts w:ascii="Arial" w:hAnsi="Arial" w:cs="Arial"/>
          <w:sz w:val="22"/>
          <w:szCs w:val="22"/>
        </w:rPr>
        <w:t xml:space="preserve"> </w:t>
      </w:r>
      <w:r>
        <w:rPr>
          <w:rFonts w:ascii="Arial" w:hAnsi="Arial" w:cs="Arial"/>
          <w:sz w:val="22"/>
          <w:szCs w:val="22"/>
        </w:rPr>
        <w:t>are as follows</w:t>
      </w:r>
      <w:r w:rsidRPr="00EA029B">
        <w:rPr>
          <w:rFonts w:ascii="Arial" w:hAnsi="Arial" w:cs="Arial"/>
          <w:sz w:val="22"/>
          <w:szCs w:val="22"/>
        </w:rPr>
        <w:t xml:space="preserve">:  </w:t>
      </w:r>
    </w:p>
    <w:p w:rsidR="00FC4054" w:rsidRPr="00EA029B" w:rsidRDefault="00FC4054" w:rsidP="00FC4054">
      <w:pPr>
        <w:pStyle w:val="ListParagraph"/>
        <w:suppressAutoHyphens w:val="0"/>
        <w:contextualSpacing/>
        <w:jc w:val="both"/>
        <w:rPr>
          <w:rFonts w:ascii="Arial" w:hAnsi="Arial" w:cs="Arial"/>
          <w:sz w:val="22"/>
          <w:szCs w:val="22"/>
        </w:rPr>
      </w:pPr>
    </w:p>
    <w:p w:rsidR="00FC4054" w:rsidRPr="002E1752" w:rsidRDefault="00FC4054" w:rsidP="00FE77A9">
      <w:pPr>
        <w:pStyle w:val="ListParagraph"/>
        <w:numPr>
          <w:ilvl w:val="0"/>
          <w:numId w:val="24"/>
        </w:numPr>
        <w:ind w:left="360"/>
        <w:jc w:val="both"/>
        <w:rPr>
          <w:rFonts w:ascii="Arial" w:hAnsi="Arial" w:cs="Arial"/>
          <w:sz w:val="22"/>
          <w:szCs w:val="22"/>
        </w:rPr>
      </w:pPr>
      <w:r w:rsidRPr="0012477D">
        <w:rPr>
          <w:rFonts w:ascii="Arial" w:hAnsi="Arial" w:cs="Arial"/>
          <w:sz w:val="22"/>
          <w:szCs w:val="22"/>
        </w:rPr>
        <w:t xml:space="preserve">The unreconciled balances </w:t>
      </w:r>
      <w:r>
        <w:rPr>
          <w:rFonts w:ascii="Arial" w:hAnsi="Arial" w:cs="Arial"/>
          <w:sz w:val="22"/>
          <w:szCs w:val="22"/>
        </w:rPr>
        <w:t xml:space="preserve">of </w:t>
      </w:r>
      <w:r w:rsidRPr="0012477D">
        <w:rPr>
          <w:rFonts w:ascii="Arial" w:hAnsi="Arial" w:cs="Arial"/>
          <w:sz w:val="22"/>
          <w:szCs w:val="22"/>
        </w:rPr>
        <w:t xml:space="preserve">Member’s Contributions (MC) and Estimated liability on MC earnings account, amounting to P7.268 billion and P2.294 billion, respectively, representing collections of capital contribution and earnings on members’ capital contribution, respectively, have no updated </w:t>
      </w:r>
      <w:r>
        <w:rPr>
          <w:rFonts w:ascii="Arial" w:hAnsi="Arial" w:cs="Arial"/>
          <w:sz w:val="22"/>
          <w:szCs w:val="22"/>
        </w:rPr>
        <w:t>subsidiary ledgers (</w:t>
      </w:r>
      <w:r w:rsidRPr="0012477D">
        <w:rPr>
          <w:rFonts w:ascii="Arial" w:hAnsi="Arial" w:cs="Arial"/>
          <w:sz w:val="22"/>
          <w:szCs w:val="22"/>
        </w:rPr>
        <w:t>SLs</w:t>
      </w:r>
      <w:r>
        <w:rPr>
          <w:rFonts w:ascii="Arial" w:hAnsi="Arial" w:cs="Arial"/>
          <w:sz w:val="22"/>
          <w:szCs w:val="22"/>
        </w:rPr>
        <w:t>)</w:t>
      </w:r>
      <w:r w:rsidRPr="0012477D">
        <w:rPr>
          <w:rFonts w:ascii="Arial" w:hAnsi="Arial" w:cs="Arial"/>
          <w:sz w:val="22"/>
          <w:szCs w:val="22"/>
        </w:rPr>
        <w:t xml:space="preserve">, thereby affecting the accuracy and correctness of presentation of members’ data in the SLs contrary to Paragraph 15 of </w:t>
      </w:r>
      <w:r>
        <w:rPr>
          <w:rFonts w:ascii="Arial" w:hAnsi="Arial" w:cs="Arial"/>
          <w:sz w:val="22"/>
          <w:szCs w:val="22"/>
        </w:rPr>
        <w:t>Philippine Accounting Standards (</w:t>
      </w:r>
      <w:r w:rsidRPr="0012477D">
        <w:rPr>
          <w:rFonts w:ascii="Arial" w:hAnsi="Arial" w:cs="Arial"/>
          <w:sz w:val="22"/>
          <w:szCs w:val="22"/>
        </w:rPr>
        <w:t>PAS</w:t>
      </w:r>
      <w:r>
        <w:rPr>
          <w:rFonts w:ascii="Arial" w:hAnsi="Arial" w:cs="Arial"/>
          <w:sz w:val="22"/>
          <w:szCs w:val="22"/>
        </w:rPr>
        <w:t>)</w:t>
      </w:r>
      <w:r w:rsidRPr="0012477D">
        <w:rPr>
          <w:rFonts w:ascii="Arial" w:hAnsi="Arial" w:cs="Arial"/>
          <w:sz w:val="22"/>
          <w:szCs w:val="22"/>
        </w:rPr>
        <w:t xml:space="preserve"> 1, Section 111 of PD No. 1445, </w:t>
      </w:r>
      <w:r w:rsidR="002E1752">
        <w:rPr>
          <w:rFonts w:ascii="Arial" w:hAnsi="Arial" w:cs="Arial"/>
          <w:sz w:val="22"/>
          <w:szCs w:val="22"/>
        </w:rPr>
        <w:t>and Office of the President’s issuances, particularly,</w:t>
      </w:r>
      <w:r w:rsidR="002E1752" w:rsidRPr="0012477D">
        <w:rPr>
          <w:rFonts w:ascii="Arial" w:hAnsi="Arial" w:cs="Arial"/>
          <w:sz w:val="22"/>
          <w:szCs w:val="22"/>
        </w:rPr>
        <w:t xml:space="preserve"> </w:t>
      </w:r>
      <w:r w:rsidR="002E1752">
        <w:rPr>
          <w:rFonts w:ascii="Arial" w:hAnsi="Arial" w:cs="Arial"/>
          <w:sz w:val="22"/>
          <w:szCs w:val="22"/>
        </w:rPr>
        <w:t>Executive Order (EO)</w:t>
      </w:r>
      <w:r w:rsidR="002E1752" w:rsidRPr="0012477D">
        <w:rPr>
          <w:rFonts w:ascii="Arial" w:hAnsi="Arial" w:cs="Arial"/>
          <w:sz w:val="22"/>
          <w:szCs w:val="22"/>
        </w:rPr>
        <w:t xml:space="preserve"> Nos. 590 and 590-A and </w:t>
      </w:r>
      <w:r w:rsidR="002E1752">
        <w:rPr>
          <w:rFonts w:ascii="Arial" w:hAnsi="Arial" w:cs="Arial"/>
          <w:sz w:val="22"/>
          <w:szCs w:val="22"/>
        </w:rPr>
        <w:t>Memorandum Order (MO)</w:t>
      </w:r>
      <w:r w:rsidR="002E1752" w:rsidRPr="0012477D">
        <w:rPr>
          <w:rFonts w:ascii="Arial" w:hAnsi="Arial" w:cs="Arial"/>
          <w:sz w:val="22"/>
          <w:szCs w:val="22"/>
        </w:rPr>
        <w:t xml:space="preserve"> No. 90 series of 2016.</w:t>
      </w:r>
    </w:p>
    <w:p w:rsidR="00FC4054" w:rsidRDefault="00FC4054" w:rsidP="00FC4054">
      <w:pPr>
        <w:pStyle w:val="ListParagraph"/>
        <w:ind w:left="360"/>
        <w:jc w:val="both"/>
        <w:rPr>
          <w:rFonts w:ascii="Arial" w:hAnsi="Arial" w:cs="Arial"/>
          <w:sz w:val="22"/>
          <w:szCs w:val="22"/>
        </w:rPr>
      </w:pPr>
    </w:p>
    <w:p w:rsidR="00FC4054" w:rsidRPr="0012477D" w:rsidRDefault="00FC4054" w:rsidP="00FC4054">
      <w:pPr>
        <w:ind w:left="360"/>
        <w:contextualSpacing/>
        <w:jc w:val="both"/>
        <w:rPr>
          <w:rFonts w:ascii="Arial" w:hAnsi="Arial" w:cs="Arial"/>
          <w:sz w:val="22"/>
          <w:szCs w:val="22"/>
        </w:rPr>
      </w:pPr>
      <w:r w:rsidRPr="0012477D">
        <w:rPr>
          <w:rFonts w:ascii="Arial" w:hAnsi="Arial" w:cs="Arial"/>
          <w:sz w:val="22"/>
          <w:szCs w:val="22"/>
        </w:rPr>
        <w:t xml:space="preserve">We reiterated our CY 2018 recommendation that Management update and reconcile the SLs of the </w:t>
      </w:r>
      <w:r>
        <w:rPr>
          <w:rFonts w:ascii="Arial" w:hAnsi="Arial" w:cs="Arial"/>
          <w:sz w:val="22"/>
          <w:szCs w:val="22"/>
        </w:rPr>
        <w:t>Integrated Financial Management System (</w:t>
      </w:r>
      <w:r w:rsidRPr="0012477D">
        <w:rPr>
          <w:rFonts w:ascii="Arial" w:hAnsi="Arial" w:cs="Arial"/>
          <w:sz w:val="22"/>
          <w:szCs w:val="22"/>
        </w:rPr>
        <w:t>IFMS</w:t>
      </w:r>
      <w:r>
        <w:rPr>
          <w:rFonts w:ascii="Arial" w:hAnsi="Arial" w:cs="Arial"/>
          <w:sz w:val="22"/>
          <w:szCs w:val="22"/>
        </w:rPr>
        <w:t>)</w:t>
      </w:r>
      <w:r w:rsidRPr="0012477D">
        <w:rPr>
          <w:rFonts w:ascii="Arial" w:hAnsi="Arial" w:cs="Arial"/>
          <w:sz w:val="22"/>
          <w:szCs w:val="22"/>
        </w:rPr>
        <w:t xml:space="preserve"> with the books </w:t>
      </w:r>
      <w:r>
        <w:rPr>
          <w:rFonts w:ascii="Arial" w:hAnsi="Arial" w:cs="Arial"/>
          <w:sz w:val="22"/>
          <w:szCs w:val="22"/>
        </w:rPr>
        <w:t>of accounts maintained by the Accounting Department</w:t>
      </w:r>
      <w:r w:rsidRPr="0012477D">
        <w:rPr>
          <w:rFonts w:ascii="Arial" w:hAnsi="Arial" w:cs="Arial"/>
          <w:sz w:val="22"/>
          <w:szCs w:val="22"/>
        </w:rPr>
        <w:t xml:space="preserve"> in preparation for the transfer of the records of MC to the </w:t>
      </w:r>
      <w:r>
        <w:rPr>
          <w:rFonts w:ascii="Arial" w:hAnsi="Arial" w:cs="Arial"/>
          <w:sz w:val="22"/>
          <w:szCs w:val="22"/>
        </w:rPr>
        <w:t>Government Financial Institution (</w:t>
      </w:r>
      <w:r w:rsidRPr="0012477D">
        <w:rPr>
          <w:rFonts w:ascii="Arial" w:hAnsi="Arial" w:cs="Arial"/>
          <w:sz w:val="22"/>
          <w:szCs w:val="22"/>
        </w:rPr>
        <w:t>GFI</w:t>
      </w:r>
      <w:r>
        <w:rPr>
          <w:rFonts w:ascii="Arial" w:hAnsi="Arial" w:cs="Arial"/>
          <w:sz w:val="22"/>
          <w:szCs w:val="22"/>
        </w:rPr>
        <w:t>)</w:t>
      </w:r>
      <w:r w:rsidRPr="0012477D">
        <w:rPr>
          <w:rFonts w:ascii="Arial" w:hAnsi="Arial" w:cs="Arial"/>
          <w:sz w:val="22"/>
          <w:szCs w:val="22"/>
        </w:rPr>
        <w:t xml:space="preserve"> Trustee in accordance with EO Nos. 590 and 590-A, as amended by MO No. 90.</w:t>
      </w:r>
    </w:p>
    <w:p w:rsidR="00FC4054" w:rsidRPr="0012477D" w:rsidRDefault="00FC4054" w:rsidP="00FC4054">
      <w:pPr>
        <w:pStyle w:val="ListParagraph"/>
        <w:jc w:val="both"/>
        <w:rPr>
          <w:rFonts w:ascii="Arial" w:hAnsi="Arial" w:cs="Arial"/>
          <w:sz w:val="22"/>
          <w:szCs w:val="22"/>
        </w:rPr>
      </w:pPr>
    </w:p>
    <w:p w:rsidR="00FC4054" w:rsidRPr="0012477D" w:rsidRDefault="00FC4054" w:rsidP="00FC4054">
      <w:pPr>
        <w:ind w:left="360"/>
        <w:contextualSpacing/>
        <w:jc w:val="both"/>
        <w:rPr>
          <w:rFonts w:ascii="Arial" w:hAnsi="Arial" w:cs="Arial"/>
          <w:bCs/>
          <w:sz w:val="22"/>
          <w:szCs w:val="22"/>
        </w:rPr>
      </w:pPr>
      <w:r w:rsidRPr="0012477D">
        <w:rPr>
          <w:rFonts w:ascii="Arial" w:hAnsi="Arial" w:cs="Arial"/>
          <w:bCs/>
          <w:sz w:val="22"/>
          <w:szCs w:val="22"/>
        </w:rPr>
        <w:t xml:space="preserve">We further recommended that Management continue the disposal of individual residential units, in addition to the </w:t>
      </w:r>
      <w:r>
        <w:rPr>
          <w:rFonts w:ascii="Arial" w:hAnsi="Arial" w:cs="Arial"/>
          <w:bCs/>
          <w:sz w:val="22"/>
          <w:szCs w:val="22"/>
        </w:rPr>
        <w:t>b</w:t>
      </w:r>
      <w:r w:rsidRPr="0012477D">
        <w:rPr>
          <w:rFonts w:ascii="Arial" w:hAnsi="Arial" w:cs="Arial"/>
          <w:bCs/>
          <w:sz w:val="22"/>
          <w:szCs w:val="22"/>
        </w:rPr>
        <w:t>onds and commercial papers, to fully cover the obligation to refund members’ contributions and interests thereon.</w:t>
      </w:r>
    </w:p>
    <w:p w:rsidR="00FC4054" w:rsidRPr="0012477D" w:rsidRDefault="00FC4054" w:rsidP="00FC4054">
      <w:pPr>
        <w:jc w:val="both"/>
        <w:rPr>
          <w:rFonts w:ascii="Arial" w:hAnsi="Arial" w:cs="Arial"/>
          <w:bCs/>
          <w:sz w:val="22"/>
          <w:szCs w:val="22"/>
        </w:rPr>
      </w:pPr>
    </w:p>
    <w:p w:rsidR="00FC4054" w:rsidRPr="00C6771F" w:rsidRDefault="00FC4054" w:rsidP="00FC4054">
      <w:pPr>
        <w:pStyle w:val="ListParagraph"/>
        <w:numPr>
          <w:ilvl w:val="0"/>
          <w:numId w:val="24"/>
        </w:numPr>
        <w:ind w:left="360"/>
        <w:jc w:val="both"/>
        <w:rPr>
          <w:rFonts w:ascii="Arial" w:hAnsi="Arial" w:cs="Arial"/>
          <w:bCs/>
          <w:sz w:val="22"/>
          <w:szCs w:val="22"/>
        </w:rPr>
      </w:pPr>
      <w:r>
        <w:rPr>
          <w:rFonts w:ascii="Arial" w:hAnsi="Arial" w:cs="Arial"/>
          <w:bCs/>
          <w:sz w:val="22"/>
          <w:szCs w:val="22"/>
        </w:rPr>
        <w:t>Dormant Accounts Receivable</w:t>
      </w:r>
      <w:r w:rsidRPr="00C6771F">
        <w:rPr>
          <w:rFonts w:ascii="Arial" w:hAnsi="Arial" w:cs="Arial"/>
          <w:bCs/>
          <w:sz w:val="22"/>
          <w:szCs w:val="22"/>
        </w:rPr>
        <w:t xml:space="preserve"> as at December 31, 2019 totaling to P955.148 million </w:t>
      </w:r>
      <w:r>
        <w:rPr>
          <w:rFonts w:ascii="Arial" w:hAnsi="Arial" w:cs="Arial"/>
          <w:bCs/>
          <w:sz w:val="22"/>
          <w:szCs w:val="22"/>
        </w:rPr>
        <w:t xml:space="preserve">have remained </w:t>
      </w:r>
      <w:r w:rsidRPr="00C6771F">
        <w:rPr>
          <w:rFonts w:ascii="Arial" w:hAnsi="Arial" w:cs="Arial"/>
          <w:bCs/>
          <w:sz w:val="22"/>
          <w:szCs w:val="22"/>
        </w:rPr>
        <w:t>outstanding for 11 to more than 20 years, thus, deprives the System of funds for its accelerated refund and payment of ot</w:t>
      </w:r>
      <w:r>
        <w:rPr>
          <w:rFonts w:ascii="Arial" w:hAnsi="Arial" w:cs="Arial"/>
          <w:bCs/>
          <w:sz w:val="22"/>
          <w:szCs w:val="22"/>
        </w:rPr>
        <w:t>her obligations, contrary to Commission on Audit (COA)</w:t>
      </w:r>
      <w:r w:rsidRPr="00C6771F">
        <w:rPr>
          <w:rFonts w:ascii="Arial" w:hAnsi="Arial" w:cs="Arial"/>
          <w:bCs/>
          <w:sz w:val="22"/>
          <w:szCs w:val="22"/>
        </w:rPr>
        <w:t xml:space="preserve"> Circular No. 2016-005. </w:t>
      </w:r>
    </w:p>
    <w:p w:rsidR="00FC4054" w:rsidRPr="00C6771F" w:rsidRDefault="00FC4054" w:rsidP="00FC4054">
      <w:pPr>
        <w:pStyle w:val="ListParagraph"/>
        <w:ind w:left="900"/>
        <w:jc w:val="both"/>
        <w:rPr>
          <w:rFonts w:ascii="Arial" w:hAnsi="Arial" w:cs="Arial"/>
          <w:sz w:val="22"/>
          <w:szCs w:val="22"/>
        </w:rPr>
      </w:pPr>
    </w:p>
    <w:p w:rsidR="00FC4054" w:rsidRPr="00C6771F" w:rsidRDefault="00FC4054" w:rsidP="00FC4054">
      <w:pPr>
        <w:pStyle w:val="ListParagraph"/>
        <w:ind w:left="360"/>
        <w:jc w:val="both"/>
        <w:rPr>
          <w:rFonts w:ascii="Arial" w:hAnsi="Arial" w:cs="Arial"/>
          <w:sz w:val="22"/>
          <w:szCs w:val="22"/>
        </w:rPr>
      </w:pPr>
      <w:r w:rsidRPr="00C6771F">
        <w:rPr>
          <w:rFonts w:ascii="Arial" w:hAnsi="Arial" w:cs="Arial"/>
          <w:bCs/>
          <w:sz w:val="22"/>
          <w:szCs w:val="22"/>
        </w:rPr>
        <w:t>W</w:t>
      </w:r>
      <w:r>
        <w:rPr>
          <w:rFonts w:ascii="Arial" w:hAnsi="Arial" w:cs="Arial"/>
          <w:sz w:val="22"/>
          <w:szCs w:val="22"/>
        </w:rPr>
        <w:t>e recommended and</w:t>
      </w:r>
      <w:r w:rsidRPr="00C6771F">
        <w:rPr>
          <w:rFonts w:ascii="Arial" w:hAnsi="Arial" w:cs="Arial"/>
          <w:sz w:val="22"/>
          <w:szCs w:val="22"/>
        </w:rPr>
        <w:t xml:space="preserve"> Management agreed to:</w:t>
      </w:r>
    </w:p>
    <w:p w:rsidR="00FC4054" w:rsidRPr="00C6771F" w:rsidRDefault="00FC4054" w:rsidP="00FC4054">
      <w:pPr>
        <w:pStyle w:val="ListParagraph"/>
        <w:jc w:val="both"/>
        <w:rPr>
          <w:rFonts w:ascii="Arial" w:hAnsi="Arial" w:cs="Arial"/>
          <w:sz w:val="22"/>
          <w:szCs w:val="22"/>
        </w:rPr>
      </w:pPr>
    </w:p>
    <w:p w:rsidR="00FC4054" w:rsidRPr="00C6771F" w:rsidRDefault="00FC4054" w:rsidP="00FC4054">
      <w:pPr>
        <w:pStyle w:val="ListParagraph"/>
        <w:numPr>
          <w:ilvl w:val="2"/>
          <w:numId w:val="24"/>
        </w:numPr>
        <w:ind w:left="851" w:hanging="425"/>
        <w:jc w:val="both"/>
        <w:rPr>
          <w:rFonts w:ascii="Arial" w:hAnsi="Arial" w:cs="Arial"/>
          <w:sz w:val="22"/>
          <w:szCs w:val="22"/>
        </w:rPr>
      </w:pPr>
      <w:r w:rsidRPr="00C6771F">
        <w:rPr>
          <w:rFonts w:ascii="Arial" w:hAnsi="Arial" w:cs="Arial"/>
          <w:sz w:val="22"/>
          <w:szCs w:val="22"/>
        </w:rPr>
        <w:t>Exhaust all available remedies to collect all long outstanding/dormant/past due accounts and ensure proper documentation of accounts and coordination of concerned Agencies;</w:t>
      </w:r>
    </w:p>
    <w:p w:rsidR="00FC4054" w:rsidRPr="00C6771F" w:rsidRDefault="00FC4054" w:rsidP="00FC4054">
      <w:pPr>
        <w:pStyle w:val="ListParagraph"/>
        <w:jc w:val="both"/>
        <w:rPr>
          <w:rFonts w:ascii="Arial" w:hAnsi="Arial" w:cs="Arial"/>
          <w:sz w:val="22"/>
          <w:szCs w:val="22"/>
        </w:rPr>
      </w:pPr>
    </w:p>
    <w:p w:rsidR="00FC4054" w:rsidRPr="00C6771F" w:rsidRDefault="00FC4054" w:rsidP="00FC4054">
      <w:pPr>
        <w:pStyle w:val="ListParagraph"/>
        <w:numPr>
          <w:ilvl w:val="2"/>
          <w:numId w:val="24"/>
        </w:numPr>
        <w:ind w:left="851" w:hanging="425"/>
        <w:jc w:val="both"/>
        <w:rPr>
          <w:rFonts w:ascii="Arial" w:hAnsi="Arial" w:cs="Arial"/>
          <w:sz w:val="22"/>
          <w:szCs w:val="22"/>
        </w:rPr>
      </w:pPr>
      <w:r w:rsidRPr="00C6771F">
        <w:rPr>
          <w:rFonts w:ascii="Arial" w:hAnsi="Arial" w:cs="Arial"/>
          <w:sz w:val="22"/>
          <w:szCs w:val="22"/>
        </w:rPr>
        <w:t>Devise other options and if warranted, resort to legal means to enforce settlement of accounts including those pertaining to prior years without request for write-off;</w:t>
      </w:r>
    </w:p>
    <w:p w:rsidR="00FC4054" w:rsidRPr="00C6771F" w:rsidRDefault="00FC4054" w:rsidP="00FC4054">
      <w:pPr>
        <w:pStyle w:val="ListParagraph"/>
        <w:jc w:val="both"/>
        <w:rPr>
          <w:rFonts w:ascii="Arial" w:hAnsi="Arial" w:cs="Arial"/>
          <w:sz w:val="22"/>
          <w:szCs w:val="22"/>
        </w:rPr>
      </w:pPr>
    </w:p>
    <w:p w:rsidR="00FC4054" w:rsidRPr="00C6771F" w:rsidRDefault="00FC4054" w:rsidP="00FC4054">
      <w:pPr>
        <w:pStyle w:val="ListParagraph"/>
        <w:numPr>
          <w:ilvl w:val="2"/>
          <w:numId w:val="24"/>
        </w:numPr>
        <w:ind w:left="851" w:hanging="425"/>
        <w:jc w:val="both"/>
        <w:rPr>
          <w:rFonts w:ascii="Arial" w:hAnsi="Arial" w:cs="Arial"/>
          <w:sz w:val="22"/>
          <w:szCs w:val="22"/>
        </w:rPr>
      </w:pPr>
      <w:r w:rsidRPr="00C6771F">
        <w:rPr>
          <w:rFonts w:ascii="Arial" w:hAnsi="Arial" w:cs="Arial"/>
          <w:sz w:val="22"/>
          <w:szCs w:val="22"/>
        </w:rPr>
        <w:t>Document all efforts to collect the dormant accounts; and</w:t>
      </w:r>
    </w:p>
    <w:p w:rsidR="00FC4054" w:rsidRPr="00C6771F" w:rsidRDefault="00FC4054" w:rsidP="00FC4054">
      <w:pPr>
        <w:pStyle w:val="ListParagraph"/>
        <w:jc w:val="both"/>
        <w:rPr>
          <w:rFonts w:ascii="Arial" w:hAnsi="Arial" w:cs="Arial"/>
          <w:sz w:val="22"/>
          <w:szCs w:val="22"/>
        </w:rPr>
      </w:pPr>
    </w:p>
    <w:p w:rsidR="00FC4054" w:rsidRPr="00C6771F" w:rsidRDefault="00FC4054" w:rsidP="00FC4054">
      <w:pPr>
        <w:pStyle w:val="ListParagraph"/>
        <w:numPr>
          <w:ilvl w:val="2"/>
          <w:numId w:val="24"/>
        </w:numPr>
        <w:ind w:left="851" w:hanging="425"/>
        <w:jc w:val="both"/>
        <w:rPr>
          <w:rFonts w:ascii="Arial" w:hAnsi="Arial" w:cs="Arial"/>
          <w:sz w:val="22"/>
          <w:szCs w:val="22"/>
        </w:rPr>
      </w:pPr>
      <w:r w:rsidRPr="00C6771F">
        <w:rPr>
          <w:rFonts w:ascii="Arial" w:hAnsi="Arial" w:cs="Arial"/>
          <w:sz w:val="22"/>
          <w:szCs w:val="22"/>
        </w:rPr>
        <w:t xml:space="preserve">When all efforts have failed, request the </w:t>
      </w:r>
      <w:r>
        <w:rPr>
          <w:rFonts w:ascii="Arial" w:hAnsi="Arial" w:cs="Arial"/>
          <w:sz w:val="22"/>
          <w:szCs w:val="22"/>
        </w:rPr>
        <w:t>COA</w:t>
      </w:r>
      <w:r w:rsidRPr="00C6771F">
        <w:rPr>
          <w:rFonts w:ascii="Arial" w:hAnsi="Arial" w:cs="Arial"/>
          <w:sz w:val="22"/>
          <w:szCs w:val="22"/>
        </w:rPr>
        <w:t xml:space="preserve"> for write-off as provided for under COA Circular No. 2016-005 dated December 19, 2016.</w:t>
      </w:r>
    </w:p>
    <w:p w:rsidR="00FC4054" w:rsidRPr="00C6771F" w:rsidRDefault="00FC4054" w:rsidP="00FC4054">
      <w:pPr>
        <w:pStyle w:val="ListParagraph"/>
        <w:jc w:val="both"/>
        <w:rPr>
          <w:rFonts w:ascii="Arial" w:hAnsi="Arial" w:cs="Arial"/>
          <w:sz w:val="22"/>
          <w:szCs w:val="22"/>
        </w:rPr>
      </w:pPr>
    </w:p>
    <w:p w:rsidR="00FC4054" w:rsidRPr="00C6771F" w:rsidRDefault="00FC4054" w:rsidP="00FC4054">
      <w:pPr>
        <w:pStyle w:val="ListParagraph"/>
        <w:numPr>
          <w:ilvl w:val="0"/>
          <w:numId w:val="24"/>
        </w:numPr>
        <w:ind w:left="360"/>
        <w:jc w:val="both"/>
        <w:rPr>
          <w:rFonts w:ascii="Arial" w:hAnsi="Arial" w:cs="Arial"/>
          <w:bCs/>
          <w:sz w:val="22"/>
          <w:szCs w:val="22"/>
        </w:rPr>
      </w:pPr>
      <w:r w:rsidRPr="00C6771F">
        <w:rPr>
          <w:rFonts w:ascii="Arial" w:hAnsi="Arial" w:cs="Arial"/>
          <w:bCs/>
          <w:sz w:val="22"/>
          <w:szCs w:val="22"/>
        </w:rPr>
        <w:t xml:space="preserve">The System did not exercise due diligence in the examination of the title and documents presented by the former owner in connection with the acquisition of the 150 hectares agricultural lot.  Further, it did not consider the possible disadvantages amounting to P284.237 million on the swapping of shares of stocks between </w:t>
      </w:r>
      <w:r>
        <w:rPr>
          <w:rFonts w:ascii="Arial" w:hAnsi="Arial" w:cs="Arial"/>
          <w:bCs/>
          <w:sz w:val="22"/>
          <w:szCs w:val="22"/>
        </w:rPr>
        <w:t>Monterrosa Development Corporation (MDC)</w:t>
      </w:r>
      <w:r w:rsidRPr="00C6771F">
        <w:rPr>
          <w:rFonts w:ascii="Arial" w:hAnsi="Arial" w:cs="Arial"/>
          <w:bCs/>
          <w:sz w:val="22"/>
          <w:szCs w:val="22"/>
        </w:rPr>
        <w:t xml:space="preserve"> and an AFPRSBS’ subsidiary realty corporation in 1999, thus, unfavorable to the Members of the System and is inconsistent with Section 2 of PD No. 1445.</w:t>
      </w:r>
    </w:p>
    <w:p w:rsidR="00FC4054" w:rsidRPr="00C6771F" w:rsidRDefault="00FC4054" w:rsidP="00FC4054">
      <w:pPr>
        <w:pStyle w:val="ListParagraph"/>
        <w:ind w:left="360"/>
        <w:jc w:val="both"/>
        <w:rPr>
          <w:rFonts w:ascii="Arial" w:hAnsi="Arial" w:cs="Arial"/>
          <w:sz w:val="22"/>
          <w:szCs w:val="22"/>
        </w:rPr>
      </w:pPr>
    </w:p>
    <w:p w:rsidR="00FC4054" w:rsidRPr="00C6771F" w:rsidRDefault="00FC4054" w:rsidP="00FC4054">
      <w:pPr>
        <w:pStyle w:val="ListParagraph"/>
        <w:ind w:left="360"/>
        <w:jc w:val="both"/>
        <w:rPr>
          <w:rFonts w:ascii="Arial" w:hAnsi="Arial" w:cs="Arial"/>
          <w:bCs/>
          <w:sz w:val="22"/>
          <w:szCs w:val="22"/>
        </w:rPr>
      </w:pPr>
      <w:r w:rsidRPr="00C6771F">
        <w:rPr>
          <w:rFonts w:ascii="Arial" w:hAnsi="Arial" w:cs="Arial"/>
          <w:bCs/>
          <w:sz w:val="22"/>
          <w:szCs w:val="22"/>
        </w:rPr>
        <w:t>We recommended that Management:</w:t>
      </w:r>
    </w:p>
    <w:p w:rsidR="00FC4054" w:rsidRPr="00C6771F" w:rsidRDefault="00FC4054" w:rsidP="00FC4054">
      <w:pPr>
        <w:jc w:val="both"/>
        <w:rPr>
          <w:rFonts w:ascii="Arial" w:hAnsi="Arial" w:cs="Arial"/>
          <w:sz w:val="22"/>
          <w:szCs w:val="22"/>
        </w:rPr>
      </w:pPr>
    </w:p>
    <w:p w:rsidR="00FC4054" w:rsidRPr="00C6771F" w:rsidRDefault="00FC4054" w:rsidP="00FC4054">
      <w:pPr>
        <w:pStyle w:val="ListParagraph"/>
        <w:numPr>
          <w:ilvl w:val="2"/>
          <w:numId w:val="24"/>
        </w:numPr>
        <w:ind w:left="851" w:hanging="425"/>
        <w:jc w:val="both"/>
        <w:rPr>
          <w:rFonts w:ascii="Arial" w:hAnsi="Arial" w:cs="Arial"/>
          <w:sz w:val="22"/>
          <w:szCs w:val="22"/>
        </w:rPr>
      </w:pPr>
      <w:r w:rsidRPr="00C6771F">
        <w:rPr>
          <w:rFonts w:ascii="Arial" w:hAnsi="Arial" w:cs="Arial"/>
          <w:sz w:val="22"/>
          <w:szCs w:val="22"/>
        </w:rPr>
        <w:t xml:space="preserve">Submit all BOT’s directives, decisions, minutes of meeting and preliminaries to establish the true intention of the swap; </w:t>
      </w:r>
    </w:p>
    <w:p w:rsidR="00FC4054" w:rsidRPr="00C6771F" w:rsidRDefault="00FC4054" w:rsidP="00FC4054">
      <w:pPr>
        <w:jc w:val="both"/>
        <w:rPr>
          <w:rFonts w:ascii="Arial" w:hAnsi="Arial" w:cs="Arial"/>
          <w:sz w:val="22"/>
          <w:szCs w:val="22"/>
        </w:rPr>
      </w:pPr>
    </w:p>
    <w:p w:rsidR="00FC4054" w:rsidRPr="00C6771F" w:rsidRDefault="00FC4054" w:rsidP="00FC4054">
      <w:pPr>
        <w:pStyle w:val="ListParagraph"/>
        <w:numPr>
          <w:ilvl w:val="2"/>
          <w:numId w:val="24"/>
        </w:numPr>
        <w:ind w:left="851" w:hanging="425"/>
        <w:jc w:val="both"/>
        <w:rPr>
          <w:rFonts w:ascii="Arial" w:hAnsi="Arial" w:cs="Arial"/>
          <w:sz w:val="22"/>
          <w:szCs w:val="22"/>
        </w:rPr>
      </w:pPr>
      <w:r w:rsidRPr="00C6771F">
        <w:rPr>
          <w:rFonts w:ascii="Arial" w:hAnsi="Arial" w:cs="Arial"/>
          <w:sz w:val="22"/>
          <w:szCs w:val="22"/>
        </w:rPr>
        <w:lastRenderedPageBreak/>
        <w:t>Make the officers directly and indirectly involved in the corporates swap liable for the loss of P284.237 million; and</w:t>
      </w:r>
    </w:p>
    <w:p w:rsidR="00FC4054" w:rsidRPr="00C6771F" w:rsidRDefault="00FC4054" w:rsidP="00FC4054">
      <w:pPr>
        <w:jc w:val="both"/>
        <w:rPr>
          <w:rFonts w:ascii="Arial" w:hAnsi="Arial" w:cs="Arial"/>
          <w:sz w:val="22"/>
          <w:szCs w:val="22"/>
        </w:rPr>
      </w:pPr>
    </w:p>
    <w:p w:rsidR="00FC4054" w:rsidRPr="00C6771F" w:rsidRDefault="00FC4054" w:rsidP="00FC4054">
      <w:pPr>
        <w:pStyle w:val="ListParagraph"/>
        <w:numPr>
          <w:ilvl w:val="2"/>
          <w:numId w:val="24"/>
        </w:numPr>
        <w:ind w:left="851" w:hanging="425"/>
        <w:jc w:val="both"/>
        <w:rPr>
          <w:rFonts w:ascii="Arial" w:hAnsi="Arial" w:cs="Arial"/>
          <w:sz w:val="22"/>
          <w:szCs w:val="22"/>
        </w:rPr>
      </w:pPr>
      <w:r w:rsidRPr="00C6771F">
        <w:rPr>
          <w:rFonts w:ascii="Arial" w:hAnsi="Arial" w:cs="Arial"/>
          <w:sz w:val="22"/>
          <w:szCs w:val="22"/>
        </w:rPr>
        <w:t>Prepare the necessary accounting of the sales price of the 120 condominium units and the interest from 1999 to present to expedite the execution of judgment in case it becomes final and executory.</w:t>
      </w:r>
    </w:p>
    <w:p w:rsidR="00FC4054" w:rsidRDefault="00FC4054" w:rsidP="00FC4054">
      <w:pPr>
        <w:pStyle w:val="ListParagraph"/>
        <w:ind w:left="360"/>
        <w:jc w:val="both"/>
        <w:rPr>
          <w:rFonts w:ascii="Arial" w:hAnsi="Arial" w:cs="Arial"/>
          <w:bCs/>
          <w:sz w:val="22"/>
          <w:szCs w:val="22"/>
        </w:rPr>
      </w:pPr>
    </w:p>
    <w:p w:rsidR="00FC4054" w:rsidRPr="00C6771F" w:rsidRDefault="00FC4054" w:rsidP="00FC4054">
      <w:pPr>
        <w:pStyle w:val="ListParagraph"/>
        <w:numPr>
          <w:ilvl w:val="0"/>
          <w:numId w:val="24"/>
        </w:numPr>
        <w:ind w:left="360"/>
        <w:jc w:val="both"/>
        <w:rPr>
          <w:rFonts w:ascii="Arial" w:hAnsi="Arial" w:cs="Arial"/>
          <w:bCs/>
          <w:sz w:val="22"/>
          <w:szCs w:val="22"/>
        </w:rPr>
      </w:pPr>
      <w:r>
        <w:rPr>
          <w:rFonts w:ascii="Arial" w:hAnsi="Arial" w:cs="Arial"/>
          <w:bCs/>
          <w:sz w:val="22"/>
          <w:szCs w:val="22"/>
        </w:rPr>
        <w:t>The System</w:t>
      </w:r>
      <w:r w:rsidRPr="00C6771F">
        <w:rPr>
          <w:rFonts w:ascii="Arial" w:hAnsi="Arial" w:cs="Arial"/>
          <w:bCs/>
          <w:sz w:val="22"/>
          <w:szCs w:val="22"/>
        </w:rPr>
        <w:t xml:space="preserve"> did not register the certificate of sale of the foreclosed properties from the real estate corporation thereby depriving it of economic benefits including but not limited to receiving rental income and consolidation of title under its name contrary to the Section 6 of Act No. 3135 and Article 428 of the Civil Code.</w:t>
      </w:r>
    </w:p>
    <w:p w:rsidR="00FC4054" w:rsidRPr="00C6771F" w:rsidRDefault="00FC4054" w:rsidP="00FC4054">
      <w:pPr>
        <w:tabs>
          <w:tab w:val="left" w:pos="990"/>
        </w:tabs>
        <w:contextualSpacing/>
        <w:jc w:val="both"/>
        <w:rPr>
          <w:rFonts w:ascii="Arial" w:hAnsi="Arial" w:cs="Arial"/>
          <w:sz w:val="22"/>
          <w:szCs w:val="22"/>
        </w:rPr>
      </w:pPr>
    </w:p>
    <w:p w:rsidR="00643EDE" w:rsidRDefault="00FC4054" w:rsidP="00790946">
      <w:pPr>
        <w:ind w:left="360"/>
        <w:contextualSpacing/>
        <w:jc w:val="both"/>
        <w:rPr>
          <w:rFonts w:ascii="Arial" w:hAnsi="Arial" w:cs="Arial"/>
          <w:bCs/>
          <w:sz w:val="22"/>
          <w:szCs w:val="22"/>
        </w:rPr>
      </w:pPr>
      <w:r>
        <w:rPr>
          <w:rFonts w:ascii="Arial" w:hAnsi="Arial" w:cs="Arial"/>
          <w:bCs/>
          <w:sz w:val="22"/>
          <w:szCs w:val="22"/>
        </w:rPr>
        <w:t>We recommended and</w:t>
      </w:r>
      <w:r w:rsidRPr="00C6771F">
        <w:rPr>
          <w:rFonts w:ascii="Arial" w:hAnsi="Arial" w:cs="Arial"/>
          <w:bCs/>
          <w:sz w:val="22"/>
          <w:szCs w:val="22"/>
        </w:rPr>
        <w:t xml:space="preserve"> Management agreed to pay the deficiency tax assessments and cause the registratio</w:t>
      </w:r>
      <w:r>
        <w:rPr>
          <w:rFonts w:ascii="Arial" w:hAnsi="Arial" w:cs="Arial"/>
          <w:bCs/>
          <w:sz w:val="22"/>
          <w:szCs w:val="22"/>
        </w:rPr>
        <w:t>n of certificate of sale with the Registry of Deeds</w:t>
      </w:r>
      <w:r w:rsidRPr="00C6771F">
        <w:rPr>
          <w:rFonts w:ascii="Arial" w:hAnsi="Arial" w:cs="Arial"/>
          <w:bCs/>
          <w:sz w:val="22"/>
          <w:szCs w:val="22"/>
        </w:rPr>
        <w:t>.</w:t>
      </w:r>
    </w:p>
    <w:p w:rsidR="00790946" w:rsidRPr="00EA029B" w:rsidRDefault="00790946" w:rsidP="00790946">
      <w:pPr>
        <w:ind w:left="360"/>
        <w:contextualSpacing/>
        <w:jc w:val="both"/>
        <w:rPr>
          <w:rFonts w:ascii="Arial" w:hAnsi="Arial" w:cs="Arial"/>
          <w:sz w:val="22"/>
          <w:szCs w:val="22"/>
        </w:rPr>
      </w:pPr>
    </w:p>
    <w:p w:rsidR="00643EDE" w:rsidRPr="00EA029B" w:rsidRDefault="00643EDE" w:rsidP="00643EDE">
      <w:pPr>
        <w:jc w:val="both"/>
        <w:rPr>
          <w:rFonts w:ascii="Arial" w:hAnsi="Arial" w:cs="Arial"/>
          <w:sz w:val="22"/>
          <w:szCs w:val="22"/>
        </w:rPr>
      </w:pPr>
      <w:r w:rsidRPr="00EA029B">
        <w:rPr>
          <w:rFonts w:ascii="Arial" w:hAnsi="Arial" w:cs="Arial"/>
          <w:sz w:val="22"/>
          <w:szCs w:val="22"/>
        </w:rPr>
        <w:t xml:space="preserve">The other audit observations together with the recommended courses of action, which were discussed by the Audit Team with concerned Management officials and staff during the exit conference conducted on </w:t>
      </w:r>
      <w:r>
        <w:rPr>
          <w:rFonts w:ascii="Arial" w:hAnsi="Arial" w:cs="Arial"/>
          <w:sz w:val="22"/>
          <w:szCs w:val="22"/>
        </w:rPr>
        <w:t>June 10, 2020</w:t>
      </w:r>
      <w:r w:rsidRPr="00EA029B">
        <w:rPr>
          <w:rFonts w:ascii="Arial" w:hAnsi="Arial" w:cs="Arial"/>
          <w:sz w:val="22"/>
          <w:szCs w:val="22"/>
        </w:rPr>
        <w:t>, are discussed in detail in Part II of the report.</w:t>
      </w:r>
    </w:p>
    <w:p w:rsidR="00643EDE" w:rsidRPr="00EA029B" w:rsidRDefault="00643EDE" w:rsidP="00643EDE">
      <w:pPr>
        <w:jc w:val="both"/>
        <w:rPr>
          <w:rFonts w:ascii="Arial" w:hAnsi="Arial" w:cs="Arial"/>
          <w:sz w:val="22"/>
          <w:szCs w:val="22"/>
        </w:rPr>
      </w:pPr>
    </w:p>
    <w:p w:rsidR="00643EDE" w:rsidRDefault="00B611CB" w:rsidP="00643EDE">
      <w:pPr>
        <w:jc w:val="both"/>
        <w:rPr>
          <w:rFonts w:ascii="Arial" w:hAnsi="Arial" w:cs="Arial"/>
          <w:sz w:val="22"/>
          <w:szCs w:val="22"/>
        </w:rPr>
      </w:pPr>
      <w:r>
        <w:rPr>
          <w:rFonts w:ascii="Arial" w:hAnsi="Arial" w:cs="Arial"/>
          <w:sz w:val="22"/>
          <w:szCs w:val="22"/>
        </w:rPr>
        <w:t>We respectfully request that the recommendations contained in Parts II and III of the report be implemented and that this Commission be informed of the actions taken thereon by accomplishing the Agency Action Plan and Status of Implementation Form (copy attached</w:t>
      </w:r>
      <w:r w:rsidR="00790946">
        <w:rPr>
          <w:rFonts w:ascii="Arial" w:hAnsi="Arial" w:cs="Arial"/>
          <w:sz w:val="22"/>
          <w:szCs w:val="22"/>
        </w:rPr>
        <w:t xml:space="preserve"> as Annex A</w:t>
      </w:r>
      <w:r>
        <w:rPr>
          <w:rFonts w:ascii="Arial" w:hAnsi="Arial" w:cs="Arial"/>
          <w:sz w:val="22"/>
          <w:szCs w:val="22"/>
        </w:rPr>
        <w:t>) and returning the same to us within 60 days from the date of receipt hereof.</w:t>
      </w:r>
    </w:p>
    <w:p w:rsidR="00B611CB" w:rsidRPr="00EA029B" w:rsidRDefault="00B611CB" w:rsidP="00643EDE">
      <w:pPr>
        <w:jc w:val="both"/>
        <w:rPr>
          <w:rFonts w:ascii="Arial" w:hAnsi="Arial" w:cs="Arial"/>
          <w:sz w:val="22"/>
          <w:szCs w:val="22"/>
        </w:rPr>
      </w:pPr>
    </w:p>
    <w:p w:rsidR="00643EDE" w:rsidRPr="00EA029B" w:rsidRDefault="00643EDE" w:rsidP="00643EDE">
      <w:pPr>
        <w:jc w:val="both"/>
        <w:rPr>
          <w:rFonts w:ascii="Arial" w:hAnsi="Arial" w:cs="Arial"/>
          <w:sz w:val="22"/>
          <w:szCs w:val="22"/>
        </w:rPr>
      </w:pPr>
      <w:r w:rsidRPr="00EA029B">
        <w:rPr>
          <w:rFonts w:ascii="Arial" w:hAnsi="Arial" w:cs="Arial"/>
          <w:sz w:val="22"/>
          <w:szCs w:val="22"/>
        </w:rPr>
        <w:t>We acknowledge the support and cooperation that the Management extended to the Audit Team, thus facilitating the completion of the report.</w:t>
      </w:r>
    </w:p>
    <w:p w:rsidR="00643EDE" w:rsidRPr="00EA029B" w:rsidRDefault="00643EDE" w:rsidP="00643EDE">
      <w:pPr>
        <w:spacing w:line="480" w:lineRule="auto"/>
        <w:jc w:val="both"/>
        <w:rPr>
          <w:rFonts w:ascii="Arial" w:hAnsi="Arial" w:cs="Arial"/>
          <w:sz w:val="22"/>
          <w:szCs w:val="22"/>
        </w:rPr>
      </w:pPr>
    </w:p>
    <w:p w:rsidR="00643EDE" w:rsidRPr="00EA029B" w:rsidRDefault="00643EDE" w:rsidP="00643EDE">
      <w:pPr>
        <w:jc w:val="both"/>
        <w:rPr>
          <w:rFonts w:ascii="Arial" w:hAnsi="Arial" w:cs="Arial"/>
          <w:sz w:val="22"/>
          <w:szCs w:val="22"/>
        </w:rPr>
      </w:pPr>
      <w:r w:rsidRPr="00EA029B">
        <w:rPr>
          <w:rFonts w:ascii="Arial" w:hAnsi="Arial" w:cs="Arial"/>
          <w:sz w:val="22"/>
          <w:szCs w:val="22"/>
        </w:rPr>
        <w:t>Very truly yours,</w:t>
      </w:r>
    </w:p>
    <w:p w:rsidR="00643EDE" w:rsidRPr="00EA029B" w:rsidRDefault="00643EDE" w:rsidP="00643EDE">
      <w:pPr>
        <w:spacing w:line="480" w:lineRule="auto"/>
        <w:jc w:val="both"/>
        <w:rPr>
          <w:rFonts w:ascii="Arial" w:hAnsi="Arial" w:cs="Arial"/>
          <w:b/>
          <w:sz w:val="22"/>
          <w:szCs w:val="22"/>
        </w:rPr>
      </w:pPr>
    </w:p>
    <w:p w:rsidR="00643EDE" w:rsidRPr="00EA029B" w:rsidRDefault="00643EDE" w:rsidP="00643EDE">
      <w:pPr>
        <w:jc w:val="both"/>
        <w:rPr>
          <w:rFonts w:ascii="Arial" w:hAnsi="Arial" w:cs="Arial"/>
          <w:b/>
          <w:sz w:val="22"/>
          <w:szCs w:val="22"/>
        </w:rPr>
      </w:pPr>
      <w:r w:rsidRPr="00EA029B">
        <w:rPr>
          <w:rFonts w:ascii="Arial" w:hAnsi="Arial" w:cs="Arial"/>
          <w:b/>
          <w:sz w:val="22"/>
          <w:szCs w:val="22"/>
        </w:rPr>
        <w:t>COMMISSION ON AUDIT</w:t>
      </w:r>
    </w:p>
    <w:p w:rsidR="00643EDE" w:rsidRPr="00EA029B" w:rsidRDefault="00643EDE" w:rsidP="00643EDE">
      <w:pPr>
        <w:jc w:val="both"/>
        <w:rPr>
          <w:rFonts w:ascii="Arial" w:hAnsi="Arial" w:cs="Arial"/>
          <w:b/>
          <w:sz w:val="22"/>
          <w:szCs w:val="22"/>
        </w:rPr>
      </w:pPr>
    </w:p>
    <w:p w:rsidR="00643EDE" w:rsidRPr="00EA029B" w:rsidRDefault="00643EDE" w:rsidP="00643EDE">
      <w:pPr>
        <w:jc w:val="both"/>
        <w:rPr>
          <w:rFonts w:ascii="Arial" w:hAnsi="Arial" w:cs="Arial"/>
          <w:b/>
          <w:sz w:val="22"/>
          <w:szCs w:val="22"/>
        </w:rPr>
      </w:pPr>
      <w:r w:rsidRPr="00EA029B">
        <w:rPr>
          <w:rFonts w:ascii="Arial" w:hAnsi="Arial" w:cs="Arial"/>
          <w:b/>
          <w:sz w:val="22"/>
          <w:szCs w:val="22"/>
        </w:rPr>
        <w:t>By:</w:t>
      </w:r>
    </w:p>
    <w:p w:rsidR="00643EDE" w:rsidRPr="00EA029B" w:rsidRDefault="00643EDE" w:rsidP="00643EDE">
      <w:pPr>
        <w:jc w:val="both"/>
        <w:rPr>
          <w:rFonts w:ascii="Arial" w:hAnsi="Arial" w:cs="Arial"/>
          <w:b/>
          <w:sz w:val="22"/>
          <w:szCs w:val="22"/>
        </w:rPr>
      </w:pPr>
    </w:p>
    <w:p w:rsidR="00643EDE" w:rsidRPr="00EA029B" w:rsidRDefault="00643EDE" w:rsidP="00643EDE">
      <w:pPr>
        <w:jc w:val="both"/>
        <w:rPr>
          <w:rFonts w:ascii="Arial" w:hAnsi="Arial" w:cs="Arial"/>
          <w:b/>
          <w:sz w:val="22"/>
          <w:szCs w:val="22"/>
        </w:rPr>
      </w:pPr>
    </w:p>
    <w:p w:rsidR="00643EDE" w:rsidRPr="00EA029B" w:rsidRDefault="00643EDE" w:rsidP="00643EDE">
      <w:pPr>
        <w:jc w:val="both"/>
        <w:rPr>
          <w:rFonts w:ascii="Arial" w:hAnsi="Arial" w:cs="Arial"/>
          <w:b/>
          <w:sz w:val="22"/>
          <w:szCs w:val="22"/>
        </w:rPr>
      </w:pPr>
    </w:p>
    <w:p w:rsidR="00643EDE" w:rsidRPr="00EA029B" w:rsidRDefault="00643EDE" w:rsidP="00643EDE">
      <w:pPr>
        <w:jc w:val="both"/>
        <w:rPr>
          <w:rFonts w:ascii="Arial" w:hAnsi="Arial" w:cs="Arial"/>
          <w:b/>
          <w:sz w:val="22"/>
          <w:szCs w:val="22"/>
        </w:rPr>
      </w:pPr>
      <w:r w:rsidRPr="00EA029B">
        <w:rPr>
          <w:rFonts w:ascii="Arial" w:hAnsi="Arial" w:cs="Arial"/>
          <w:b/>
          <w:sz w:val="22"/>
          <w:szCs w:val="22"/>
        </w:rPr>
        <w:t>MA. LISA P. INGUILLO</w:t>
      </w:r>
    </w:p>
    <w:p w:rsidR="00643EDE" w:rsidRPr="00EA029B" w:rsidRDefault="00985656" w:rsidP="00643EDE">
      <w:pPr>
        <w:jc w:val="both"/>
        <w:rPr>
          <w:rFonts w:ascii="Arial" w:hAnsi="Arial" w:cs="Arial"/>
          <w:sz w:val="22"/>
          <w:szCs w:val="22"/>
        </w:rPr>
      </w:pPr>
      <w:r>
        <w:rPr>
          <w:rFonts w:ascii="Arial" w:hAnsi="Arial" w:cs="Arial"/>
          <w:sz w:val="22"/>
          <w:szCs w:val="22"/>
        </w:rPr>
        <w:t>Director IV</w:t>
      </w:r>
    </w:p>
    <w:p w:rsidR="00643EDE" w:rsidRPr="00EA029B" w:rsidRDefault="00643EDE" w:rsidP="00643EDE">
      <w:pPr>
        <w:jc w:val="both"/>
        <w:rPr>
          <w:rFonts w:ascii="Arial" w:hAnsi="Arial" w:cs="Arial"/>
          <w:b/>
          <w:sz w:val="22"/>
          <w:szCs w:val="22"/>
        </w:rPr>
      </w:pPr>
    </w:p>
    <w:p w:rsidR="00643EDE" w:rsidRPr="00EA029B" w:rsidRDefault="00643EDE" w:rsidP="00643EDE">
      <w:pPr>
        <w:tabs>
          <w:tab w:val="left" w:pos="5580"/>
        </w:tabs>
        <w:jc w:val="both"/>
        <w:rPr>
          <w:rFonts w:ascii="Arial" w:hAnsi="Arial" w:cs="Arial"/>
          <w:b/>
          <w:sz w:val="21"/>
          <w:szCs w:val="21"/>
        </w:rPr>
      </w:pPr>
    </w:p>
    <w:p w:rsidR="00643EDE" w:rsidRPr="00EA029B" w:rsidRDefault="00643EDE" w:rsidP="00643EDE">
      <w:pPr>
        <w:tabs>
          <w:tab w:val="left" w:pos="5580"/>
        </w:tabs>
        <w:jc w:val="both"/>
        <w:rPr>
          <w:rFonts w:ascii="Arial" w:hAnsi="Arial" w:cs="Arial"/>
          <w:b/>
          <w:sz w:val="21"/>
          <w:szCs w:val="21"/>
        </w:rPr>
      </w:pPr>
    </w:p>
    <w:p w:rsidR="00643EDE" w:rsidRPr="00EA029B" w:rsidRDefault="00643EDE" w:rsidP="00643EDE">
      <w:pPr>
        <w:tabs>
          <w:tab w:val="left" w:pos="5580"/>
        </w:tabs>
        <w:jc w:val="both"/>
        <w:rPr>
          <w:rFonts w:ascii="Arial" w:hAnsi="Arial" w:cs="Arial"/>
          <w:b/>
          <w:sz w:val="21"/>
          <w:szCs w:val="21"/>
        </w:rPr>
      </w:pPr>
    </w:p>
    <w:p w:rsidR="00643EDE" w:rsidRDefault="00643EDE" w:rsidP="00643EDE">
      <w:pPr>
        <w:tabs>
          <w:tab w:val="left" w:pos="5580"/>
        </w:tabs>
        <w:jc w:val="both"/>
        <w:rPr>
          <w:rFonts w:ascii="Arial" w:hAnsi="Arial" w:cs="Arial"/>
          <w:b/>
          <w:sz w:val="21"/>
          <w:szCs w:val="21"/>
        </w:rPr>
      </w:pPr>
    </w:p>
    <w:p w:rsidR="00643EDE" w:rsidRPr="00EA029B" w:rsidRDefault="00643EDE" w:rsidP="00643EDE">
      <w:pPr>
        <w:tabs>
          <w:tab w:val="left" w:pos="5580"/>
        </w:tabs>
        <w:jc w:val="both"/>
        <w:rPr>
          <w:rFonts w:ascii="Arial" w:hAnsi="Arial" w:cs="Arial"/>
          <w:b/>
          <w:sz w:val="21"/>
          <w:szCs w:val="21"/>
        </w:rPr>
      </w:pPr>
      <w:r w:rsidRPr="00EA029B">
        <w:rPr>
          <w:rFonts w:ascii="Arial" w:hAnsi="Arial" w:cs="Arial"/>
          <w:b/>
          <w:sz w:val="21"/>
          <w:szCs w:val="21"/>
        </w:rPr>
        <w:t>Copy furnished:</w:t>
      </w:r>
    </w:p>
    <w:p w:rsidR="00643EDE" w:rsidRPr="00EA029B" w:rsidRDefault="00643EDE" w:rsidP="00643EDE">
      <w:pPr>
        <w:tabs>
          <w:tab w:val="left" w:pos="5580"/>
        </w:tabs>
        <w:jc w:val="both"/>
        <w:rPr>
          <w:rFonts w:ascii="Arial" w:hAnsi="Arial" w:cs="Arial"/>
          <w:b/>
          <w:sz w:val="16"/>
          <w:szCs w:val="21"/>
        </w:rPr>
      </w:pP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President of the Republic of the Philippines</w:t>
      </w: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Vice President</w:t>
      </w: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Speaker of the House of Representatives</w:t>
      </w: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Chairperson – Senate Finance Committee</w:t>
      </w: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Chairperson – Appropriations Committee</w:t>
      </w: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Secretary of the Department of Budget and Management</w:t>
      </w: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Governance Commission for Government Owned or Controlled Corporations</w:t>
      </w: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Presidential Management Staff, Office of the President</w:t>
      </w: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UP Law Center</w:t>
      </w:r>
    </w:p>
    <w:p w:rsidR="00643EDE" w:rsidRPr="00EA029B" w:rsidRDefault="00643EDE" w:rsidP="00643EDE">
      <w:pPr>
        <w:tabs>
          <w:tab w:val="left" w:pos="5580"/>
        </w:tabs>
        <w:jc w:val="both"/>
        <w:rPr>
          <w:rFonts w:ascii="Arial" w:hAnsi="Arial" w:cs="Arial"/>
          <w:sz w:val="20"/>
          <w:szCs w:val="20"/>
        </w:rPr>
      </w:pPr>
      <w:r w:rsidRPr="00EA029B">
        <w:rPr>
          <w:rFonts w:ascii="Arial" w:hAnsi="Arial" w:cs="Arial"/>
          <w:sz w:val="20"/>
          <w:szCs w:val="20"/>
        </w:rPr>
        <w:t>The National Library</w:t>
      </w:r>
    </w:p>
    <w:p w:rsidR="00D94EA6" w:rsidRDefault="00D94EA6" w:rsidP="00127D79">
      <w:pPr>
        <w:tabs>
          <w:tab w:val="left" w:pos="5040"/>
        </w:tabs>
        <w:jc w:val="both"/>
        <w:rPr>
          <w:rFonts w:ascii="Arial" w:hAnsi="Arial" w:cs="Arial"/>
          <w:sz w:val="16"/>
          <w:szCs w:val="16"/>
        </w:rPr>
        <w:sectPr w:rsidR="00D94EA6" w:rsidSect="00AE5B60">
          <w:pgSz w:w="11907" w:h="16840" w:code="9"/>
          <w:pgMar w:top="1440" w:right="1440" w:bottom="1440" w:left="1440" w:header="720" w:footer="720" w:gutter="0"/>
          <w:cols w:space="720"/>
          <w:docGrid w:linePitch="360"/>
        </w:sectPr>
      </w:pPr>
    </w:p>
    <w:p w:rsidR="001114AB" w:rsidRPr="00D94898" w:rsidRDefault="001114AB" w:rsidP="008E539B">
      <w:pPr>
        <w:pStyle w:val="Title"/>
        <w:jc w:val="right"/>
        <w:rPr>
          <w:rFonts w:ascii="Arial" w:hAnsi="Arial" w:cs="Arial"/>
          <w:sz w:val="20"/>
        </w:rPr>
      </w:pPr>
      <w:r w:rsidRPr="00D94898">
        <w:rPr>
          <w:rFonts w:ascii="Arial" w:hAnsi="Arial" w:cs="Arial"/>
          <w:sz w:val="20"/>
        </w:rPr>
        <w:lastRenderedPageBreak/>
        <w:t>Annex A</w:t>
      </w:r>
    </w:p>
    <w:p w:rsidR="00797B57" w:rsidRDefault="00797B57" w:rsidP="00127D79">
      <w:pPr>
        <w:pStyle w:val="Title"/>
        <w:jc w:val="both"/>
        <w:rPr>
          <w:rFonts w:ascii="Arial" w:hAnsi="Arial" w:cs="Arial"/>
          <w:sz w:val="16"/>
          <w:szCs w:val="16"/>
        </w:rPr>
      </w:pPr>
    </w:p>
    <w:p w:rsidR="003B75E6" w:rsidRDefault="003B75E6" w:rsidP="008E539B">
      <w:pPr>
        <w:pStyle w:val="Title"/>
        <w:rPr>
          <w:rFonts w:ascii="Arial" w:hAnsi="Arial" w:cs="Arial"/>
          <w:sz w:val="20"/>
        </w:rPr>
      </w:pPr>
      <w:r>
        <w:rPr>
          <w:rFonts w:ascii="Arial" w:hAnsi="Arial" w:cs="Arial"/>
          <w:sz w:val="20"/>
        </w:rPr>
        <w:t>AFP – RETIREMENT AND SEPARATION BENEFITS SYSTEM</w:t>
      </w:r>
    </w:p>
    <w:p w:rsidR="001114AB" w:rsidRPr="0039364B" w:rsidRDefault="003B75E6" w:rsidP="008E539B">
      <w:pPr>
        <w:pStyle w:val="Title"/>
        <w:rPr>
          <w:rFonts w:ascii="Arial" w:hAnsi="Arial" w:cs="Arial"/>
          <w:iCs/>
          <w:sz w:val="20"/>
          <w:lang w:val="it-IT"/>
        </w:rPr>
      </w:pPr>
      <w:r w:rsidRPr="0039364B">
        <w:rPr>
          <w:rFonts w:ascii="Arial" w:hAnsi="Arial" w:cs="Arial"/>
          <w:sz w:val="20"/>
          <w:lang w:val="it-IT"/>
        </w:rPr>
        <w:t>424 Capinpin Avenue, Camp General Emilio A</w:t>
      </w:r>
      <w:r w:rsidR="00D162F5" w:rsidRPr="0039364B">
        <w:rPr>
          <w:rFonts w:ascii="Arial" w:hAnsi="Arial" w:cs="Arial"/>
          <w:sz w:val="20"/>
          <w:lang w:val="it-IT"/>
        </w:rPr>
        <w:t>g</w:t>
      </w:r>
      <w:r w:rsidRPr="0039364B">
        <w:rPr>
          <w:rFonts w:ascii="Arial" w:hAnsi="Arial" w:cs="Arial"/>
          <w:sz w:val="20"/>
          <w:lang w:val="it-IT"/>
        </w:rPr>
        <w:t>uinaldo,</w:t>
      </w:r>
      <w:r w:rsidR="00A56731" w:rsidRPr="0039364B">
        <w:rPr>
          <w:rFonts w:ascii="Arial" w:hAnsi="Arial" w:cs="Arial"/>
          <w:iCs/>
          <w:sz w:val="20"/>
          <w:lang w:val="it-IT"/>
        </w:rPr>
        <w:t xml:space="preserve"> Quezon City</w:t>
      </w:r>
      <w:r w:rsidRPr="0039364B">
        <w:rPr>
          <w:rFonts w:ascii="Arial" w:hAnsi="Arial" w:cs="Arial"/>
          <w:iCs/>
          <w:sz w:val="20"/>
          <w:lang w:val="it-IT"/>
        </w:rPr>
        <w:t xml:space="preserve">, </w:t>
      </w:r>
      <w:r w:rsidR="007B75FD" w:rsidRPr="0039364B">
        <w:rPr>
          <w:rFonts w:ascii="Arial" w:hAnsi="Arial" w:cs="Arial"/>
          <w:iCs/>
          <w:sz w:val="20"/>
          <w:lang w:val="it-IT"/>
        </w:rPr>
        <w:t>Metro Manila</w:t>
      </w:r>
    </w:p>
    <w:p w:rsidR="001114AB" w:rsidRPr="0039364B" w:rsidRDefault="001114AB" w:rsidP="008E539B">
      <w:pPr>
        <w:pStyle w:val="Title"/>
        <w:rPr>
          <w:rFonts w:ascii="Arial" w:hAnsi="Arial" w:cs="Arial"/>
          <w:iCs/>
          <w:sz w:val="20"/>
          <w:lang w:val="it-IT"/>
        </w:rPr>
      </w:pPr>
    </w:p>
    <w:p w:rsidR="001114AB" w:rsidRPr="00D94898" w:rsidRDefault="001114AB" w:rsidP="008E539B">
      <w:pPr>
        <w:pStyle w:val="Title"/>
        <w:rPr>
          <w:rFonts w:ascii="Arial" w:hAnsi="Arial" w:cs="Arial"/>
          <w:iCs/>
          <w:sz w:val="20"/>
        </w:rPr>
      </w:pPr>
      <w:r w:rsidRPr="00D94898">
        <w:rPr>
          <w:rFonts w:ascii="Arial" w:hAnsi="Arial" w:cs="Arial"/>
          <w:iCs/>
          <w:sz w:val="20"/>
        </w:rPr>
        <w:t>AGENCY ACTION PLAN and STATUS OF IMPLEMENTATION</w:t>
      </w:r>
    </w:p>
    <w:p w:rsidR="001114AB" w:rsidRPr="00D94898" w:rsidRDefault="001114AB" w:rsidP="008E539B">
      <w:pPr>
        <w:pStyle w:val="Title"/>
        <w:rPr>
          <w:rFonts w:ascii="Arial" w:hAnsi="Arial" w:cs="Arial"/>
          <w:iCs/>
          <w:sz w:val="20"/>
        </w:rPr>
      </w:pPr>
      <w:r w:rsidRPr="00D94898">
        <w:rPr>
          <w:rFonts w:ascii="Arial" w:hAnsi="Arial" w:cs="Arial"/>
          <w:iCs/>
          <w:sz w:val="20"/>
        </w:rPr>
        <w:t>Audit Observations and Recommendations</w:t>
      </w:r>
    </w:p>
    <w:p w:rsidR="001114AB" w:rsidRPr="00D94898" w:rsidRDefault="001114AB" w:rsidP="008E539B">
      <w:pPr>
        <w:pStyle w:val="Title"/>
        <w:rPr>
          <w:rFonts w:ascii="Arial" w:hAnsi="Arial" w:cs="Arial"/>
          <w:iCs/>
          <w:sz w:val="20"/>
        </w:rPr>
      </w:pPr>
      <w:r w:rsidRPr="00D94898">
        <w:rPr>
          <w:rFonts w:ascii="Arial" w:hAnsi="Arial" w:cs="Arial"/>
          <w:iCs/>
          <w:sz w:val="20"/>
        </w:rPr>
        <w:t>For the Calendar Year 201</w:t>
      </w:r>
      <w:r w:rsidR="00781BDB">
        <w:rPr>
          <w:rFonts w:ascii="Arial" w:hAnsi="Arial" w:cs="Arial"/>
          <w:iCs/>
          <w:sz w:val="20"/>
        </w:rPr>
        <w:t>9</w:t>
      </w:r>
    </w:p>
    <w:p w:rsidR="001114AB" w:rsidRPr="00D94898" w:rsidRDefault="001114AB" w:rsidP="008E539B">
      <w:pPr>
        <w:pStyle w:val="Title"/>
        <w:rPr>
          <w:rFonts w:ascii="Arial" w:hAnsi="Arial" w:cs="Arial"/>
          <w:sz w:val="20"/>
          <w:lang w:val="en-PH"/>
        </w:rPr>
      </w:pPr>
      <w:r w:rsidRPr="00D94898">
        <w:rPr>
          <w:rFonts w:ascii="Arial" w:hAnsi="Arial" w:cs="Arial"/>
          <w:iCs/>
          <w:sz w:val="20"/>
        </w:rPr>
        <w:t>As of _______________________</w:t>
      </w:r>
    </w:p>
    <w:p w:rsidR="001114AB" w:rsidRPr="00797B57" w:rsidRDefault="001114AB" w:rsidP="00127D79">
      <w:pPr>
        <w:pStyle w:val="Title"/>
        <w:jc w:val="both"/>
        <w:rPr>
          <w:rFonts w:ascii="Arial" w:hAnsi="Arial" w:cs="Arial"/>
          <w:sz w:val="16"/>
          <w:szCs w:val="16"/>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530"/>
        <w:gridCol w:w="2070"/>
        <w:gridCol w:w="1530"/>
        <w:gridCol w:w="1530"/>
        <w:gridCol w:w="900"/>
        <w:gridCol w:w="810"/>
        <w:gridCol w:w="1530"/>
        <w:gridCol w:w="1890"/>
        <w:gridCol w:w="1260"/>
      </w:tblGrid>
      <w:tr w:rsidR="00276F3A" w:rsidRPr="00D94898" w:rsidTr="00511DC9">
        <w:tc>
          <w:tcPr>
            <w:tcW w:w="648" w:type="dxa"/>
            <w:vMerge w:val="restart"/>
            <w:shd w:val="clear" w:color="auto" w:fill="auto"/>
          </w:tcPr>
          <w:p w:rsidR="001114AB" w:rsidRPr="00D94898" w:rsidRDefault="001114AB" w:rsidP="008E539B">
            <w:pPr>
              <w:pStyle w:val="Title"/>
              <w:ind w:left="-90" w:right="-198"/>
              <w:rPr>
                <w:rFonts w:ascii="Arial" w:hAnsi="Arial" w:cs="Arial"/>
                <w:sz w:val="20"/>
              </w:rPr>
            </w:pPr>
          </w:p>
          <w:p w:rsidR="001114AB" w:rsidRPr="00D94898" w:rsidRDefault="001114AB" w:rsidP="008E539B">
            <w:pPr>
              <w:pStyle w:val="Title"/>
              <w:ind w:left="-90" w:right="-198"/>
              <w:rPr>
                <w:rFonts w:ascii="Arial" w:hAnsi="Arial" w:cs="Arial"/>
                <w:sz w:val="20"/>
              </w:rPr>
            </w:pPr>
          </w:p>
          <w:p w:rsidR="001114AB" w:rsidRPr="00D94898" w:rsidRDefault="001114AB" w:rsidP="008E539B">
            <w:pPr>
              <w:pStyle w:val="Title"/>
              <w:ind w:left="-90" w:right="-198"/>
              <w:rPr>
                <w:rFonts w:ascii="Arial" w:hAnsi="Arial" w:cs="Arial"/>
                <w:sz w:val="20"/>
              </w:rPr>
            </w:pPr>
          </w:p>
          <w:p w:rsidR="001114AB" w:rsidRPr="00D94898" w:rsidRDefault="001114AB" w:rsidP="008E539B">
            <w:pPr>
              <w:pStyle w:val="Title"/>
              <w:ind w:left="-90" w:right="-198"/>
              <w:rPr>
                <w:rFonts w:ascii="Arial" w:hAnsi="Arial" w:cs="Arial"/>
                <w:sz w:val="20"/>
              </w:rPr>
            </w:pPr>
          </w:p>
          <w:p w:rsidR="001114AB" w:rsidRPr="00D94898" w:rsidRDefault="001114AB" w:rsidP="008E539B">
            <w:pPr>
              <w:pStyle w:val="Title"/>
              <w:ind w:left="-90" w:right="-198"/>
              <w:rPr>
                <w:rFonts w:ascii="Arial" w:hAnsi="Arial" w:cs="Arial"/>
                <w:sz w:val="20"/>
              </w:rPr>
            </w:pPr>
            <w:r w:rsidRPr="00D94898">
              <w:rPr>
                <w:rFonts w:ascii="Arial" w:hAnsi="Arial" w:cs="Arial"/>
                <w:sz w:val="20"/>
              </w:rPr>
              <w:t>Ref.</w:t>
            </w:r>
          </w:p>
        </w:tc>
        <w:tc>
          <w:tcPr>
            <w:tcW w:w="1530" w:type="dxa"/>
            <w:vMerge w:val="restart"/>
            <w:shd w:val="clear" w:color="auto" w:fill="auto"/>
          </w:tcPr>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r w:rsidRPr="00D94898">
              <w:rPr>
                <w:rFonts w:ascii="Arial" w:hAnsi="Arial" w:cs="Arial"/>
                <w:sz w:val="20"/>
              </w:rPr>
              <w:t>Audit</w:t>
            </w:r>
          </w:p>
          <w:p w:rsidR="001114AB" w:rsidRPr="00D94898" w:rsidRDefault="001114AB" w:rsidP="008E539B">
            <w:pPr>
              <w:pStyle w:val="Title"/>
              <w:rPr>
                <w:rFonts w:ascii="Arial" w:hAnsi="Arial" w:cs="Arial"/>
                <w:sz w:val="20"/>
              </w:rPr>
            </w:pPr>
            <w:r w:rsidRPr="00D94898">
              <w:rPr>
                <w:rFonts w:ascii="Arial" w:hAnsi="Arial" w:cs="Arial"/>
                <w:sz w:val="20"/>
              </w:rPr>
              <w:t>Observations</w:t>
            </w:r>
          </w:p>
        </w:tc>
        <w:tc>
          <w:tcPr>
            <w:tcW w:w="2070" w:type="dxa"/>
            <w:vMerge w:val="restart"/>
            <w:shd w:val="clear" w:color="auto" w:fill="auto"/>
          </w:tcPr>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r w:rsidRPr="00D94898">
              <w:rPr>
                <w:rFonts w:ascii="Arial" w:hAnsi="Arial" w:cs="Arial"/>
                <w:sz w:val="20"/>
              </w:rPr>
              <w:t>Audit</w:t>
            </w:r>
          </w:p>
          <w:p w:rsidR="001114AB" w:rsidRPr="00D94898" w:rsidRDefault="001114AB" w:rsidP="008E539B">
            <w:pPr>
              <w:pStyle w:val="Title"/>
              <w:ind w:left="-108" w:right="-108"/>
              <w:rPr>
                <w:rFonts w:ascii="Arial" w:hAnsi="Arial" w:cs="Arial"/>
                <w:sz w:val="20"/>
              </w:rPr>
            </w:pPr>
            <w:r w:rsidRPr="00D94898">
              <w:rPr>
                <w:rFonts w:ascii="Arial" w:hAnsi="Arial" w:cs="Arial"/>
                <w:sz w:val="20"/>
              </w:rPr>
              <w:t>Recommendations</w:t>
            </w:r>
          </w:p>
        </w:tc>
        <w:tc>
          <w:tcPr>
            <w:tcW w:w="4770" w:type="dxa"/>
            <w:gridSpan w:val="4"/>
            <w:shd w:val="clear" w:color="auto" w:fill="auto"/>
            <w:vAlign w:val="center"/>
          </w:tcPr>
          <w:p w:rsidR="001114AB" w:rsidRPr="00D94898" w:rsidRDefault="001114AB" w:rsidP="008E539B">
            <w:pPr>
              <w:pStyle w:val="Title"/>
              <w:rPr>
                <w:rFonts w:ascii="Arial" w:hAnsi="Arial" w:cs="Arial"/>
                <w:sz w:val="20"/>
              </w:rPr>
            </w:pPr>
            <w:r w:rsidRPr="00D94898">
              <w:rPr>
                <w:rFonts w:ascii="Arial" w:hAnsi="Arial" w:cs="Arial"/>
                <w:sz w:val="20"/>
              </w:rPr>
              <w:t>Agency Action Plan</w:t>
            </w:r>
          </w:p>
          <w:p w:rsidR="001114AB" w:rsidRPr="00D94898" w:rsidRDefault="001114AB" w:rsidP="008E539B">
            <w:pPr>
              <w:pStyle w:val="Title"/>
              <w:rPr>
                <w:rFonts w:ascii="Arial" w:hAnsi="Arial" w:cs="Arial"/>
                <w:sz w:val="20"/>
              </w:rPr>
            </w:pPr>
          </w:p>
        </w:tc>
        <w:tc>
          <w:tcPr>
            <w:tcW w:w="1530" w:type="dxa"/>
            <w:vMerge w:val="restart"/>
            <w:shd w:val="clear" w:color="auto" w:fill="auto"/>
          </w:tcPr>
          <w:p w:rsidR="001114AB" w:rsidRPr="00D94898" w:rsidRDefault="001114AB" w:rsidP="008E539B">
            <w:pPr>
              <w:pStyle w:val="Title"/>
              <w:ind w:right="-108"/>
              <w:rPr>
                <w:rFonts w:ascii="Arial" w:hAnsi="Arial" w:cs="Arial"/>
                <w:sz w:val="20"/>
              </w:rPr>
            </w:pPr>
          </w:p>
          <w:p w:rsidR="00A56731" w:rsidRPr="00D94898" w:rsidRDefault="00A56731" w:rsidP="008E539B">
            <w:pPr>
              <w:pStyle w:val="Title"/>
              <w:ind w:right="-108"/>
              <w:rPr>
                <w:rFonts w:ascii="Arial" w:hAnsi="Arial" w:cs="Arial"/>
                <w:sz w:val="20"/>
              </w:rPr>
            </w:pPr>
          </w:p>
          <w:p w:rsidR="001114AB" w:rsidRPr="00D94898" w:rsidRDefault="001114AB" w:rsidP="008E539B">
            <w:pPr>
              <w:pStyle w:val="Title"/>
              <w:ind w:right="-108"/>
              <w:rPr>
                <w:rFonts w:ascii="Arial" w:hAnsi="Arial" w:cs="Arial"/>
                <w:sz w:val="20"/>
              </w:rPr>
            </w:pPr>
          </w:p>
          <w:p w:rsidR="001114AB" w:rsidRPr="00D94898" w:rsidRDefault="001114AB" w:rsidP="008E539B">
            <w:pPr>
              <w:pStyle w:val="Title"/>
              <w:ind w:right="-108"/>
              <w:rPr>
                <w:rFonts w:ascii="Arial" w:hAnsi="Arial" w:cs="Arial"/>
                <w:sz w:val="20"/>
              </w:rPr>
            </w:pPr>
            <w:r w:rsidRPr="00D94898">
              <w:rPr>
                <w:rFonts w:ascii="Arial" w:hAnsi="Arial" w:cs="Arial"/>
                <w:sz w:val="20"/>
              </w:rPr>
              <w:t>Status</w:t>
            </w:r>
          </w:p>
          <w:p w:rsidR="001114AB" w:rsidRPr="00D94898" w:rsidRDefault="001114AB" w:rsidP="008E539B">
            <w:pPr>
              <w:pStyle w:val="Title"/>
              <w:ind w:right="-108"/>
              <w:rPr>
                <w:rFonts w:ascii="Arial" w:hAnsi="Arial" w:cs="Arial"/>
                <w:sz w:val="20"/>
              </w:rPr>
            </w:pPr>
            <w:r w:rsidRPr="00D94898">
              <w:rPr>
                <w:rFonts w:ascii="Arial" w:hAnsi="Arial" w:cs="Arial"/>
                <w:sz w:val="20"/>
              </w:rPr>
              <w:t>of</w:t>
            </w:r>
          </w:p>
          <w:p w:rsidR="001114AB" w:rsidRPr="00D94898" w:rsidRDefault="001114AB" w:rsidP="008E539B">
            <w:pPr>
              <w:pStyle w:val="Title"/>
              <w:ind w:left="-108" w:right="-108"/>
              <w:rPr>
                <w:rFonts w:ascii="Arial" w:hAnsi="Arial" w:cs="Arial"/>
                <w:sz w:val="20"/>
              </w:rPr>
            </w:pPr>
            <w:r w:rsidRPr="00D94898">
              <w:rPr>
                <w:rFonts w:ascii="Arial" w:hAnsi="Arial" w:cs="Arial"/>
                <w:sz w:val="20"/>
              </w:rPr>
              <w:t>Implementation</w:t>
            </w:r>
          </w:p>
        </w:tc>
        <w:tc>
          <w:tcPr>
            <w:tcW w:w="1890" w:type="dxa"/>
            <w:vMerge w:val="restart"/>
            <w:shd w:val="clear" w:color="auto" w:fill="auto"/>
          </w:tcPr>
          <w:p w:rsidR="001114AB" w:rsidRPr="00D94898" w:rsidRDefault="001114AB" w:rsidP="008E539B">
            <w:pPr>
              <w:pStyle w:val="Title"/>
              <w:ind w:right="-108"/>
              <w:rPr>
                <w:rFonts w:ascii="Arial" w:hAnsi="Arial" w:cs="Arial"/>
                <w:sz w:val="20"/>
              </w:rPr>
            </w:pPr>
          </w:p>
          <w:p w:rsidR="001114AB" w:rsidRDefault="001114AB" w:rsidP="008E539B">
            <w:pPr>
              <w:pStyle w:val="Title"/>
              <w:ind w:right="-108"/>
              <w:rPr>
                <w:rFonts w:ascii="Arial" w:hAnsi="Arial" w:cs="Arial"/>
                <w:sz w:val="20"/>
              </w:rPr>
            </w:pPr>
          </w:p>
          <w:p w:rsidR="001114AB" w:rsidRPr="00D94898" w:rsidRDefault="001114AB" w:rsidP="008E539B">
            <w:pPr>
              <w:pStyle w:val="Title"/>
              <w:ind w:left="-108" w:right="-108"/>
              <w:rPr>
                <w:rFonts w:ascii="Arial" w:hAnsi="Arial" w:cs="Arial"/>
                <w:sz w:val="20"/>
              </w:rPr>
            </w:pPr>
            <w:r w:rsidRPr="00D94898">
              <w:rPr>
                <w:rFonts w:ascii="Arial" w:hAnsi="Arial" w:cs="Arial"/>
                <w:sz w:val="20"/>
              </w:rPr>
              <w:t>Reason for Partial/Delay/Non-</w:t>
            </w:r>
          </w:p>
          <w:p w:rsidR="001114AB" w:rsidRPr="00D94898" w:rsidRDefault="001114AB" w:rsidP="008E539B">
            <w:pPr>
              <w:pStyle w:val="Title"/>
              <w:ind w:left="-108" w:right="-108"/>
              <w:rPr>
                <w:rFonts w:ascii="Arial" w:hAnsi="Arial" w:cs="Arial"/>
                <w:sz w:val="20"/>
              </w:rPr>
            </w:pPr>
            <w:r w:rsidRPr="00D94898">
              <w:rPr>
                <w:rFonts w:ascii="Arial" w:hAnsi="Arial" w:cs="Arial"/>
                <w:sz w:val="20"/>
              </w:rPr>
              <w:t>Implementation,</w:t>
            </w:r>
          </w:p>
          <w:p w:rsidR="001114AB" w:rsidRPr="00D94898" w:rsidRDefault="001114AB" w:rsidP="008E539B">
            <w:pPr>
              <w:pStyle w:val="Title"/>
              <w:ind w:left="-108" w:right="-108"/>
              <w:rPr>
                <w:rFonts w:ascii="Arial" w:hAnsi="Arial" w:cs="Arial"/>
                <w:sz w:val="20"/>
              </w:rPr>
            </w:pPr>
            <w:r w:rsidRPr="00D94898">
              <w:rPr>
                <w:rFonts w:ascii="Arial" w:hAnsi="Arial" w:cs="Arial"/>
                <w:sz w:val="20"/>
              </w:rPr>
              <w:t>if applicable</w:t>
            </w:r>
          </w:p>
        </w:tc>
        <w:tc>
          <w:tcPr>
            <w:tcW w:w="1260" w:type="dxa"/>
            <w:vMerge w:val="restart"/>
            <w:shd w:val="clear" w:color="auto" w:fill="auto"/>
          </w:tcPr>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p>
          <w:p w:rsidR="001114AB" w:rsidRPr="00D94898" w:rsidRDefault="001114AB" w:rsidP="008E539B">
            <w:pPr>
              <w:pStyle w:val="Title"/>
              <w:rPr>
                <w:rFonts w:ascii="Arial" w:hAnsi="Arial" w:cs="Arial"/>
                <w:sz w:val="20"/>
              </w:rPr>
            </w:pPr>
            <w:r w:rsidRPr="00D94898">
              <w:rPr>
                <w:rFonts w:ascii="Arial" w:hAnsi="Arial" w:cs="Arial"/>
                <w:sz w:val="20"/>
              </w:rPr>
              <w:t>Action Taken/</w:t>
            </w:r>
          </w:p>
          <w:p w:rsidR="001114AB" w:rsidRPr="00D94898" w:rsidRDefault="001114AB" w:rsidP="008E539B">
            <w:pPr>
              <w:pStyle w:val="Title"/>
              <w:rPr>
                <w:rFonts w:ascii="Arial" w:hAnsi="Arial" w:cs="Arial"/>
                <w:sz w:val="20"/>
              </w:rPr>
            </w:pPr>
            <w:r w:rsidRPr="00D94898">
              <w:rPr>
                <w:rFonts w:ascii="Arial" w:hAnsi="Arial" w:cs="Arial"/>
                <w:sz w:val="20"/>
              </w:rPr>
              <w:t>Action to be Taken</w:t>
            </w:r>
          </w:p>
        </w:tc>
      </w:tr>
      <w:tr w:rsidR="00276F3A" w:rsidRPr="00D94898" w:rsidTr="00511DC9">
        <w:tc>
          <w:tcPr>
            <w:tcW w:w="648" w:type="dxa"/>
            <w:vMerge/>
            <w:shd w:val="clear" w:color="auto" w:fill="auto"/>
          </w:tcPr>
          <w:p w:rsidR="001114AB" w:rsidRPr="00D94898" w:rsidRDefault="001114AB" w:rsidP="008E539B">
            <w:pPr>
              <w:pStyle w:val="Title"/>
              <w:ind w:left="-90" w:right="-198"/>
              <w:rPr>
                <w:rFonts w:ascii="Arial" w:hAnsi="Arial" w:cs="Arial"/>
                <w:b w:val="0"/>
                <w:sz w:val="20"/>
              </w:rPr>
            </w:pPr>
          </w:p>
        </w:tc>
        <w:tc>
          <w:tcPr>
            <w:tcW w:w="1530" w:type="dxa"/>
            <w:vMerge/>
            <w:shd w:val="clear" w:color="auto" w:fill="auto"/>
          </w:tcPr>
          <w:p w:rsidR="001114AB" w:rsidRPr="00D94898" w:rsidRDefault="001114AB" w:rsidP="008E539B">
            <w:pPr>
              <w:pStyle w:val="Title"/>
              <w:rPr>
                <w:rFonts w:ascii="Arial" w:hAnsi="Arial" w:cs="Arial"/>
                <w:b w:val="0"/>
                <w:sz w:val="20"/>
              </w:rPr>
            </w:pPr>
          </w:p>
        </w:tc>
        <w:tc>
          <w:tcPr>
            <w:tcW w:w="2070" w:type="dxa"/>
            <w:vMerge/>
            <w:shd w:val="clear" w:color="auto" w:fill="auto"/>
          </w:tcPr>
          <w:p w:rsidR="001114AB" w:rsidRPr="00D94898" w:rsidRDefault="001114AB" w:rsidP="008E539B">
            <w:pPr>
              <w:pStyle w:val="Title"/>
              <w:rPr>
                <w:rFonts w:ascii="Arial" w:hAnsi="Arial" w:cs="Arial"/>
                <w:b w:val="0"/>
                <w:sz w:val="20"/>
              </w:rPr>
            </w:pPr>
          </w:p>
        </w:tc>
        <w:tc>
          <w:tcPr>
            <w:tcW w:w="1530" w:type="dxa"/>
            <w:vMerge w:val="restart"/>
            <w:shd w:val="clear" w:color="auto" w:fill="auto"/>
          </w:tcPr>
          <w:p w:rsidR="001114AB" w:rsidRPr="00D94898" w:rsidRDefault="001114AB" w:rsidP="008E539B">
            <w:pPr>
              <w:pStyle w:val="Title"/>
              <w:rPr>
                <w:rFonts w:ascii="Arial" w:hAnsi="Arial" w:cs="Arial"/>
                <w:sz w:val="20"/>
              </w:rPr>
            </w:pPr>
            <w:r w:rsidRPr="00D94898">
              <w:rPr>
                <w:rFonts w:ascii="Arial" w:hAnsi="Arial" w:cs="Arial"/>
                <w:sz w:val="20"/>
              </w:rPr>
              <w:t>Action Plan</w:t>
            </w:r>
          </w:p>
        </w:tc>
        <w:tc>
          <w:tcPr>
            <w:tcW w:w="1530" w:type="dxa"/>
            <w:vMerge w:val="restart"/>
            <w:shd w:val="clear" w:color="auto" w:fill="auto"/>
          </w:tcPr>
          <w:p w:rsidR="001114AB" w:rsidRPr="00D94898" w:rsidRDefault="001114AB" w:rsidP="008E539B">
            <w:pPr>
              <w:pStyle w:val="Title"/>
              <w:ind w:right="-108"/>
              <w:rPr>
                <w:rFonts w:ascii="Arial" w:hAnsi="Arial" w:cs="Arial"/>
                <w:sz w:val="20"/>
              </w:rPr>
            </w:pPr>
            <w:r w:rsidRPr="00D94898">
              <w:rPr>
                <w:rFonts w:ascii="Arial" w:hAnsi="Arial" w:cs="Arial"/>
                <w:sz w:val="20"/>
              </w:rPr>
              <w:t>Person/Dept.</w:t>
            </w:r>
          </w:p>
          <w:p w:rsidR="001114AB" w:rsidRPr="00D94898" w:rsidRDefault="001114AB" w:rsidP="008E539B">
            <w:pPr>
              <w:pStyle w:val="Title"/>
              <w:rPr>
                <w:rFonts w:ascii="Arial" w:hAnsi="Arial" w:cs="Arial"/>
                <w:sz w:val="20"/>
              </w:rPr>
            </w:pPr>
            <w:r w:rsidRPr="00D94898">
              <w:rPr>
                <w:rFonts w:ascii="Arial" w:hAnsi="Arial" w:cs="Arial"/>
                <w:sz w:val="20"/>
              </w:rPr>
              <w:t>Responsible</w:t>
            </w:r>
          </w:p>
        </w:tc>
        <w:tc>
          <w:tcPr>
            <w:tcW w:w="1710" w:type="dxa"/>
            <w:gridSpan w:val="2"/>
            <w:shd w:val="clear" w:color="auto" w:fill="auto"/>
          </w:tcPr>
          <w:p w:rsidR="001114AB" w:rsidRPr="00D94898" w:rsidRDefault="001114AB" w:rsidP="008E539B">
            <w:pPr>
              <w:pStyle w:val="Title"/>
              <w:ind w:right="-108"/>
              <w:rPr>
                <w:rFonts w:ascii="Arial" w:hAnsi="Arial" w:cs="Arial"/>
                <w:sz w:val="20"/>
              </w:rPr>
            </w:pPr>
            <w:r w:rsidRPr="00D94898">
              <w:rPr>
                <w:rFonts w:ascii="Arial" w:hAnsi="Arial" w:cs="Arial"/>
                <w:sz w:val="20"/>
              </w:rPr>
              <w:t>Target Implementation</w:t>
            </w:r>
          </w:p>
          <w:p w:rsidR="001114AB" w:rsidRPr="00D94898" w:rsidRDefault="001114AB" w:rsidP="008E539B">
            <w:pPr>
              <w:pStyle w:val="Title"/>
              <w:rPr>
                <w:rFonts w:ascii="Arial" w:hAnsi="Arial" w:cs="Arial"/>
                <w:sz w:val="20"/>
              </w:rPr>
            </w:pPr>
            <w:r w:rsidRPr="00D94898">
              <w:rPr>
                <w:rFonts w:ascii="Arial" w:hAnsi="Arial" w:cs="Arial"/>
                <w:sz w:val="20"/>
              </w:rPr>
              <w:t>Date</w:t>
            </w:r>
          </w:p>
        </w:tc>
        <w:tc>
          <w:tcPr>
            <w:tcW w:w="1530" w:type="dxa"/>
            <w:vMerge/>
            <w:shd w:val="clear" w:color="auto" w:fill="auto"/>
          </w:tcPr>
          <w:p w:rsidR="001114AB" w:rsidRPr="00D94898" w:rsidRDefault="001114AB" w:rsidP="008E539B">
            <w:pPr>
              <w:pStyle w:val="Title"/>
              <w:ind w:right="-108"/>
              <w:rPr>
                <w:rFonts w:ascii="Arial" w:hAnsi="Arial" w:cs="Arial"/>
                <w:b w:val="0"/>
                <w:sz w:val="20"/>
              </w:rPr>
            </w:pPr>
          </w:p>
        </w:tc>
        <w:tc>
          <w:tcPr>
            <w:tcW w:w="1890" w:type="dxa"/>
            <w:vMerge/>
            <w:shd w:val="clear" w:color="auto" w:fill="auto"/>
          </w:tcPr>
          <w:p w:rsidR="001114AB" w:rsidRPr="00D94898" w:rsidRDefault="001114AB" w:rsidP="008E539B">
            <w:pPr>
              <w:pStyle w:val="Title"/>
              <w:ind w:left="-108" w:right="-108"/>
              <w:rPr>
                <w:rFonts w:ascii="Arial" w:hAnsi="Arial" w:cs="Arial"/>
                <w:b w:val="0"/>
                <w:sz w:val="20"/>
              </w:rPr>
            </w:pPr>
          </w:p>
        </w:tc>
        <w:tc>
          <w:tcPr>
            <w:tcW w:w="1260" w:type="dxa"/>
            <w:vMerge/>
            <w:shd w:val="clear" w:color="auto" w:fill="auto"/>
          </w:tcPr>
          <w:p w:rsidR="001114AB" w:rsidRPr="00D94898" w:rsidRDefault="001114AB" w:rsidP="008E539B">
            <w:pPr>
              <w:pStyle w:val="Title"/>
              <w:rPr>
                <w:rFonts w:ascii="Arial" w:hAnsi="Arial" w:cs="Arial"/>
                <w:b w:val="0"/>
                <w:sz w:val="20"/>
              </w:rPr>
            </w:pPr>
          </w:p>
        </w:tc>
      </w:tr>
      <w:tr w:rsidR="00276F3A" w:rsidRPr="00D94898" w:rsidTr="00511DC9">
        <w:trPr>
          <w:trHeight w:val="341"/>
        </w:trPr>
        <w:tc>
          <w:tcPr>
            <w:tcW w:w="648" w:type="dxa"/>
            <w:vMerge/>
            <w:shd w:val="clear" w:color="auto" w:fill="auto"/>
          </w:tcPr>
          <w:p w:rsidR="001114AB" w:rsidRPr="00D94898" w:rsidRDefault="001114AB" w:rsidP="008E539B">
            <w:pPr>
              <w:pStyle w:val="Title"/>
              <w:ind w:left="-90" w:right="-198"/>
              <w:rPr>
                <w:rFonts w:ascii="Arial" w:hAnsi="Arial" w:cs="Arial"/>
                <w:b w:val="0"/>
                <w:sz w:val="20"/>
              </w:rPr>
            </w:pPr>
          </w:p>
        </w:tc>
        <w:tc>
          <w:tcPr>
            <w:tcW w:w="1530" w:type="dxa"/>
            <w:vMerge/>
            <w:shd w:val="clear" w:color="auto" w:fill="auto"/>
          </w:tcPr>
          <w:p w:rsidR="001114AB" w:rsidRPr="00D94898" w:rsidRDefault="001114AB" w:rsidP="008E539B">
            <w:pPr>
              <w:pStyle w:val="Title"/>
              <w:rPr>
                <w:rFonts w:ascii="Arial" w:hAnsi="Arial" w:cs="Arial"/>
                <w:b w:val="0"/>
                <w:sz w:val="20"/>
              </w:rPr>
            </w:pPr>
          </w:p>
        </w:tc>
        <w:tc>
          <w:tcPr>
            <w:tcW w:w="2070" w:type="dxa"/>
            <w:vMerge/>
            <w:shd w:val="clear" w:color="auto" w:fill="auto"/>
          </w:tcPr>
          <w:p w:rsidR="001114AB" w:rsidRPr="00D94898" w:rsidRDefault="001114AB" w:rsidP="008E539B">
            <w:pPr>
              <w:pStyle w:val="Title"/>
              <w:rPr>
                <w:rFonts w:ascii="Arial" w:hAnsi="Arial" w:cs="Arial"/>
                <w:b w:val="0"/>
                <w:sz w:val="20"/>
              </w:rPr>
            </w:pPr>
          </w:p>
        </w:tc>
        <w:tc>
          <w:tcPr>
            <w:tcW w:w="1530" w:type="dxa"/>
            <w:vMerge/>
            <w:shd w:val="clear" w:color="auto" w:fill="auto"/>
          </w:tcPr>
          <w:p w:rsidR="001114AB" w:rsidRPr="00D94898" w:rsidRDefault="001114AB" w:rsidP="008E539B">
            <w:pPr>
              <w:pStyle w:val="Title"/>
              <w:rPr>
                <w:rFonts w:ascii="Arial" w:hAnsi="Arial" w:cs="Arial"/>
                <w:sz w:val="20"/>
              </w:rPr>
            </w:pPr>
          </w:p>
        </w:tc>
        <w:tc>
          <w:tcPr>
            <w:tcW w:w="1530" w:type="dxa"/>
            <w:vMerge/>
            <w:shd w:val="clear" w:color="auto" w:fill="auto"/>
          </w:tcPr>
          <w:p w:rsidR="001114AB" w:rsidRPr="00D94898" w:rsidRDefault="001114AB" w:rsidP="008E539B">
            <w:pPr>
              <w:pStyle w:val="Title"/>
              <w:rPr>
                <w:rFonts w:ascii="Arial" w:hAnsi="Arial" w:cs="Arial"/>
                <w:sz w:val="20"/>
              </w:rPr>
            </w:pPr>
          </w:p>
        </w:tc>
        <w:tc>
          <w:tcPr>
            <w:tcW w:w="900" w:type="dxa"/>
            <w:shd w:val="clear" w:color="auto" w:fill="auto"/>
            <w:vAlign w:val="center"/>
          </w:tcPr>
          <w:p w:rsidR="001114AB" w:rsidRPr="00D94898" w:rsidRDefault="001114AB" w:rsidP="008E539B">
            <w:pPr>
              <w:pStyle w:val="Title"/>
              <w:rPr>
                <w:rFonts w:ascii="Arial" w:hAnsi="Arial" w:cs="Arial"/>
                <w:sz w:val="20"/>
              </w:rPr>
            </w:pPr>
            <w:r w:rsidRPr="00D94898">
              <w:rPr>
                <w:rFonts w:ascii="Arial" w:hAnsi="Arial" w:cs="Arial"/>
                <w:sz w:val="20"/>
              </w:rPr>
              <w:t>From</w:t>
            </w:r>
          </w:p>
        </w:tc>
        <w:tc>
          <w:tcPr>
            <w:tcW w:w="810" w:type="dxa"/>
            <w:shd w:val="clear" w:color="auto" w:fill="auto"/>
            <w:vAlign w:val="center"/>
          </w:tcPr>
          <w:p w:rsidR="001114AB" w:rsidRPr="00D94898" w:rsidRDefault="001114AB" w:rsidP="008E539B">
            <w:pPr>
              <w:pStyle w:val="Title"/>
              <w:rPr>
                <w:rFonts w:ascii="Arial" w:hAnsi="Arial" w:cs="Arial"/>
                <w:sz w:val="20"/>
              </w:rPr>
            </w:pPr>
            <w:r w:rsidRPr="00D94898">
              <w:rPr>
                <w:rFonts w:ascii="Arial" w:hAnsi="Arial" w:cs="Arial"/>
                <w:sz w:val="20"/>
              </w:rPr>
              <w:t>To</w:t>
            </w:r>
          </w:p>
        </w:tc>
        <w:tc>
          <w:tcPr>
            <w:tcW w:w="1530" w:type="dxa"/>
            <w:vMerge/>
            <w:shd w:val="clear" w:color="auto" w:fill="auto"/>
          </w:tcPr>
          <w:p w:rsidR="001114AB" w:rsidRPr="00D94898" w:rsidRDefault="001114AB" w:rsidP="008E539B">
            <w:pPr>
              <w:pStyle w:val="Title"/>
              <w:rPr>
                <w:rFonts w:ascii="Arial" w:hAnsi="Arial" w:cs="Arial"/>
                <w:b w:val="0"/>
                <w:sz w:val="20"/>
              </w:rPr>
            </w:pPr>
          </w:p>
        </w:tc>
        <w:tc>
          <w:tcPr>
            <w:tcW w:w="1890" w:type="dxa"/>
            <w:vMerge/>
            <w:shd w:val="clear" w:color="auto" w:fill="auto"/>
          </w:tcPr>
          <w:p w:rsidR="001114AB" w:rsidRPr="00D94898" w:rsidRDefault="001114AB" w:rsidP="008E539B">
            <w:pPr>
              <w:pStyle w:val="Title"/>
              <w:rPr>
                <w:rFonts w:ascii="Arial" w:hAnsi="Arial" w:cs="Arial"/>
                <w:b w:val="0"/>
                <w:sz w:val="20"/>
              </w:rPr>
            </w:pPr>
          </w:p>
        </w:tc>
        <w:tc>
          <w:tcPr>
            <w:tcW w:w="1260" w:type="dxa"/>
            <w:vMerge/>
            <w:shd w:val="clear" w:color="auto" w:fill="auto"/>
          </w:tcPr>
          <w:p w:rsidR="001114AB" w:rsidRPr="00D94898" w:rsidRDefault="001114AB" w:rsidP="008E539B">
            <w:pPr>
              <w:pStyle w:val="Title"/>
              <w:rPr>
                <w:rFonts w:ascii="Arial" w:hAnsi="Arial" w:cs="Arial"/>
                <w:b w:val="0"/>
                <w:sz w:val="20"/>
              </w:rPr>
            </w:pPr>
          </w:p>
        </w:tc>
      </w:tr>
      <w:tr w:rsidR="00276F3A" w:rsidRPr="00D94898" w:rsidTr="00511DC9">
        <w:tc>
          <w:tcPr>
            <w:tcW w:w="648" w:type="dxa"/>
            <w:shd w:val="clear" w:color="auto" w:fill="auto"/>
          </w:tcPr>
          <w:p w:rsidR="001114AB" w:rsidRPr="00D94898" w:rsidRDefault="001114AB" w:rsidP="008E539B">
            <w:pPr>
              <w:pStyle w:val="Title"/>
              <w:rPr>
                <w:rFonts w:ascii="Arial" w:hAnsi="Arial" w:cs="Arial"/>
                <w:b w:val="0"/>
                <w:sz w:val="20"/>
              </w:rPr>
            </w:pPr>
          </w:p>
        </w:tc>
        <w:tc>
          <w:tcPr>
            <w:tcW w:w="1530" w:type="dxa"/>
            <w:shd w:val="clear" w:color="auto" w:fill="auto"/>
          </w:tcPr>
          <w:p w:rsidR="001114AB" w:rsidRPr="00D94898" w:rsidRDefault="001114AB" w:rsidP="008E539B">
            <w:pPr>
              <w:pStyle w:val="Title"/>
              <w:rPr>
                <w:rFonts w:ascii="Arial" w:hAnsi="Arial" w:cs="Arial"/>
                <w:b w:val="0"/>
                <w:sz w:val="20"/>
              </w:rPr>
            </w:pPr>
          </w:p>
        </w:tc>
        <w:tc>
          <w:tcPr>
            <w:tcW w:w="2070" w:type="dxa"/>
            <w:shd w:val="clear" w:color="auto" w:fill="auto"/>
          </w:tcPr>
          <w:p w:rsidR="001114AB" w:rsidRPr="00D94898" w:rsidRDefault="001114AB" w:rsidP="008E539B">
            <w:pPr>
              <w:pStyle w:val="Title"/>
              <w:rPr>
                <w:rFonts w:ascii="Arial" w:hAnsi="Arial" w:cs="Arial"/>
                <w:b w:val="0"/>
                <w:sz w:val="20"/>
              </w:rPr>
            </w:pPr>
          </w:p>
        </w:tc>
        <w:tc>
          <w:tcPr>
            <w:tcW w:w="1530" w:type="dxa"/>
            <w:shd w:val="clear" w:color="auto" w:fill="auto"/>
          </w:tcPr>
          <w:p w:rsidR="001114AB" w:rsidRPr="00D94898" w:rsidRDefault="001114AB" w:rsidP="008E539B">
            <w:pPr>
              <w:pStyle w:val="Title"/>
              <w:rPr>
                <w:rFonts w:ascii="Arial" w:hAnsi="Arial" w:cs="Arial"/>
                <w:b w:val="0"/>
                <w:sz w:val="20"/>
              </w:rPr>
            </w:pPr>
          </w:p>
        </w:tc>
        <w:tc>
          <w:tcPr>
            <w:tcW w:w="1530" w:type="dxa"/>
            <w:shd w:val="clear" w:color="auto" w:fill="auto"/>
          </w:tcPr>
          <w:p w:rsidR="001114AB" w:rsidRPr="00D94898" w:rsidRDefault="001114AB" w:rsidP="008E539B">
            <w:pPr>
              <w:pStyle w:val="Title"/>
              <w:rPr>
                <w:rFonts w:ascii="Arial" w:hAnsi="Arial" w:cs="Arial"/>
                <w:b w:val="0"/>
                <w:sz w:val="20"/>
              </w:rPr>
            </w:pPr>
          </w:p>
        </w:tc>
        <w:tc>
          <w:tcPr>
            <w:tcW w:w="900" w:type="dxa"/>
            <w:shd w:val="clear" w:color="auto" w:fill="auto"/>
          </w:tcPr>
          <w:p w:rsidR="001114AB" w:rsidRPr="00D94898" w:rsidRDefault="001114AB" w:rsidP="008E539B">
            <w:pPr>
              <w:pStyle w:val="Title"/>
              <w:rPr>
                <w:rFonts w:ascii="Arial" w:hAnsi="Arial" w:cs="Arial"/>
                <w:b w:val="0"/>
                <w:sz w:val="20"/>
              </w:rPr>
            </w:pPr>
          </w:p>
        </w:tc>
        <w:tc>
          <w:tcPr>
            <w:tcW w:w="810" w:type="dxa"/>
            <w:shd w:val="clear" w:color="auto" w:fill="auto"/>
          </w:tcPr>
          <w:p w:rsidR="001114AB" w:rsidRPr="00D94898" w:rsidRDefault="001114AB" w:rsidP="008E539B">
            <w:pPr>
              <w:pStyle w:val="Title"/>
              <w:rPr>
                <w:rFonts w:ascii="Arial" w:hAnsi="Arial" w:cs="Arial"/>
                <w:b w:val="0"/>
                <w:sz w:val="20"/>
              </w:rPr>
            </w:pPr>
          </w:p>
        </w:tc>
        <w:tc>
          <w:tcPr>
            <w:tcW w:w="1530" w:type="dxa"/>
            <w:shd w:val="clear" w:color="auto" w:fill="auto"/>
          </w:tcPr>
          <w:p w:rsidR="001114AB" w:rsidRPr="00D94898" w:rsidRDefault="001114AB" w:rsidP="008E539B">
            <w:pPr>
              <w:pStyle w:val="Title"/>
              <w:rPr>
                <w:rFonts w:ascii="Arial" w:hAnsi="Arial" w:cs="Arial"/>
                <w:b w:val="0"/>
                <w:sz w:val="20"/>
              </w:rPr>
            </w:pPr>
          </w:p>
        </w:tc>
        <w:tc>
          <w:tcPr>
            <w:tcW w:w="1890" w:type="dxa"/>
            <w:shd w:val="clear" w:color="auto" w:fill="auto"/>
          </w:tcPr>
          <w:p w:rsidR="001114AB" w:rsidRPr="00D94898" w:rsidRDefault="001114AB" w:rsidP="008E539B">
            <w:pPr>
              <w:pStyle w:val="Title"/>
              <w:rPr>
                <w:rFonts w:ascii="Arial" w:hAnsi="Arial" w:cs="Arial"/>
                <w:b w:val="0"/>
                <w:sz w:val="20"/>
              </w:rPr>
            </w:pPr>
          </w:p>
        </w:tc>
        <w:tc>
          <w:tcPr>
            <w:tcW w:w="1260" w:type="dxa"/>
            <w:shd w:val="clear" w:color="auto" w:fill="auto"/>
          </w:tcPr>
          <w:p w:rsidR="001114AB" w:rsidRPr="00D94898" w:rsidRDefault="001114AB" w:rsidP="008E539B">
            <w:pPr>
              <w:pStyle w:val="Title"/>
              <w:rPr>
                <w:rFonts w:ascii="Arial" w:hAnsi="Arial" w:cs="Arial"/>
                <w:b w:val="0"/>
                <w:sz w:val="20"/>
              </w:rPr>
            </w:pPr>
          </w:p>
        </w:tc>
      </w:tr>
      <w:tr w:rsidR="00276F3A" w:rsidRPr="00D94898" w:rsidTr="00511DC9">
        <w:tc>
          <w:tcPr>
            <w:tcW w:w="648" w:type="dxa"/>
            <w:shd w:val="clear" w:color="auto" w:fill="auto"/>
          </w:tcPr>
          <w:p w:rsidR="001114AB" w:rsidRPr="00D94898" w:rsidRDefault="001114AB" w:rsidP="00127D79">
            <w:pPr>
              <w:pStyle w:val="Title"/>
              <w:jc w:val="both"/>
              <w:rPr>
                <w:rFonts w:ascii="Arial" w:hAnsi="Arial" w:cs="Arial"/>
                <w:b w:val="0"/>
                <w:sz w:val="20"/>
              </w:rPr>
            </w:pPr>
          </w:p>
        </w:tc>
        <w:tc>
          <w:tcPr>
            <w:tcW w:w="1530" w:type="dxa"/>
            <w:shd w:val="clear" w:color="auto" w:fill="auto"/>
          </w:tcPr>
          <w:p w:rsidR="001114AB" w:rsidRPr="00D94898" w:rsidRDefault="001114AB" w:rsidP="00127D79">
            <w:pPr>
              <w:pStyle w:val="Title"/>
              <w:jc w:val="both"/>
              <w:rPr>
                <w:rFonts w:ascii="Arial" w:hAnsi="Arial" w:cs="Arial"/>
                <w:b w:val="0"/>
                <w:sz w:val="20"/>
              </w:rPr>
            </w:pPr>
          </w:p>
        </w:tc>
        <w:tc>
          <w:tcPr>
            <w:tcW w:w="2070" w:type="dxa"/>
            <w:shd w:val="clear" w:color="auto" w:fill="auto"/>
          </w:tcPr>
          <w:p w:rsidR="001114AB" w:rsidRPr="00D94898" w:rsidRDefault="001114AB" w:rsidP="00127D79">
            <w:pPr>
              <w:pStyle w:val="Title"/>
              <w:jc w:val="both"/>
              <w:rPr>
                <w:rFonts w:ascii="Arial" w:hAnsi="Arial" w:cs="Arial"/>
                <w:b w:val="0"/>
                <w:sz w:val="20"/>
              </w:rPr>
            </w:pPr>
          </w:p>
        </w:tc>
        <w:tc>
          <w:tcPr>
            <w:tcW w:w="1530" w:type="dxa"/>
            <w:shd w:val="clear" w:color="auto" w:fill="auto"/>
          </w:tcPr>
          <w:p w:rsidR="001114AB" w:rsidRPr="00D94898" w:rsidRDefault="001114AB" w:rsidP="00127D79">
            <w:pPr>
              <w:pStyle w:val="Title"/>
              <w:jc w:val="both"/>
              <w:rPr>
                <w:rFonts w:ascii="Arial" w:hAnsi="Arial" w:cs="Arial"/>
                <w:b w:val="0"/>
                <w:sz w:val="20"/>
              </w:rPr>
            </w:pPr>
          </w:p>
        </w:tc>
        <w:tc>
          <w:tcPr>
            <w:tcW w:w="1530" w:type="dxa"/>
            <w:shd w:val="clear" w:color="auto" w:fill="auto"/>
          </w:tcPr>
          <w:p w:rsidR="001114AB" w:rsidRPr="00D94898" w:rsidRDefault="001114AB" w:rsidP="00127D79">
            <w:pPr>
              <w:pStyle w:val="Title"/>
              <w:jc w:val="both"/>
              <w:rPr>
                <w:rFonts w:ascii="Arial" w:hAnsi="Arial" w:cs="Arial"/>
                <w:b w:val="0"/>
                <w:sz w:val="20"/>
              </w:rPr>
            </w:pPr>
          </w:p>
        </w:tc>
        <w:tc>
          <w:tcPr>
            <w:tcW w:w="900" w:type="dxa"/>
            <w:shd w:val="clear" w:color="auto" w:fill="auto"/>
          </w:tcPr>
          <w:p w:rsidR="001114AB" w:rsidRPr="00D94898" w:rsidRDefault="001114AB" w:rsidP="00127D79">
            <w:pPr>
              <w:pStyle w:val="Title"/>
              <w:jc w:val="both"/>
              <w:rPr>
                <w:rFonts w:ascii="Arial" w:hAnsi="Arial" w:cs="Arial"/>
                <w:b w:val="0"/>
                <w:sz w:val="20"/>
              </w:rPr>
            </w:pPr>
          </w:p>
        </w:tc>
        <w:tc>
          <w:tcPr>
            <w:tcW w:w="810" w:type="dxa"/>
            <w:shd w:val="clear" w:color="auto" w:fill="auto"/>
          </w:tcPr>
          <w:p w:rsidR="001114AB" w:rsidRPr="00D94898" w:rsidRDefault="001114AB" w:rsidP="00127D79">
            <w:pPr>
              <w:pStyle w:val="Title"/>
              <w:jc w:val="both"/>
              <w:rPr>
                <w:rFonts w:ascii="Arial" w:hAnsi="Arial" w:cs="Arial"/>
                <w:b w:val="0"/>
                <w:sz w:val="20"/>
              </w:rPr>
            </w:pPr>
          </w:p>
        </w:tc>
        <w:tc>
          <w:tcPr>
            <w:tcW w:w="1530" w:type="dxa"/>
            <w:shd w:val="clear" w:color="auto" w:fill="auto"/>
          </w:tcPr>
          <w:p w:rsidR="001114AB" w:rsidRPr="00D94898" w:rsidRDefault="001114AB" w:rsidP="00127D79">
            <w:pPr>
              <w:pStyle w:val="Title"/>
              <w:jc w:val="both"/>
              <w:rPr>
                <w:rFonts w:ascii="Arial" w:hAnsi="Arial" w:cs="Arial"/>
                <w:b w:val="0"/>
                <w:sz w:val="20"/>
              </w:rPr>
            </w:pPr>
          </w:p>
        </w:tc>
        <w:tc>
          <w:tcPr>
            <w:tcW w:w="1890" w:type="dxa"/>
            <w:shd w:val="clear" w:color="auto" w:fill="auto"/>
          </w:tcPr>
          <w:p w:rsidR="001114AB" w:rsidRPr="00D94898" w:rsidRDefault="001114AB" w:rsidP="00127D79">
            <w:pPr>
              <w:pStyle w:val="Title"/>
              <w:jc w:val="both"/>
              <w:rPr>
                <w:rFonts w:ascii="Arial" w:hAnsi="Arial" w:cs="Arial"/>
                <w:b w:val="0"/>
                <w:sz w:val="20"/>
              </w:rPr>
            </w:pPr>
          </w:p>
        </w:tc>
        <w:tc>
          <w:tcPr>
            <w:tcW w:w="1260" w:type="dxa"/>
            <w:shd w:val="clear" w:color="auto" w:fill="auto"/>
          </w:tcPr>
          <w:p w:rsidR="001114AB" w:rsidRPr="00D94898" w:rsidRDefault="001114AB" w:rsidP="00127D79">
            <w:pPr>
              <w:pStyle w:val="Title"/>
              <w:jc w:val="both"/>
              <w:rPr>
                <w:rFonts w:ascii="Arial" w:hAnsi="Arial" w:cs="Arial"/>
                <w:b w:val="0"/>
                <w:sz w:val="20"/>
              </w:rPr>
            </w:pPr>
          </w:p>
        </w:tc>
      </w:tr>
      <w:tr w:rsidR="00276F3A" w:rsidRPr="00D94898" w:rsidTr="00511DC9">
        <w:tc>
          <w:tcPr>
            <w:tcW w:w="648" w:type="dxa"/>
            <w:shd w:val="clear" w:color="auto" w:fill="auto"/>
          </w:tcPr>
          <w:p w:rsidR="001114AB" w:rsidRPr="00D94898" w:rsidRDefault="001114AB" w:rsidP="00127D79">
            <w:pPr>
              <w:pStyle w:val="Title"/>
              <w:jc w:val="both"/>
              <w:rPr>
                <w:rFonts w:ascii="Arial" w:hAnsi="Arial" w:cs="Arial"/>
                <w:b w:val="0"/>
                <w:sz w:val="20"/>
              </w:rPr>
            </w:pPr>
          </w:p>
        </w:tc>
        <w:tc>
          <w:tcPr>
            <w:tcW w:w="1530" w:type="dxa"/>
            <w:shd w:val="clear" w:color="auto" w:fill="auto"/>
          </w:tcPr>
          <w:p w:rsidR="001114AB" w:rsidRPr="00D94898" w:rsidRDefault="001114AB" w:rsidP="00127D79">
            <w:pPr>
              <w:pStyle w:val="Title"/>
              <w:jc w:val="both"/>
              <w:rPr>
                <w:rFonts w:ascii="Arial" w:hAnsi="Arial" w:cs="Arial"/>
                <w:b w:val="0"/>
                <w:sz w:val="20"/>
              </w:rPr>
            </w:pPr>
          </w:p>
        </w:tc>
        <w:tc>
          <w:tcPr>
            <w:tcW w:w="2070" w:type="dxa"/>
            <w:shd w:val="clear" w:color="auto" w:fill="auto"/>
          </w:tcPr>
          <w:p w:rsidR="001114AB" w:rsidRPr="00D94898" w:rsidRDefault="001114AB" w:rsidP="00127D79">
            <w:pPr>
              <w:pStyle w:val="Title"/>
              <w:jc w:val="both"/>
              <w:rPr>
                <w:rFonts w:ascii="Arial" w:hAnsi="Arial" w:cs="Arial"/>
                <w:b w:val="0"/>
                <w:sz w:val="20"/>
              </w:rPr>
            </w:pPr>
          </w:p>
        </w:tc>
        <w:tc>
          <w:tcPr>
            <w:tcW w:w="1530" w:type="dxa"/>
            <w:shd w:val="clear" w:color="auto" w:fill="auto"/>
          </w:tcPr>
          <w:p w:rsidR="001114AB" w:rsidRPr="00D94898" w:rsidRDefault="001114AB" w:rsidP="00127D79">
            <w:pPr>
              <w:pStyle w:val="Title"/>
              <w:jc w:val="both"/>
              <w:rPr>
                <w:rFonts w:ascii="Arial" w:hAnsi="Arial" w:cs="Arial"/>
                <w:b w:val="0"/>
                <w:sz w:val="20"/>
              </w:rPr>
            </w:pPr>
          </w:p>
        </w:tc>
        <w:tc>
          <w:tcPr>
            <w:tcW w:w="1530" w:type="dxa"/>
            <w:shd w:val="clear" w:color="auto" w:fill="auto"/>
          </w:tcPr>
          <w:p w:rsidR="001114AB" w:rsidRPr="00D94898" w:rsidRDefault="001114AB" w:rsidP="00127D79">
            <w:pPr>
              <w:pStyle w:val="Title"/>
              <w:jc w:val="both"/>
              <w:rPr>
                <w:rFonts w:ascii="Arial" w:hAnsi="Arial" w:cs="Arial"/>
                <w:b w:val="0"/>
                <w:sz w:val="20"/>
              </w:rPr>
            </w:pPr>
          </w:p>
        </w:tc>
        <w:tc>
          <w:tcPr>
            <w:tcW w:w="900" w:type="dxa"/>
            <w:shd w:val="clear" w:color="auto" w:fill="auto"/>
          </w:tcPr>
          <w:p w:rsidR="001114AB" w:rsidRPr="00D94898" w:rsidRDefault="001114AB" w:rsidP="00127D79">
            <w:pPr>
              <w:pStyle w:val="Title"/>
              <w:jc w:val="both"/>
              <w:rPr>
                <w:rFonts w:ascii="Arial" w:hAnsi="Arial" w:cs="Arial"/>
                <w:b w:val="0"/>
                <w:sz w:val="20"/>
              </w:rPr>
            </w:pPr>
          </w:p>
        </w:tc>
        <w:tc>
          <w:tcPr>
            <w:tcW w:w="810" w:type="dxa"/>
            <w:shd w:val="clear" w:color="auto" w:fill="auto"/>
          </w:tcPr>
          <w:p w:rsidR="001114AB" w:rsidRPr="00D94898" w:rsidRDefault="001114AB" w:rsidP="00127D79">
            <w:pPr>
              <w:pStyle w:val="Title"/>
              <w:jc w:val="both"/>
              <w:rPr>
                <w:rFonts w:ascii="Arial" w:hAnsi="Arial" w:cs="Arial"/>
                <w:b w:val="0"/>
                <w:sz w:val="20"/>
              </w:rPr>
            </w:pPr>
          </w:p>
        </w:tc>
        <w:tc>
          <w:tcPr>
            <w:tcW w:w="1530" w:type="dxa"/>
            <w:shd w:val="clear" w:color="auto" w:fill="auto"/>
          </w:tcPr>
          <w:p w:rsidR="001114AB" w:rsidRPr="00D94898" w:rsidRDefault="001114AB" w:rsidP="00127D79">
            <w:pPr>
              <w:pStyle w:val="Title"/>
              <w:jc w:val="both"/>
              <w:rPr>
                <w:rFonts w:ascii="Arial" w:hAnsi="Arial" w:cs="Arial"/>
                <w:b w:val="0"/>
                <w:sz w:val="20"/>
              </w:rPr>
            </w:pPr>
          </w:p>
        </w:tc>
        <w:tc>
          <w:tcPr>
            <w:tcW w:w="1890" w:type="dxa"/>
            <w:shd w:val="clear" w:color="auto" w:fill="auto"/>
          </w:tcPr>
          <w:p w:rsidR="001114AB" w:rsidRPr="00D94898" w:rsidRDefault="001114AB" w:rsidP="00127D79">
            <w:pPr>
              <w:pStyle w:val="Title"/>
              <w:jc w:val="both"/>
              <w:rPr>
                <w:rFonts w:ascii="Arial" w:hAnsi="Arial" w:cs="Arial"/>
                <w:b w:val="0"/>
                <w:sz w:val="20"/>
              </w:rPr>
            </w:pPr>
          </w:p>
        </w:tc>
        <w:tc>
          <w:tcPr>
            <w:tcW w:w="1260" w:type="dxa"/>
            <w:shd w:val="clear" w:color="auto" w:fill="auto"/>
          </w:tcPr>
          <w:p w:rsidR="001114AB" w:rsidRPr="00D94898" w:rsidRDefault="001114AB" w:rsidP="00127D79">
            <w:pPr>
              <w:pStyle w:val="Title"/>
              <w:jc w:val="both"/>
              <w:rPr>
                <w:rFonts w:ascii="Arial" w:hAnsi="Arial" w:cs="Arial"/>
                <w:b w:val="0"/>
                <w:sz w:val="20"/>
              </w:rPr>
            </w:pPr>
          </w:p>
        </w:tc>
      </w:tr>
      <w:tr w:rsidR="00797B57" w:rsidRPr="00D94898" w:rsidTr="00511DC9">
        <w:tc>
          <w:tcPr>
            <w:tcW w:w="648" w:type="dxa"/>
            <w:shd w:val="clear" w:color="auto" w:fill="auto"/>
          </w:tcPr>
          <w:p w:rsidR="00797B57" w:rsidRPr="00D94898" w:rsidRDefault="00797B57" w:rsidP="00127D79">
            <w:pPr>
              <w:pStyle w:val="Title"/>
              <w:jc w:val="both"/>
              <w:rPr>
                <w:rFonts w:ascii="Arial" w:hAnsi="Arial" w:cs="Arial"/>
                <w:b w:val="0"/>
                <w:sz w:val="20"/>
              </w:rPr>
            </w:pPr>
          </w:p>
        </w:tc>
        <w:tc>
          <w:tcPr>
            <w:tcW w:w="1530" w:type="dxa"/>
            <w:shd w:val="clear" w:color="auto" w:fill="auto"/>
          </w:tcPr>
          <w:p w:rsidR="00797B57" w:rsidRPr="00D94898" w:rsidRDefault="00797B57" w:rsidP="00127D79">
            <w:pPr>
              <w:pStyle w:val="Title"/>
              <w:jc w:val="both"/>
              <w:rPr>
                <w:rFonts w:ascii="Arial" w:hAnsi="Arial" w:cs="Arial"/>
                <w:b w:val="0"/>
                <w:sz w:val="20"/>
              </w:rPr>
            </w:pPr>
          </w:p>
        </w:tc>
        <w:tc>
          <w:tcPr>
            <w:tcW w:w="2070" w:type="dxa"/>
            <w:shd w:val="clear" w:color="auto" w:fill="auto"/>
          </w:tcPr>
          <w:p w:rsidR="00797B57" w:rsidRPr="00D94898" w:rsidRDefault="00797B57" w:rsidP="00127D79">
            <w:pPr>
              <w:pStyle w:val="Title"/>
              <w:jc w:val="both"/>
              <w:rPr>
                <w:rFonts w:ascii="Arial" w:hAnsi="Arial" w:cs="Arial"/>
                <w:b w:val="0"/>
                <w:sz w:val="20"/>
              </w:rPr>
            </w:pPr>
          </w:p>
        </w:tc>
        <w:tc>
          <w:tcPr>
            <w:tcW w:w="1530" w:type="dxa"/>
            <w:shd w:val="clear" w:color="auto" w:fill="auto"/>
          </w:tcPr>
          <w:p w:rsidR="00797B57" w:rsidRPr="00D94898" w:rsidRDefault="00797B57" w:rsidP="00127D79">
            <w:pPr>
              <w:pStyle w:val="Title"/>
              <w:jc w:val="both"/>
              <w:rPr>
                <w:rFonts w:ascii="Arial" w:hAnsi="Arial" w:cs="Arial"/>
                <w:b w:val="0"/>
                <w:sz w:val="20"/>
              </w:rPr>
            </w:pPr>
          </w:p>
        </w:tc>
        <w:tc>
          <w:tcPr>
            <w:tcW w:w="1530" w:type="dxa"/>
            <w:shd w:val="clear" w:color="auto" w:fill="auto"/>
          </w:tcPr>
          <w:p w:rsidR="00797B57" w:rsidRPr="00D94898" w:rsidRDefault="00797B57" w:rsidP="00127D79">
            <w:pPr>
              <w:pStyle w:val="Title"/>
              <w:jc w:val="both"/>
              <w:rPr>
                <w:rFonts w:ascii="Arial" w:hAnsi="Arial" w:cs="Arial"/>
                <w:b w:val="0"/>
                <w:sz w:val="20"/>
              </w:rPr>
            </w:pPr>
          </w:p>
        </w:tc>
        <w:tc>
          <w:tcPr>
            <w:tcW w:w="900" w:type="dxa"/>
            <w:shd w:val="clear" w:color="auto" w:fill="auto"/>
          </w:tcPr>
          <w:p w:rsidR="00797B57" w:rsidRPr="00D94898" w:rsidRDefault="00797B57" w:rsidP="00127D79">
            <w:pPr>
              <w:pStyle w:val="Title"/>
              <w:jc w:val="both"/>
              <w:rPr>
                <w:rFonts w:ascii="Arial" w:hAnsi="Arial" w:cs="Arial"/>
                <w:b w:val="0"/>
                <w:sz w:val="20"/>
              </w:rPr>
            </w:pPr>
          </w:p>
        </w:tc>
        <w:tc>
          <w:tcPr>
            <w:tcW w:w="810" w:type="dxa"/>
            <w:shd w:val="clear" w:color="auto" w:fill="auto"/>
          </w:tcPr>
          <w:p w:rsidR="00797B57" w:rsidRPr="00D94898" w:rsidRDefault="00797B57" w:rsidP="00127D79">
            <w:pPr>
              <w:pStyle w:val="Title"/>
              <w:jc w:val="both"/>
              <w:rPr>
                <w:rFonts w:ascii="Arial" w:hAnsi="Arial" w:cs="Arial"/>
                <w:b w:val="0"/>
                <w:sz w:val="20"/>
              </w:rPr>
            </w:pPr>
          </w:p>
        </w:tc>
        <w:tc>
          <w:tcPr>
            <w:tcW w:w="1530" w:type="dxa"/>
            <w:shd w:val="clear" w:color="auto" w:fill="auto"/>
          </w:tcPr>
          <w:p w:rsidR="00797B57" w:rsidRPr="00D94898" w:rsidRDefault="00797B57" w:rsidP="00127D79">
            <w:pPr>
              <w:pStyle w:val="Title"/>
              <w:jc w:val="both"/>
              <w:rPr>
                <w:rFonts w:ascii="Arial" w:hAnsi="Arial" w:cs="Arial"/>
                <w:b w:val="0"/>
                <w:sz w:val="20"/>
              </w:rPr>
            </w:pPr>
          </w:p>
        </w:tc>
        <w:tc>
          <w:tcPr>
            <w:tcW w:w="1890" w:type="dxa"/>
            <w:shd w:val="clear" w:color="auto" w:fill="auto"/>
          </w:tcPr>
          <w:p w:rsidR="00797B57" w:rsidRPr="00D94898" w:rsidRDefault="00797B57" w:rsidP="00127D79">
            <w:pPr>
              <w:pStyle w:val="Title"/>
              <w:jc w:val="both"/>
              <w:rPr>
                <w:rFonts w:ascii="Arial" w:hAnsi="Arial" w:cs="Arial"/>
                <w:b w:val="0"/>
                <w:sz w:val="20"/>
              </w:rPr>
            </w:pPr>
          </w:p>
        </w:tc>
        <w:tc>
          <w:tcPr>
            <w:tcW w:w="1260" w:type="dxa"/>
            <w:shd w:val="clear" w:color="auto" w:fill="auto"/>
          </w:tcPr>
          <w:p w:rsidR="00797B57" w:rsidRPr="00D94898" w:rsidRDefault="00797B57" w:rsidP="00127D79">
            <w:pPr>
              <w:pStyle w:val="Title"/>
              <w:jc w:val="both"/>
              <w:rPr>
                <w:rFonts w:ascii="Arial" w:hAnsi="Arial" w:cs="Arial"/>
                <w:b w:val="0"/>
                <w:sz w:val="20"/>
              </w:rPr>
            </w:pPr>
          </w:p>
        </w:tc>
      </w:tr>
      <w:tr w:rsidR="00797B57" w:rsidRPr="00D94898" w:rsidTr="00511DC9">
        <w:tc>
          <w:tcPr>
            <w:tcW w:w="648" w:type="dxa"/>
            <w:shd w:val="clear" w:color="auto" w:fill="auto"/>
          </w:tcPr>
          <w:p w:rsidR="00797B57" w:rsidRPr="00D94898" w:rsidRDefault="00797B57" w:rsidP="00127D79">
            <w:pPr>
              <w:pStyle w:val="Title"/>
              <w:jc w:val="both"/>
              <w:rPr>
                <w:rFonts w:ascii="Arial" w:hAnsi="Arial" w:cs="Arial"/>
                <w:b w:val="0"/>
                <w:sz w:val="20"/>
              </w:rPr>
            </w:pPr>
          </w:p>
        </w:tc>
        <w:tc>
          <w:tcPr>
            <w:tcW w:w="1530" w:type="dxa"/>
            <w:shd w:val="clear" w:color="auto" w:fill="auto"/>
          </w:tcPr>
          <w:p w:rsidR="00797B57" w:rsidRPr="00D94898" w:rsidRDefault="00797B57" w:rsidP="00127D79">
            <w:pPr>
              <w:pStyle w:val="Title"/>
              <w:jc w:val="both"/>
              <w:rPr>
                <w:rFonts w:ascii="Arial" w:hAnsi="Arial" w:cs="Arial"/>
                <w:b w:val="0"/>
                <w:sz w:val="20"/>
              </w:rPr>
            </w:pPr>
          </w:p>
        </w:tc>
        <w:tc>
          <w:tcPr>
            <w:tcW w:w="2070" w:type="dxa"/>
            <w:shd w:val="clear" w:color="auto" w:fill="auto"/>
          </w:tcPr>
          <w:p w:rsidR="00797B57" w:rsidRPr="00D94898" w:rsidRDefault="00797B57" w:rsidP="00127D79">
            <w:pPr>
              <w:pStyle w:val="Title"/>
              <w:jc w:val="both"/>
              <w:rPr>
                <w:rFonts w:ascii="Arial" w:hAnsi="Arial" w:cs="Arial"/>
                <w:b w:val="0"/>
                <w:sz w:val="20"/>
              </w:rPr>
            </w:pPr>
          </w:p>
        </w:tc>
        <w:tc>
          <w:tcPr>
            <w:tcW w:w="1530" w:type="dxa"/>
            <w:shd w:val="clear" w:color="auto" w:fill="auto"/>
          </w:tcPr>
          <w:p w:rsidR="00797B57" w:rsidRPr="00D94898" w:rsidRDefault="00797B57" w:rsidP="00127D79">
            <w:pPr>
              <w:pStyle w:val="Title"/>
              <w:jc w:val="both"/>
              <w:rPr>
                <w:rFonts w:ascii="Arial" w:hAnsi="Arial" w:cs="Arial"/>
                <w:b w:val="0"/>
                <w:sz w:val="20"/>
              </w:rPr>
            </w:pPr>
          </w:p>
        </w:tc>
        <w:tc>
          <w:tcPr>
            <w:tcW w:w="1530" w:type="dxa"/>
            <w:shd w:val="clear" w:color="auto" w:fill="auto"/>
          </w:tcPr>
          <w:p w:rsidR="00797B57" w:rsidRPr="00D94898" w:rsidRDefault="00797B57" w:rsidP="00127D79">
            <w:pPr>
              <w:pStyle w:val="Title"/>
              <w:jc w:val="both"/>
              <w:rPr>
                <w:rFonts w:ascii="Arial" w:hAnsi="Arial" w:cs="Arial"/>
                <w:b w:val="0"/>
                <w:sz w:val="20"/>
              </w:rPr>
            </w:pPr>
          </w:p>
        </w:tc>
        <w:tc>
          <w:tcPr>
            <w:tcW w:w="900" w:type="dxa"/>
            <w:shd w:val="clear" w:color="auto" w:fill="auto"/>
          </w:tcPr>
          <w:p w:rsidR="00797B57" w:rsidRPr="00D94898" w:rsidRDefault="00797B57" w:rsidP="00127D79">
            <w:pPr>
              <w:pStyle w:val="Title"/>
              <w:jc w:val="both"/>
              <w:rPr>
                <w:rFonts w:ascii="Arial" w:hAnsi="Arial" w:cs="Arial"/>
                <w:b w:val="0"/>
                <w:sz w:val="20"/>
              </w:rPr>
            </w:pPr>
          </w:p>
        </w:tc>
        <w:tc>
          <w:tcPr>
            <w:tcW w:w="810" w:type="dxa"/>
            <w:shd w:val="clear" w:color="auto" w:fill="auto"/>
          </w:tcPr>
          <w:p w:rsidR="00797B57" w:rsidRPr="00D94898" w:rsidRDefault="00797B57" w:rsidP="00127D79">
            <w:pPr>
              <w:pStyle w:val="Title"/>
              <w:jc w:val="both"/>
              <w:rPr>
                <w:rFonts w:ascii="Arial" w:hAnsi="Arial" w:cs="Arial"/>
                <w:b w:val="0"/>
                <w:sz w:val="20"/>
              </w:rPr>
            </w:pPr>
          </w:p>
        </w:tc>
        <w:tc>
          <w:tcPr>
            <w:tcW w:w="1530" w:type="dxa"/>
            <w:shd w:val="clear" w:color="auto" w:fill="auto"/>
          </w:tcPr>
          <w:p w:rsidR="00797B57" w:rsidRPr="00D94898" w:rsidRDefault="00797B57" w:rsidP="00127D79">
            <w:pPr>
              <w:pStyle w:val="Title"/>
              <w:jc w:val="both"/>
              <w:rPr>
                <w:rFonts w:ascii="Arial" w:hAnsi="Arial" w:cs="Arial"/>
                <w:b w:val="0"/>
                <w:sz w:val="20"/>
              </w:rPr>
            </w:pPr>
          </w:p>
        </w:tc>
        <w:tc>
          <w:tcPr>
            <w:tcW w:w="1890" w:type="dxa"/>
            <w:shd w:val="clear" w:color="auto" w:fill="auto"/>
          </w:tcPr>
          <w:p w:rsidR="00797B57" w:rsidRPr="00D94898" w:rsidRDefault="00797B57" w:rsidP="00127D79">
            <w:pPr>
              <w:pStyle w:val="Title"/>
              <w:jc w:val="both"/>
              <w:rPr>
                <w:rFonts w:ascii="Arial" w:hAnsi="Arial" w:cs="Arial"/>
                <w:b w:val="0"/>
                <w:sz w:val="20"/>
              </w:rPr>
            </w:pPr>
          </w:p>
        </w:tc>
        <w:tc>
          <w:tcPr>
            <w:tcW w:w="1260" w:type="dxa"/>
            <w:shd w:val="clear" w:color="auto" w:fill="auto"/>
          </w:tcPr>
          <w:p w:rsidR="00797B57" w:rsidRPr="00D94898" w:rsidRDefault="00797B57" w:rsidP="00127D79">
            <w:pPr>
              <w:pStyle w:val="Title"/>
              <w:jc w:val="both"/>
              <w:rPr>
                <w:rFonts w:ascii="Arial" w:hAnsi="Arial" w:cs="Arial"/>
                <w:b w:val="0"/>
                <w:sz w:val="20"/>
              </w:rPr>
            </w:pPr>
          </w:p>
        </w:tc>
      </w:tr>
    </w:tbl>
    <w:p w:rsidR="00797B57" w:rsidRPr="00D94898" w:rsidRDefault="00797B57" w:rsidP="00127D79">
      <w:pPr>
        <w:pStyle w:val="Title"/>
        <w:jc w:val="both"/>
        <w:rPr>
          <w:rFonts w:ascii="Arial" w:hAnsi="Arial" w:cs="Arial"/>
          <w:b w:val="0"/>
          <w:sz w:val="20"/>
        </w:rPr>
      </w:pPr>
    </w:p>
    <w:p w:rsidR="00797B57" w:rsidRPr="00D94898" w:rsidRDefault="00797B57" w:rsidP="00127D79">
      <w:pPr>
        <w:pStyle w:val="Title"/>
        <w:jc w:val="both"/>
        <w:rPr>
          <w:rFonts w:ascii="Arial" w:hAnsi="Arial" w:cs="Arial"/>
          <w:b w:val="0"/>
          <w:sz w:val="20"/>
        </w:rPr>
      </w:pPr>
    </w:p>
    <w:p w:rsidR="001114AB" w:rsidRPr="00D94898" w:rsidRDefault="001114AB" w:rsidP="00127D79">
      <w:pPr>
        <w:pStyle w:val="Title"/>
        <w:jc w:val="both"/>
        <w:rPr>
          <w:rFonts w:ascii="Arial" w:hAnsi="Arial" w:cs="Arial"/>
          <w:b w:val="0"/>
          <w:sz w:val="22"/>
          <w:szCs w:val="22"/>
        </w:rPr>
      </w:pPr>
      <w:r w:rsidRPr="00D94898">
        <w:rPr>
          <w:rFonts w:ascii="Arial" w:hAnsi="Arial" w:cs="Arial"/>
          <w:b w:val="0"/>
          <w:sz w:val="22"/>
          <w:szCs w:val="22"/>
        </w:rPr>
        <w:t>Agency sign-off:</w:t>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r w:rsidRPr="00D94898">
        <w:rPr>
          <w:rFonts w:ascii="Arial" w:hAnsi="Arial" w:cs="Arial"/>
          <w:b w:val="0"/>
          <w:sz w:val="22"/>
          <w:szCs w:val="22"/>
        </w:rPr>
        <w:tab/>
      </w:r>
    </w:p>
    <w:p w:rsidR="001114AB" w:rsidRPr="00D94898" w:rsidRDefault="001114AB" w:rsidP="00127D79">
      <w:pPr>
        <w:pStyle w:val="Title"/>
        <w:jc w:val="both"/>
        <w:rPr>
          <w:rFonts w:ascii="Arial" w:hAnsi="Arial" w:cs="Arial"/>
          <w:b w:val="0"/>
          <w:sz w:val="22"/>
          <w:szCs w:val="22"/>
        </w:rPr>
      </w:pPr>
    </w:p>
    <w:p w:rsidR="00797B57" w:rsidRPr="00D94898" w:rsidRDefault="00797B57" w:rsidP="00127D79">
      <w:pPr>
        <w:pStyle w:val="Title"/>
        <w:jc w:val="both"/>
        <w:rPr>
          <w:rFonts w:ascii="Arial" w:hAnsi="Arial" w:cs="Arial"/>
          <w:b w:val="0"/>
          <w:sz w:val="22"/>
          <w:szCs w:val="22"/>
        </w:rPr>
      </w:pPr>
    </w:p>
    <w:p w:rsidR="001114AB" w:rsidRPr="00D94898" w:rsidRDefault="001114AB" w:rsidP="008E539B">
      <w:pPr>
        <w:pStyle w:val="Title"/>
        <w:jc w:val="left"/>
        <w:rPr>
          <w:rFonts w:ascii="Arial" w:hAnsi="Arial" w:cs="Arial"/>
          <w:b w:val="0"/>
          <w:sz w:val="22"/>
          <w:szCs w:val="22"/>
        </w:rPr>
      </w:pPr>
      <w:r w:rsidRPr="00D94898">
        <w:rPr>
          <w:rFonts w:ascii="Arial" w:hAnsi="Arial" w:cs="Arial"/>
          <w:b w:val="0"/>
          <w:sz w:val="22"/>
          <w:szCs w:val="22"/>
        </w:rPr>
        <w:t>_________________________________      ____________________</w:t>
      </w:r>
    </w:p>
    <w:p w:rsidR="001114AB" w:rsidRPr="00D94898" w:rsidRDefault="001114AB" w:rsidP="00127D79">
      <w:pPr>
        <w:pStyle w:val="Title"/>
        <w:jc w:val="both"/>
        <w:rPr>
          <w:rFonts w:ascii="Arial" w:hAnsi="Arial" w:cs="Arial"/>
          <w:b w:val="0"/>
          <w:sz w:val="22"/>
          <w:szCs w:val="22"/>
        </w:rPr>
      </w:pPr>
      <w:r w:rsidRPr="00D94898">
        <w:rPr>
          <w:rFonts w:ascii="Arial" w:hAnsi="Arial" w:cs="Arial"/>
          <w:b w:val="0"/>
          <w:sz w:val="22"/>
          <w:szCs w:val="22"/>
        </w:rPr>
        <w:t xml:space="preserve">  Name and Position of Agency Officer                           Date                                                                                                                                            </w:t>
      </w:r>
    </w:p>
    <w:p w:rsidR="001114AB" w:rsidRPr="00D94898" w:rsidRDefault="001114AB" w:rsidP="00127D79">
      <w:pPr>
        <w:pStyle w:val="Title"/>
        <w:jc w:val="both"/>
        <w:rPr>
          <w:rFonts w:ascii="Arial" w:hAnsi="Arial" w:cs="Arial"/>
          <w:b w:val="0"/>
          <w:sz w:val="22"/>
          <w:szCs w:val="22"/>
        </w:rPr>
      </w:pPr>
    </w:p>
    <w:p w:rsidR="00797B57" w:rsidRPr="00D94898" w:rsidRDefault="00797B57" w:rsidP="00127D79">
      <w:pPr>
        <w:pStyle w:val="Title"/>
        <w:tabs>
          <w:tab w:val="left" w:pos="7200"/>
        </w:tabs>
        <w:jc w:val="both"/>
        <w:rPr>
          <w:rFonts w:ascii="Arial" w:hAnsi="Arial" w:cs="Arial"/>
          <w:b w:val="0"/>
          <w:sz w:val="22"/>
          <w:szCs w:val="22"/>
        </w:rPr>
      </w:pPr>
    </w:p>
    <w:p w:rsidR="00643EDE" w:rsidRDefault="001114AB" w:rsidP="00127D79">
      <w:pPr>
        <w:pStyle w:val="Title"/>
        <w:jc w:val="both"/>
        <w:rPr>
          <w:rFonts w:ascii="Arial" w:hAnsi="Arial" w:cs="Arial"/>
          <w:sz w:val="22"/>
          <w:szCs w:val="22"/>
        </w:rPr>
      </w:pPr>
      <w:r w:rsidRPr="00D94898">
        <w:rPr>
          <w:rFonts w:ascii="Arial" w:hAnsi="Arial" w:cs="Arial"/>
          <w:b w:val="0"/>
          <w:sz w:val="22"/>
          <w:szCs w:val="22"/>
        </w:rPr>
        <w:t>Note:  Status of Implementation may either be (a) Fully Implemented (FI,  (b)  Ongoing (O),  (c) Not Implemented (NI),  (d) Partially Implemented (PI), or  (e)  Delayed (D)</w:t>
      </w:r>
      <w:r w:rsidR="00DD6D10" w:rsidRPr="00D94898">
        <w:rPr>
          <w:rFonts w:ascii="Arial" w:hAnsi="Arial" w:cs="Arial"/>
          <w:sz w:val="22"/>
          <w:szCs w:val="22"/>
        </w:rPr>
        <w:t xml:space="preserve">                                                   </w:t>
      </w:r>
    </w:p>
    <w:p w:rsidR="00643EDE" w:rsidRDefault="00643EDE" w:rsidP="00127D79">
      <w:pPr>
        <w:pStyle w:val="Title"/>
        <w:jc w:val="both"/>
        <w:rPr>
          <w:rFonts w:ascii="Arial" w:hAnsi="Arial" w:cs="Arial"/>
          <w:sz w:val="22"/>
          <w:szCs w:val="22"/>
        </w:rPr>
      </w:pPr>
    </w:p>
    <w:p w:rsidR="00643EDE" w:rsidRDefault="00643EDE" w:rsidP="00127D79">
      <w:pPr>
        <w:pStyle w:val="Title"/>
        <w:jc w:val="both"/>
        <w:rPr>
          <w:rFonts w:ascii="Arial" w:hAnsi="Arial" w:cs="Arial"/>
          <w:sz w:val="22"/>
          <w:szCs w:val="22"/>
        </w:rPr>
      </w:pPr>
    </w:p>
    <w:p w:rsidR="00643EDE" w:rsidRDefault="00643EDE" w:rsidP="00127D79">
      <w:pPr>
        <w:pStyle w:val="Title"/>
        <w:jc w:val="both"/>
        <w:rPr>
          <w:rFonts w:ascii="Arial" w:hAnsi="Arial" w:cs="Arial"/>
          <w:sz w:val="22"/>
          <w:szCs w:val="22"/>
        </w:rPr>
      </w:pPr>
    </w:p>
    <w:p w:rsidR="00643EDE" w:rsidRDefault="00643EDE" w:rsidP="00127D79">
      <w:pPr>
        <w:pStyle w:val="Title"/>
        <w:jc w:val="both"/>
        <w:rPr>
          <w:rFonts w:ascii="Arial" w:hAnsi="Arial" w:cs="Arial"/>
          <w:sz w:val="22"/>
          <w:szCs w:val="22"/>
        </w:rPr>
      </w:pPr>
    </w:p>
    <w:sectPr w:rsidR="00643EDE" w:rsidSect="00D94EA6">
      <w:pgSz w:w="15840" w:h="12240" w:orient="landscape" w:code="1"/>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35" w:rsidRDefault="00A86B35" w:rsidP="00861F70">
      <w:r>
        <w:separator/>
      </w:r>
    </w:p>
  </w:endnote>
  <w:endnote w:type="continuationSeparator" w:id="0">
    <w:p w:rsidR="00A86B35" w:rsidRDefault="00A86B35" w:rsidP="008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35" w:rsidRDefault="00A86B35" w:rsidP="00861F70">
      <w:r>
        <w:separator/>
      </w:r>
    </w:p>
  </w:footnote>
  <w:footnote w:type="continuationSeparator" w:id="0">
    <w:p w:rsidR="00A86B35" w:rsidRDefault="00A86B35" w:rsidP="00861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lowerLetter"/>
      <w:lvlText w:val="%1."/>
      <w:lvlJc w:val="left"/>
      <w:pPr>
        <w:tabs>
          <w:tab w:val="num" w:pos="-360"/>
        </w:tabs>
        <w:ind w:left="720" w:hanging="360"/>
      </w:pPr>
      <w:rPr>
        <w:rFonts w:hint="default"/>
      </w:rPr>
    </w:lvl>
  </w:abstractNum>
  <w:abstractNum w:abstractNumId="1">
    <w:nsid w:val="00000006"/>
    <w:multiLevelType w:val="multilevel"/>
    <w:tmpl w:val="00000006"/>
    <w:name w:val="WW8Num2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1.%2"/>
      <w:lvlJc w:val="left"/>
      <w:pPr>
        <w:tabs>
          <w:tab w:val="num" w:pos="720"/>
        </w:tabs>
        <w:ind w:left="720" w:hanging="360"/>
      </w:pPr>
      <w:rPr>
        <w:rFonts w:ascii="Arial" w:hAnsi="Arial" w:cs="Arial" w:hint="default"/>
        <w:sz w:val="22"/>
        <w:szCs w:val="22"/>
      </w:rPr>
    </w:lvl>
    <w:lvl w:ilvl="2">
      <w:start w:val="1"/>
      <w:numFmt w:val="decimal"/>
      <w:lvlText w:val="%1.%2.%3"/>
      <w:lvlJc w:val="left"/>
      <w:pPr>
        <w:tabs>
          <w:tab w:val="num" w:pos="0"/>
        </w:tabs>
        <w:ind w:left="1080" w:hanging="720"/>
      </w:pPr>
      <w:rPr>
        <w:rFonts w:ascii="Arial" w:hAnsi="Arial" w:cs="Arial" w:hint="default"/>
        <w:sz w:val="22"/>
        <w:szCs w:val="22"/>
      </w:rPr>
    </w:lvl>
    <w:lvl w:ilvl="3">
      <w:start w:val="1"/>
      <w:numFmt w:val="decimal"/>
      <w:lvlText w:val="%1.%2.%3.%4"/>
      <w:lvlJc w:val="left"/>
      <w:pPr>
        <w:tabs>
          <w:tab w:val="num" w:pos="0"/>
        </w:tabs>
        <w:ind w:left="1080" w:hanging="720"/>
      </w:pPr>
      <w:rPr>
        <w:rFonts w:ascii="Arial" w:hAnsi="Arial" w:cs="Arial" w:hint="default"/>
        <w:sz w:val="22"/>
        <w:szCs w:val="22"/>
      </w:rPr>
    </w:lvl>
    <w:lvl w:ilvl="4">
      <w:start w:val="1"/>
      <w:numFmt w:val="decimal"/>
      <w:lvlText w:val="%1.%2.%3.%4.%5"/>
      <w:lvlJc w:val="left"/>
      <w:pPr>
        <w:tabs>
          <w:tab w:val="num" w:pos="0"/>
        </w:tabs>
        <w:ind w:left="1440" w:hanging="1080"/>
      </w:pPr>
      <w:rPr>
        <w:rFonts w:ascii="Arial" w:hAnsi="Arial" w:cs="Arial" w:hint="default"/>
        <w:sz w:val="22"/>
        <w:szCs w:val="22"/>
      </w:rPr>
    </w:lvl>
    <w:lvl w:ilvl="5">
      <w:start w:val="1"/>
      <w:numFmt w:val="decimal"/>
      <w:lvlText w:val="%1.%2.%3.%4.%5.%6"/>
      <w:lvlJc w:val="left"/>
      <w:pPr>
        <w:tabs>
          <w:tab w:val="num" w:pos="0"/>
        </w:tabs>
        <w:ind w:left="1440" w:hanging="1080"/>
      </w:pPr>
      <w:rPr>
        <w:rFonts w:ascii="Arial" w:hAnsi="Arial" w:cs="Arial" w:hint="default"/>
        <w:sz w:val="22"/>
        <w:szCs w:val="22"/>
      </w:rPr>
    </w:lvl>
    <w:lvl w:ilvl="6">
      <w:start w:val="1"/>
      <w:numFmt w:val="decimal"/>
      <w:lvlText w:val="%1.%2.%3.%4.%5.%6.%7"/>
      <w:lvlJc w:val="left"/>
      <w:pPr>
        <w:tabs>
          <w:tab w:val="num" w:pos="0"/>
        </w:tabs>
        <w:ind w:left="1800" w:hanging="1440"/>
      </w:pPr>
      <w:rPr>
        <w:rFonts w:ascii="Arial" w:hAnsi="Arial" w:cs="Arial" w:hint="default"/>
        <w:sz w:val="22"/>
        <w:szCs w:val="22"/>
      </w:rPr>
    </w:lvl>
    <w:lvl w:ilvl="7">
      <w:start w:val="1"/>
      <w:numFmt w:val="decimal"/>
      <w:lvlText w:val="%1.%2.%3.%4.%5.%6.%7.%8"/>
      <w:lvlJc w:val="left"/>
      <w:pPr>
        <w:tabs>
          <w:tab w:val="num" w:pos="0"/>
        </w:tabs>
        <w:ind w:left="1800" w:hanging="1440"/>
      </w:pPr>
      <w:rPr>
        <w:rFonts w:ascii="Arial" w:hAnsi="Arial" w:cs="Arial" w:hint="default"/>
        <w:sz w:val="22"/>
        <w:szCs w:val="22"/>
      </w:rPr>
    </w:lvl>
    <w:lvl w:ilvl="8">
      <w:start w:val="1"/>
      <w:numFmt w:val="decimal"/>
      <w:lvlText w:val="%1.%2.%3.%4.%5.%6.%7.%8.%9"/>
      <w:lvlJc w:val="left"/>
      <w:pPr>
        <w:tabs>
          <w:tab w:val="num" w:pos="0"/>
        </w:tabs>
        <w:ind w:left="2160" w:hanging="1800"/>
      </w:pPr>
      <w:rPr>
        <w:rFonts w:ascii="Arial" w:hAnsi="Arial" w:cs="Arial" w:hint="default"/>
        <w:sz w:val="22"/>
        <w:szCs w:val="22"/>
      </w:rPr>
    </w:lvl>
  </w:abstractNum>
  <w:abstractNum w:abstractNumId="2">
    <w:nsid w:val="00000008"/>
    <w:multiLevelType w:val="singleLevel"/>
    <w:tmpl w:val="00000008"/>
    <w:name w:val="WW8Num3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nsid w:val="0000000A"/>
    <w:multiLevelType w:val="singleLevel"/>
    <w:tmpl w:val="0000000A"/>
    <w:name w:val="WW8Num46"/>
    <w:lvl w:ilvl="0">
      <w:start w:val="1"/>
      <w:numFmt w:val="lowerLetter"/>
      <w:lvlText w:val="%1."/>
      <w:lvlJc w:val="left"/>
      <w:pPr>
        <w:tabs>
          <w:tab w:val="num" w:pos="0"/>
        </w:tabs>
        <w:ind w:left="1080" w:hanging="360"/>
      </w:pPr>
      <w:rPr>
        <w:rFonts w:ascii="Arial" w:hAnsi="Arial" w:cs="Arial" w:hint="default"/>
        <w:b w:val="0"/>
      </w:rPr>
    </w:lvl>
  </w:abstractNum>
  <w:abstractNum w:abstractNumId="4">
    <w:nsid w:val="0000000B"/>
    <w:multiLevelType w:val="singleLevel"/>
    <w:tmpl w:val="0000000B"/>
    <w:name w:val="WW8Num48"/>
    <w:lvl w:ilvl="0">
      <w:start w:val="1"/>
      <w:numFmt w:val="lowerRoman"/>
      <w:lvlText w:val="%1."/>
      <w:lvlJc w:val="left"/>
      <w:pPr>
        <w:tabs>
          <w:tab w:val="num" w:pos="0"/>
        </w:tabs>
        <w:ind w:left="2160" w:hanging="720"/>
      </w:pPr>
      <w:rPr>
        <w:rFonts w:ascii="Arial" w:hAnsi="Arial" w:cs="Arial" w:hint="default"/>
        <w:sz w:val="22"/>
        <w:szCs w:val="22"/>
      </w:rPr>
    </w:lvl>
  </w:abstractNum>
  <w:abstractNum w:abstractNumId="5">
    <w:nsid w:val="0000000C"/>
    <w:multiLevelType w:val="singleLevel"/>
    <w:tmpl w:val="0000000C"/>
    <w:name w:val="WW8Num52"/>
    <w:lvl w:ilvl="0">
      <w:start w:val="1"/>
      <w:numFmt w:val="lowerLetter"/>
      <w:lvlText w:val="%1."/>
      <w:lvlJc w:val="left"/>
      <w:pPr>
        <w:tabs>
          <w:tab w:val="num" w:pos="0"/>
        </w:tabs>
        <w:ind w:left="2520" w:hanging="360"/>
      </w:pPr>
      <w:rPr>
        <w:rFonts w:ascii="Arial" w:hAnsi="Arial" w:cs="Arial" w:hint="default"/>
        <w:sz w:val="22"/>
        <w:szCs w:val="22"/>
      </w:rPr>
    </w:lvl>
  </w:abstractNum>
  <w:abstractNum w:abstractNumId="6">
    <w:nsid w:val="0000000D"/>
    <w:multiLevelType w:val="singleLevel"/>
    <w:tmpl w:val="0000000D"/>
    <w:name w:val="WW8Num56"/>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7">
    <w:nsid w:val="020C22C2"/>
    <w:multiLevelType w:val="hybridMultilevel"/>
    <w:tmpl w:val="76B6C24E"/>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0A20249A"/>
    <w:multiLevelType w:val="multilevel"/>
    <w:tmpl w:val="F022FC7E"/>
    <w:lvl w:ilvl="0">
      <w:start w:val="3"/>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EE527AB"/>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70785C"/>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350CA8"/>
    <w:multiLevelType w:val="hybridMultilevel"/>
    <w:tmpl w:val="68FAB188"/>
    <w:lvl w:ilvl="0" w:tplc="A3765B72">
      <w:start w:val="1"/>
      <w:numFmt w:val="decimal"/>
      <w:lvlText w:val="1.%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8FF26C8"/>
    <w:multiLevelType w:val="hybridMultilevel"/>
    <w:tmpl w:val="76B6C24E"/>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CE41B69"/>
    <w:multiLevelType w:val="hybridMultilevel"/>
    <w:tmpl w:val="76B6C24E"/>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0E24472"/>
    <w:multiLevelType w:val="hybridMultilevel"/>
    <w:tmpl w:val="76B6C24E"/>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5FD2656"/>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B144712"/>
    <w:multiLevelType w:val="hybridMultilevel"/>
    <w:tmpl w:val="0F56B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A3F7D"/>
    <w:multiLevelType w:val="hybridMultilevel"/>
    <w:tmpl w:val="76B6C24E"/>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6040228"/>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9E00B4B"/>
    <w:multiLevelType w:val="hybridMultilevel"/>
    <w:tmpl w:val="221CF6F8"/>
    <w:lvl w:ilvl="0" w:tplc="43C6574C">
      <w:start w:val="1"/>
      <w:numFmt w:val="bullet"/>
      <w:lvlText w:val=""/>
      <w:lvlJc w:val="left"/>
      <w:pPr>
        <w:ind w:left="1179" w:hanging="360"/>
      </w:pPr>
      <w:rPr>
        <w:rFonts w:ascii="Symbol" w:hAnsi="Symbol" w:hint="default"/>
        <w:color w:val="auto"/>
      </w:rPr>
    </w:lvl>
    <w:lvl w:ilvl="1" w:tplc="34090003" w:tentative="1">
      <w:start w:val="1"/>
      <w:numFmt w:val="bullet"/>
      <w:lvlText w:val="o"/>
      <w:lvlJc w:val="left"/>
      <w:pPr>
        <w:ind w:left="1899" w:hanging="360"/>
      </w:pPr>
      <w:rPr>
        <w:rFonts w:ascii="Courier New" w:hAnsi="Courier New" w:cs="Courier New" w:hint="default"/>
      </w:rPr>
    </w:lvl>
    <w:lvl w:ilvl="2" w:tplc="34090005" w:tentative="1">
      <w:start w:val="1"/>
      <w:numFmt w:val="bullet"/>
      <w:lvlText w:val=""/>
      <w:lvlJc w:val="left"/>
      <w:pPr>
        <w:ind w:left="2619" w:hanging="360"/>
      </w:pPr>
      <w:rPr>
        <w:rFonts w:ascii="Wingdings" w:hAnsi="Wingdings" w:hint="default"/>
      </w:rPr>
    </w:lvl>
    <w:lvl w:ilvl="3" w:tplc="34090001" w:tentative="1">
      <w:start w:val="1"/>
      <w:numFmt w:val="bullet"/>
      <w:lvlText w:val=""/>
      <w:lvlJc w:val="left"/>
      <w:pPr>
        <w:ind w:left="3339" w:hanging="360"/>
      </w:pPr>
      <w:rPr>
        <w:rFonts w:ascii="Symbol" w:hAnsi="Symbol" w:hint="default"/>
      </w:rPr>
    </w:lvl>
    <w:lvl w:ilvl="4" w:tplc="34090003" w:tentative="1">
      <w:start w:val="1"/>
      <w:numFmt w:val="bullet"/>
      <w:lvlText w:val="o"/>
      <w:lvlJc w:val="left"/>
      <w:pPr>
        <w:ind w:left="4059" w:hanging="360"/>
      </w:pPr>
      <w:rPr>
        <w:rFonts w:ascii="Courier New" w:hAnsi="Courier New" w:cs="Courier New" w:hint="default"/>
      </w:rPr>
    </w:lvl>
    <w:lvl w:ilvl="5" w:tplc="34090005" w:tentative="1">
      <w:start w:val="1"/>
      <w:numFmt w:val="bullet"/>
      <w:lvlText w:val=""/>
      <w:lvlJc w:val="left"/>
      <w:pPr>
        <w:ind w:left="4779" w:hanging="360"/>
      </w:pPr>
      <w:rPr>
        <w:rFonts w:ascii="Wingdings" w:hAnsi="Wingdings" w:hint="default"/>
      </w:rPr>
    </w:lvl>
    <w:lvl w:ilvl="6" w:tplc="34090001" w:tentative="1">
      <w:start w:val="1"/>
      <w:numFmt w:val="bullet"/>
      <w:lvlText w:val=""/>
      <w:lvlJc w:val="left"/>
      <w:pPr>
        <w:ind w:left="5499" w:hanging="360"/>
      </w:pPr>
      <w:rPr>
        <w:rFonts w:ascii="Symbol" w:hAnsi="Symbol" w:hint="default"/>
      </w:rPr>
    </w:lvl>
    <w:lvl w:ilvl="7" w:tplc="34090003" w:tentative="1">
      <w:start w:val="1"/>
      <w:numFmt w:val="bullet"/>
      <w:lvlText w:val="o"/>
      <w:lvlJc w:val="left"/>
      <w:pPr>
        <w:ind w:left="6219" w:hanging="360"/>
      </w:pPr>
      <w:rPr>
        <w:rFonts w:ascii="Courier New" w:hAnsi="Courier New" w:cs="Courier New" w:hint="default"/>
      </w:rPr>
    </w:lvl>
    <w:lvl w:ilvl="8" w:tplc="34090005" w:tentative="1">
      <w:start w:val="1"/>
      <w:numFmt w:val="bullet"/>
      <w:lvlText w:val=""/>
      <w:lvlJc w:val="left"/>
      <w:pPr>
        <w:ind w:left="6939" w:hanging="360"/>
      </w:pPr>
      <w:rPr>
        <w:rFonts w:ascii="Wingdings" w:hAnsi="Wingdings" w:hint="default"/>
      </w:rPr>
    </w:lvl>
  </w:abstractNum>
  <w:abstractNum w:abstractNumId="20">
    <w:nsid w:val="40BF2C68"/>
    <w:multiLevelType w:val="hybridMultilevel"/>
    <w:tmpl w:val="959E4DE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1757389"/>
    <w:multiLevelType w:val="multilevel"/>
    <w:tmpl w:val="27C4FC9C"/>
    <w:lvl w:ilvl="0">
      <w:start w:val="1"/>
      <w:numFmt w:val="decimal"/>
      <w:lvlText w:val="%1."/>
      <w:lvlJc w:val="left"/>
      <w:pPr>
        <w:ind w:left="720" w:hanging="360"/>
      </w:pPr>
      <w:rPr>
        <w:rFonts w:hint="default"/>
        <w:b/>
        <w:i w:val="0"/>
        <w:color w:val="auto"/>
        <w:sz w:val="22"/>
        <w:szCs w:val="22"/>
      </w:rPr>
    </w:lvl>
    <w:lvl w:ilvl="1">
      <w:start w:val="1"/>
      <w:numFmt w:val="decimal"/>
      <w:isLgl/>
      <w:lvlText w:val="%1.%2"/>
      <w:lvlJc w:val="left"/>
      <w:pPr>
        <w:ind w:left="1495" w:hanging="360"/>
      </w:pPr>
      <w:rPr>
        <w:rFonts w:ascii="Arial" w:hAnsi="Arial" w:cs="Arial" w:hint="default"/>
        <w:b w:val="0"/>
        <w:i w:val="0"/>
        <w:color w:val="auto"/>
        <w:sz w:val="22"/>
        <w:szCs w:val="22"/>
      </w:rPr>
    </w:lvl>
    <w:lvl w:ilvl="2">
      <w:start w:val="1"/>
      <w:numFmt w:val="lowerLetter"/>
      <w:lvlText w:val="%3."/>
      <w:lvlJc w:val="left"/>
      <w:pPr>
        <w:ind w:left="15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754147E"/>
    <w:multiLevelType w:val="hybridMultilevel"/>
    <w:tmpl w:val="C0AAD75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4FCB6BA0"/>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411828"/>
    <w:multiLevelType w:val="hybridMultilevel"/>
    <w:tmpl w:val="76B6C24E"/>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58002D9A"/>
    <w:multiLevelType w:val="multilevel"/>
    <w:tmpl w:val="8EAA8976"/>
    <w:lvl w:ilvl="0">
      <w:start w:val="1"/>
      <w:numFmt w:val="decimal"/>
      <w:lvlText w:val="%1."/>
      <w:lvlJc w:val="left"/>
      <w:pPr>
        <w:ind w:left="108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6">
    <w:nsid w:val="713555F0"/>
    <w:multiLevelType w:val="hybridMultilevel"/>
    <w:tmpl w:val="58BC8BC4"/>
    <w:lvl w:ilvl="0" w:tplc="9EA0099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73B5B"/>
    <w:multiLevelType w:val="multilevel"/>
    <w:tmpl w:val="FDA0AA80"/>
    <w:lvl w:ilvl="0">
      <w:start w:val="1"/>
      <w:numFmt w:val="decimal"/>
      <w:lvlText w:val="%1."/>
      <w:lvlJc w:val="left"/>
      <w:pPr>
        <w:ind w:left="1080" w:hanging="360"/>
      </w:pPr>
      <w:rPr>
        <w:rFonts w:hint="default"/>
        <w:b w:val="0"/>
      </w:rPr>
    </w:lvl>
    <w:lvl w:ilvl="1">
      <w:start w:val="1"/>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8">
    <w:nsid w:val="773B7395"/>
    <w:multiLevelType w:val="hybridMultilevel"/>
    <w:tmpl w:val="CAF8352E"/>
    <w:lvl w:ilvl="0" w:tplc="56ECEC04">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748FF"/>
    <w:multiLevelType w:val="hybridMultilevel"/>
    <w:tmpl w:val="653C3E1E"/>
    <w:lvl w:ilvl="0" w:tplc="A3765B72">
      <w:start w:val="1"/>
      <w:numFmt w:val="decimal"/>
      <w:lvlText w:val="1.%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A4C1A7A"/>
    <w:multiLevelType w:val="hybridMultilevel"/>
    <w:tmpl w:val="76B6C24E"/>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C1A486B"/>
    <w:multiLevelType w:val="hybridMultilevel"/>
    <w:tmpl w:val="76B6C24E"/>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13"/>
  </w:num>
  <w:num w:numId="5">
    <w:abstractNumId w:val="24"/>
  </w:num>
  <w:num w:numId="6">
    <w:abstractNumId w:val="31"/>
  </w:num>
  <w:num w:numId="7">
    <w:abstractNumId w:val="7"/>
  </w:num>
  <w:num w:numId="8">
    <w:abstractNumId w:val="14"/>
  </w:num>
  <w:num w:numId="9">
    <w:abstractNumId w:val="30"/>
  </w:num>
  <w:num w:numId="10">
    <w:abstractNumId w:val="18"/>
  </w:num>
  <w:num w:numId="11">
    <w:abstractNumId w:val="22"/>
  </w:num>
  <w:num w:numId="12">
    <w:abstractNumId w:val="25"/>
  </w:num>
  <w:num w:numId="13">
    <w:abstractNumId w:val="11"/>
  </w:num>
  <w:num w:numId="14">
    <w:abstractNumId w:val="20"/>
  </w:num>
  <w:num w:numId="15">
    <w:abstractNumId w:val="26"/>
  </w:num>
  <w:num w:numId="16">
    <w:abstractNumId w:val="27"/>
  </w:num>
  <w:num w:numId="17">
    <w:abstractNumId w:val="29"/>
  </w:num>
  <w:num w:numId="18">
    <w:abstractNumId w:val="8"/>
  </w:num>
  <w:num w:numId="19">
    <w:abstractNumId w:val="28"/>
  </w:num>
  <w:num w:numId="20">
    <w:abstractNumId w:val="16"/>
  </w:num>
  <w:num w:numId="21">
    <w:abstractNumId w:val="21"/>
  </w:num>
  <w:num w:numId="22">
    <w:abstractNumId w:val="10"/>
  </w:num>
  <w:num w:numId="23">
    <w:abstractNumId w:val="9"/>
  </w:num>
  <w:num w:numId="24">
    <w:abstractNumId w:val="23"/>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41"/>
    <w:rsid w:val="0000774C"/>
    <w:rsid w:val="0002092E"/>
    <w:rsid w:val="0002130B"/>
    <w:rsid w:val="0003116B"/>
    <w:rsid w:val="00031E48"/>
    <w:rsid w:val="000370E8"/>
    <w:rsid w:val="00037AE1"/>
    <w:rsid w:val="00042B2A"/>
    <w:rsid w:val="00042D85"/>
    <w:rsid w:val="00046E54"/>
    <w:rsid w:val="00050601"/>
    <w:rsid w:val="000522B5"/>
    <w:rsid w:val="0005362D"/>
    <w:rsid w:val="00056811"/>
    <w:rsid w:val="00057ACC"/>
    <w:rsid w:val="00066BC3"/>
    <w:rsid w:val="0007743F"/>
    <w:rsid w:val="000823E8"/>
    <w:rsid w:val="00082903"/>
    <w:rsid w:val="00092BB2"/>
    <w:rsid w:val="00097EA4"/>
    <w:rsid w:val="000B2DA1"/>
    <w:rsid w:val="000B34F3"/>
    <w:rsid w:val="000B6F9D"/>
    <w:rsid w:val="000B6FE1"/>
    <w:rsid w:val="000B76F2"/>
    <w:rsid w:val="000C312E"/>
    <w:rsid w:val="000C3D09"/>
    <w:rsid w:val="000D1C13"/>
    <w:rsid w:val="000D352F"/>
    <w:rsid w:val="000D55F0"/>
    <w:rsid w:val="000D5DF7"/>
    <w:rsid w:val="000E2ADE"/>
    <w:rsid w:val="000E3429"/>
    <w:rsid w:val="000E4B40"/>
    <w:rsid w:val="000F1C54"/>
    <w:rsid w:val="001061AB"/>
    <w:rsid w:val="00106C17"/>
    <w:rsid w:val="00110E58"/>
    <w:rsid w:val="001114AB"/>
    <w:rsid w:val="001159A1"/>
    <w:rsid w:val="0011678D"/>
    <w:rsid w:val="00121059"/>
    <w:rsid w:val="001229E3"/>
    <w:rsid w:val="00127D79"/>
    <w:rsid w:val="00133597"/>
    <w:rsid w:val="00144DC5"/>
    <w:rsid w:val="0014523B"/>
    <w:rsid w:val="00162F03"/>
    <w:rsid w:val="001770DC"/>
    <w:rsid w:val="00183E41"/>
    <w:rsid w:val="00187A69"/>
    <w:rsid w:val="00193121"/>
    <w:rsid w:val="001A0877"/>
    <w:rsid w:val="001A1BF3"/>
    <w:rsid w:val="001A333C"/>
    <w:rsid w:val="001A38BF"/>
    <w:rsid w:val="001C50F9"/>
    <w:rsid w:val="001C538E"/>
    <w:rsid w:val="001C5BDB"/>
    <w:rsid w:val="001C76B5"/>
    <w:rsid w:val="001D2D4C"/>
    <w:rsid w:val="001E0849"/>
    <w:rsid w:val="001E4775"/>
    <w:rsid w:val="001E5EBE"/>
    <w:rsid w:val="001F03B2"/>
    <w:rsid w:val="001F46CA"/>
    <w:rsid w:val="001F63D0"/>
    <w:rsid w:val="00205204"/>
    <w:rsid w:val="00210AAE"/>
    <w:rsid w:val="00212F71"/>
    <w:rsid w:val="00216BFC"/>
    <w:rsid w:val="00217348"/>
    <w:rsid w:val="00244A0B"/>
    <w:rsid w:val="002503BA"/>
    <w:rsid w:val="00250836"/>
    <w:rsid w:val="002611F1"/>
    <w:rsid w:val="00262C77"/>
    <w:rsid w:val="00266A66"/>
    <w:rsid w:val="00267A35"/>
    <w:rsid w:val="00270EB0"/>
    <w:rsid w:val="00272653"/>
    <w:rsid w:val="00275291"/>
    <w:rsid w:val="00275A08"/>
    <w:rsid w:val="00276E47"/>
    <w:rsid w:val="00276F3A"/>
    <w:rsid w:val="00277921"/>
    <w:rsid w:val="002836AF"/>
    <w:rsid w:val="00283F1D"/>
    <w:rsid w:val="0028473D"/>
    <w:rsid w:val="0029479D"/>
    <w:rsid w:val="00295CA9"/>
    <w:rsid w:val="002A15A2"/>
    <w:rsid w:val="002A16A8"/>
    <w:rsid w:val="002A218B"/>
    <w:rsid w:val="002B6424"/>
    <w:rsid w:val="002C25D7"/>
    <w:rsid w:val="002C5B6B"/>
    <w:rsid w:val="002C7EEA"/>
    <w:rsid w:val="002D21A0"/>
    <w:rsid w:val="002D53CA"/>
    <w:rsid w:val="002E1752"/>
    <w:rsid w:val="002F2F56"/>
    <w:rsid w:val="002F46F0"/>
    <w:rsid w:val="002F477E"/>
    <w:rsid w:val="002F6416"/>
    <w:rsid w:val="002F6AD3"/>
    <w:rsid w:val="002F7F84"/>
    <w:rsid w:val="00305742"/>
    <w:rsid w:val="0030592C"/>
    <w:rsid w:val="00313035"/>
    <w:rsid w:val="0031307F"/>
    <w:rsid w:val="003248AC"/>
    <w:rsid w:val="003314F9"/>
    <w:rsid w:val="003329C0"/>
    <w:rsid w:val="003334D4"/>
    <w:rsid w:val="00336681"/>
    <w:rsid w:val="00336C3B"/>
    <w:rsid w:val="003402A8"/>
    <w:rsid w:val="0034117C"/>
    <w:rsid w:val="00345670"/>
    <w:rsid w:val="003466BE"/>
    <w:rsid w:val="0034714A"/>
    <w:rsid w:val="00350627"/>
    <w:rsid w:val="00350F5D"/>
    <w:rsid w:val="003516DF"/>
    <w:rsid w:val="00355DF4"/>
    <w:rsid w:val="003574DE"/>
    <w:rsid w:val="00357EFF"/>
    <w:rsid w:val="00380E2B"/>
    <w:rsid w:val="0038720D"/>
    <w:rsid w:val="003904D8"/>
    <w:rsid w:val="0039364B"/>
    <w:rsid w:val="003B201A"/>
    <w:rsid w:val="003B3F27"/>
    <w:rsid w:val="003B75E6"/>
    <w:rsid w:val="003C1994"/>
    <w:rsid w:val="003D6D7F"/>
    <w:rsid w:val="003E3DB1"/>
    <w:rsid w:val="003F62C4"/>
    <w:rsid w:val="00403771"/>
    <w:rsid w:val="0040408E"/>
    <w:rsid w:val="0040560B"/>
    <w:rsid w:val="00416AF7"/>
    <w:rsid w:val="00424CA7"/>
    <w:rsid w:val="00434483"/>
    <w:rsid w:val="004345DC"/>
    <w:rsid w:val="004405F3"/>
    <w:rsid w:val="00442421"/>
    <w:rsid w:val="00442ADF"/>
    <w:rsid w:val="004506E3"/>
    <w:rsid w:val="00453285"/>
    <w:rsid w:val="00462071"/>
    <w:rsid w:val="00464CE5"/>
    <w:rsid w:val="00473AA7"/>
    <w:rsid w:val="0047488F"/>
    <w:rsid w:val="004773BF"/>
    <w:rsid w:val="00480615"/>
    <w:rsid w:val="004835A6"/>
    <w:rsid w:val="00491ED6"/>
    <w:rsid w:val="00495159"/>
    <w:rsid w:val="00496EE3"/>
    <w:rsid w:val="00497120"/>
    <w:rsid w:val="004A5206"/>
    <w:rsid w:val="004A654D"/>
    <w:rsid w:val="004B1289"/>
    <w:rsid w:val="004B3C98"/>
    <w:rsid w:val="004B50CC"/>
    <w:rsid w:val="004B5343"/>
    <w:rsid w:val="004B6AC8"/>
    <w:rsid w:val="004B73F1"/>
    <w:rsid w:val="004C2C3F"/>
    <w:rsid w:val="004C5152"/>
    <w:rsid w:val="004D317B"/>
    <w:rsid w:val="004D3B9D"/>
    <w:rsid w:val="004D7E1C"/>
    <w:rsid w:val="004E1B6D"/>
    <w:rsid w:val="004E23D5"/>
    <w:rsid w:val="004E2BC2"/>
    <w:rsid w:val="004E7A30"/>
    <w:rsid w:val="004E7A6E"/>
    <w:rsid w:val="004F4671"/>
    <w:rsid w:val="004F62DF"/>
    <w:rsid w:val="005006A2"/>
    <w:rsid w:val="00500FFC"/>
    <w:rsid w:val="00511DC9"/>
    <w:rsid w:val="00520E28"/>
    <w:rsid w:val="00521BC3"/>
    <w:rsid w:val="00526001"/>
    <w:rsid w:val="0052732B"/>
    <w:rsid w:val="00531098"/>
    <w:rsid w:val="0053612F"/>
    <w:rsid w:val="00536510"/>
    <w:rsid w:val="00541DB7"/>
    <w:rsid w:val="005557F5"/>
    <w:rsid w:val="00563411"/>
    <w:rsid w:val="00565F3A"/>
    <w:rsid w:val="00567BF0"/>
    <w:rsid w:val="005713BA"/>
    <w:rsid w:val="00586BC2"/>
    <w:rsid w:val="00591967"/>
    <w:rsid w:val="005A02B1"/>
    <w:rsid w:val="005A47F3"/>
    <w:rsid w:val="005C0496"/>
    <w:rsid w:val="005C76CC"/>
    <w:rsid w:val="005D072F"/>
    <w:rsid w:val="005D11F3"/>
    <w:rsid w:val="005E5070"/>
    <w:rsid w:val="006010F3"/>
    <w:rsid w:val="0060207B"/>
    <w:rsid w:val="006039BB"/>
    <w:rsid w:val="00611D9B"/>
    <w:rsid w:val="00611F26"/>
    <w:rsid w:val="006223EF"/>
    <w:rsid w:val="00624108"/>
    <w:rsid w:val="00626EC3"/>
    <w:rsid w:val="006308D1"/>
    <w:rsid w:val="006318FD"/>
    <w:rsid w:val="00637D41"/>
    <w:rsid w:val="00637F77"/>
    <w:rsid w:val="00643EDE"/>
    <w:rsid w:val="00646BCA"/>
    <w:rsid w:val="00652DF6"/>
    <w:rsid w:val="00653B14"/>
    <w:rsid w:val="00654903"/>
    <w:rsid w:val="00655C2B"/>
    <w:rsid w:val="00661999"/>
    <w:rsid w:val="00663223"/>
    <w:rsid w:val="006638C1"/>
    <w:rsid w:val="006676C7"/>
    <w:rsid w:val="00680E85"/>
    <w:rsid w:val="00683950"/>
    <w:rsid w:val="00686E22"/>
    <w:rsid w:val="006903D1"/>
    <w:rsid w:val="006972EB"/>
    <w:rsid w:val="006A03E5"/>
    <w:rsid w:val="006B5156"/>
    <w:rsid w:val="006C1727"/>
    <w:rsid w:val="006D5680"/>
    <w:rsid w:val="006D664D"/>
    <w:rsid w:val="006E1886"/>
    <w:rsid w:val="006F3419"/>
    <w:rsid w:val="007053E3"/>
    <w:rsid w:val="00706DDF"/>
    <w:rsid w:val="00707FAB"/>
    <w:rsid w:val="0071010C"/>
    <w:rsid w:val="007156FD"/>
    <w:rsid w:val="00716032"/>
    <w:rsid w:val="00723181"/>
    <w:rsid w:val="007257C7"/>
    <w:rsid w:val="00727467"/>
    <w:rsid w:val="00742F85"/>
    <w:rsid w:val="00750E27"/>
    <w:rsid w:val="00754C75"/>
    <w:rsid w:val="007626C0"/>
    <w:rsid w:val="007641E6"/>
    <w:rsid w:val="00764CE2"/>
    <w:rsid w:val="00770AC0"/>
    <w:rsid w:val="00771302"/>
    <w:rsid w:val="007713EC"/>
    <w:rsid w:val="00773C76"/>
    <w:rsid w:val="00781674"/>
    <w:rsid w:val="00781BDB"/>
    <w:rsid w:val="00784EF7"/>
    <w:rsid w:val="00790946"/>
    <w:rsid w:val="00790F84"/>
    <w:rsid w:val="00793F00"/>
    <w:rsid w:val="00796A8A"/>
    <w:rsid w:val="007979DC"/>
    <w:rsid w:val="00797B57"/>
    <w:rsid w:val="007A726B"/>
    <w:rsid w:val="007A7BD6"/>
    <w:rsid w:val="007B0265"/>
    <w:rsid w:val="007B1524"/>
    <w:rsid w:val="007B3CC5"/>
    <w:rsid w:val="007B75FD"/>
    <w:rsid w:val="007D2C9A"/>
    <w:rsid w:val="007D767A"/>
    <w:rsid w:val="007E2033"/>
    <w:rsid w:val="007E4A0B"/>
    <w:rsid w:val="007E7E2A"/>
    <w:rsid w:val="007F0CB8"/>
    <w:rsid w:val="007F5B98"/>
    <w:rsid w:val="007F706C"/>
    <w:rsid w:val="007F734D"/>
    <w:rsid w:val="00804137"/>
    <w:rsid w:val="00825568"/>
    <w:rsid w:val="00825D06"/>
    <w:rsid w:val="008373C8"/>
    <w:rsid w:val="00842E9D"/>
    <w:rsid w:val="00851AF7"/>
    <w:rsid w:val="00853C00"/>
    <w:rsid w:val="008567CD"/>
    <w:rsid w:val="00861F70"/>
    <w:rsid w:val="00862792"/>
    <w:rsid w:val="00865B63"/>
    <w:rsid w:val="00865CAA"/>
    <w:rsid w:val="00873625"/>
    <w:rsid w:val="00875866"/>
    <w:rsid w:val="0087695F"/>
    <w:rsid w:val="00877525"/>
    <w:rsid w:val="008814A8"/>
    <w:rsid w:val="0088576B"/>
    <w:rsid w:val="00893541"/>
    <w:rsid w:val="00894F54"/>
    <w:rsid w:val="008B570C"/>
    <w:rsid w:val="008B6BE7"/>
    <w:rsid w:val="008B7690"/>
    <w:rsid w:val="008C1B90"/>
    <w:rsid w:val="008C21F3"/>
    <w:rsid w:val="008C29ED"/>
    <w:rsid w:val="008C4B3B"/>
    <w:rsid w:val="008C6976"/>
    <w:rsid w:val="008D70E3"/>
    <w:rsid w:val="008E5202"/>
    <w:rsid w:val="008E539B"/>
    <w:rsid w:val="008E6AA9"/>
    <w:rsid w:val="008E7332"/>
    <w:rsid w:val="008E789E"/>
    <w:rsid w:val="008F718E"/>
    <w:rsid w:val="0090243B"/>
    <w:rsid w:val="00905D88"/>
    <w:rsid w:val="0090731E"/>
    <w:rsid w:val="00910878"/>
    <w:rsid w:val="00910972"/>
    <w:rsid w:val="00915F56"/>
    <w:rsid w:val="00926C75"/>
    <w:rsid w:val="00927305"/>
    <w:rsid w:val="00927CFD"/>
    <w:rsid w:val="0094418D"/>
    <w:rsid w:val="00944886"/>
    <w:rsid w:val="009456C1"/>
    <w:rsid w:val="00954802"/>
    <w:rsid w:val="00964B09"/>
    <w:rsid w:val="00964D81"/>
    <w:rsid w:val="00967928"/>
    <w:rsid w:val="00972E15"/>
    <w:rsid w:val="00972EF3"/>
    <w:rsid w:val="009752E3"/>
    <w:rsid w:val="009779DD"/>
    <w:rsid w:val="00985656"/>
    <w:rsid w:val="00985D48"/>
    <w:rsid w:val="009907C3"/>
    <w:rsid w:val="009917B4"/>
    <w:rsid w:val="009A05C2"/>
    <w:rsid w:val="009A06D3"/>
    <w:rsid w:val="009A58BF"/>
    <w:rsid w:val="009A6914"/>
    <w:rsid w:val="009B0600"/>
    <w:rsid w:val="009B2A3C"/>
    <w:rsid w:val="009C3371"/>
    <w:rsid w:val="009C3704"/>
    <w:rsid w:val="009C3EC0"/>
    <w:rsid w:val="009C6092"/>
    <w:rsid w:val="009E2EFF"/>
    <w:rsid w:val="009E7193"/>
    <w:rsid w:val="009F20F9"/>
    <w:rsid w:val="009F6F0C"/>
    <w:rsid w:val="00A010F3"/>
    <w:rsid w:val="00A04AF4"/>
    <w:rsid w:val="00A10297"/>
    <w:rsid w:val="00A10A9B"/>
    <w:rsid w:val="00A1128D"/>
    <w:rsid w:val="00A15E8B"/>
    <w:rsid w:val="00A26201"/>
    <w:rsid w:val="00A26B4B"/>
    <w:rsid w:val="00A3294E"/>
    <w:rsid w:val="00A352EC"/>
    <w:rsid w:val="00A3595F"/>
    <w:rsid w:val="00A367F7"/>
    <w:rsid w:val="00A50364"/>
    <w:rsid w:val="00A51885"/>
    <w:rsid w:val="00A53663"/>
    <w:rsid w:val="00A56731"/>
    <w:rsid w:val="00A56F0B"/>
    <w:rsid w:val="00A60BEA"/>
    <w:rsid w:val="00A62922"/>
    <w:rsid w:val="00A81BB8"/>
    <w:rsid w:val="00A8544A"/>
    <w:rsid w:val="00A86B35"/>
    <w:rsid w:val="00A90EB2"/>
    <w:rsid w:val="00AA282D"/>
    <w:rsid w:val="00AA3072"/>
    <w:rsid w:val="00AA44DE"/>
    <w:rsid w:val="00AB4B83"/>
    <w:rsid w:val="00AD49B5"/>
    <w:rsid w:val="00AE0F49"/>
    <w:rsid w:val="00AE283E"/>
    <w:rsid w:val="00AE4CCE"/>
    <w:rsid w:val="00AE54EC"/>
    <w:rsid w:val="00AE5B60"/>
    <w:rsid w:val="00B0059F"/>
    <w:rsid w:val="00B01858"/>
    <w:rsid w:val="00B040FD"/>
    <w:rsid w:val="00B071F6"/>
    <w:rsid w:val="00B1438E"/>
    <w:rsid w:val="00B15175"/>
    <w:rsid w:val="00B177BA"/>
    <w:rsid w:val="00B2314B"/>
    <w:rsid w:val="00B23AFF"/>
    <w:rsid w:val="00B240FA"/>
    <w:rsid w:val="00B24A6A"/>
    <w:rsid w:val="00B24C1B"/>
    <w:rsid w:val="00B320A2"/>
    <w:rsid w:val="00B3335C"/>
    <w:rsid w:val="00B33AA1"/>
    <w:rsid w:val="00B366EA"/>
    <w:rsid w:val="00B36DD1"/>
    <w:rsid w:val="00B40473"/>
    <w:rsid w:val="00B4130A"/>
    <w:rsid w:val="00B420F4"/>
    <w:rsid w:val="00B43556"/>
    <w:rsid w:val="00B449FF"/>
    <w:rsid w:val="00B516E5"/>
    <w:rsid w:val="00B53410"/>
    <w:rsid w:val="00B611CB"/>
    <w:rsid w:val="00B707FF"/>
    <w:rsid w:val="00B73E39"/>
    <w:rsid w:val="00B74397"/>
    <w:rsid w:val="00B75A84"/>
    <w:rsid w:val="00B77824"/>
    <w:rsid w:val="00B82435"/>
    <w:rsid w:val="00B867EC"/>
    <w:rsid w:val="00BA2111"/>
    <w:rsid w:val="00BA22D8"/>
    <w:rsid w:val="00BA3C34"/>
    <w:rsid w:val="00BA6B44"/>
    <w:rsid w:val="00BA7A29"/>
    <w:rsid w:val="00BA7AE1"/>
    <w:rsid w:val="00BB0637"/>
    <w:rsid w:val="00BB6369"/>
    <w:rsid w:val="00BB7401"/>
    <w:rsid w:val="00BC32D6"/>
    <w:rsid w:val="00BC50F9"/>
    <w:rsid w:val="00BC63A0"/>
    <w:rsid w:val="00BC72B2"/>
    <w:rsid w:val="00BD4011"/>
    <w:rsid w:val="00BD447D"/>
    <w:rsid w:val="00BD47B0"/>
    <w:rsid w:val="00BD4B48"/>
    <w:rsid w:val="00BD5EE2"/>
    <w:rsid w:val="00BD6054"/>
    <w:rsid w:val="00BE0842"/>
    <w:rsid w:val="00BE19AE"/>
    <w:rsid w:val="00BE28D3"/>
    <w:rsid w:val="00BE4542"/>
    <w:rsid w:val="00BE6721"/>
    <w:rsid w:val="00C01041"/>
    <w:rsid w:val="00C036D4"/>
    <w:rsid w:val="00C04187"/>
    <w:rsid w:val="00C072BF"/>
    <w:rsid w:val="00C10894"/>
    <w:rsid w:val="00C21F3F"/>
    <w:rsid w:val="00C225C9"/>
    <w:rsid w:val="00C25820"/>
    <w:rsid w:val="00C321E6"/>
    <w:rsid w:val="00C334B3"/>
    <w:rsid w:val="00C35285"/>
    <w:rsid w:val="00C40C6D"/>
    <w:rsid w:val="00C42A96"/>
    <w:rsid w:val="00C47E19"/>
    <w:rsid w:val="00C62E1C"/>
    <w:rsid w:val="00C64F2C"/>
    <w:rsid w:val="00C74C9F"/>
    <w:rsid w:val="00C75670"/>
    <w:rsid w:val="00C75AB4"/>
    <w:rsid w:val="00C75B97"/>
    <w:rsid w:val="00C763C6"/>
    <w:rsid w:val="00C76E96"/>
    <w:rsid w:val="00C81AC2"/>
    <w:rsid w:val="00C876EC"/>
    <w:rsid w:val="00C92C00"/>
    <w:rsid w:val="00C949FE"/>
    <w:rsid w:val="00C97379"/>
    <w:rsid w:val="00CA1C09"/>
    <w:rsid w:val="00CB4813"/>
    <w:rsid w:val="00CC602D"/>
    <w:rsid w:val="00CC6B6A"/>
    <w:rsid w:val="00CD4B14"/>
    <w:rsid w:val="00CD5CCE"/>
    <w:rsid w:val="00CD679F"/>
    <w:rsid w:val="00CE2C03"/>
    <w:rsid w:val="00CF09E5"/>
    <w:rsid w:val="00CF1691"/>
    <w:rsid w:val="00D03218"/>
    <w:rsid w:val="00D040AA"/>
    <w:rsid w:val="00D162F5"/>
    <w:rsid w:val="00D22232"/>
    <w:rsid w:val="00D22921"/>
    <w:rsid w:val="00D25BAE"/>
    <w:rsid w:val="00D263DB"/>
    <w:rsid w:val="00D33AD6"/>
    <w:rsid w:val="00D4087B"/>
    <w:rsid w:val="00D4581F"/>
    <w:rsid w:val="00D537CB"/>
    <w:rsid w:val="00D55B2A"/>
    <w:rsid w:val="00D56C36"/>
    <w:rsid w:val="00D57738"/>
    <w:rsid w:val="00D73F1A"/>
    <w:rsid w:val="00D80556"/>
    <w:rsid w:val="00D815F8"/>
    <w:rsid w:val="00D867AB"/>
    <w:rsid w:val="00D94898"/>
    <w:rsid w:val="00D94EA6"/>
    <w:rsid w:val="00D9515A"/>
    <w:rsid w:val="00D974CF"/>
    <w:rsid w:val="00DA4EF2"/>
    <w:rsid w:val="00DA6B65"/>
    <w:rsid w:val="00DB2F42"/>
    <w:rsid w:val="00DB61C2"/>
    <w:rsid w:val="00DB6B59"/>
    <w:rsid w:val="00DC1AA5"/>
    <w:rsid w:val="00DC2722"/>
    <w:rsid w:val="00DD62CB"/>
    <w:rsid w:val="00DD6D10"/>
    <w:rsid w:val="00DF2169"/>
    <w:rsid w:val="00DF5EF5"/>
    <w:rsid w:val="00DF64CC"/>
    <w:rsid w:val="00E050A2"/>
    <w:rsid w:val="00E10F9E"/>
    <w:rsid w:val="00E15504"/>
    <w:rsid w:val="00E3405F"/>
    <w:rsid w:val="00E361EC"/>
    <w:rsid w:val="00E426D2"/>
    <w:rsid w:val="00E4613A"/>
    <w:rsid w:val="00E46CFE"/>
    <w:rsid w:val="00E520EB"/>
    <w:rsid w:val="00E56EE6"/>
    <w:rsid w:val="00E6173A"/>
    <w:rsid w:val="00E61AFB"/>
    <w:rsid w:val="00E61B94"/>
    <w:rsid w:val="00E6237C"/>
    <w:rsid w:val="00E6406F"/>
    <w:rsid w:val="00E83171"/>
    <w:rsid w:val="00E918EF"/>
    <w:rsid w:val="00E924E8"/>
    <w:rsid w:val="00E95E1F"/>
    <w:rsid w:val="00EA0170"/>
    <w:rsid w:val="00EA029B"/>
    <w:rsid w:val="00EB4683"/>
    <w:rsid w:val="00EC0FD0"/>
    <w:rsid w:val="00EC2915"/>
    <w:rsid w:val="00EC33CF"/>
    <w:rsid w:val="00EC7A0D"/>
    <w:rsid w:val="00ED3951"/>
    <w:rsid w:val="00EE0867"/>
    <w:rsid w:val="00EE342C"/>
    <w:rsid w:val="00EF30E7"/>
    <w:rsid w:val="00EF41A6"/>
    <w:rsid w:val="00EF6387"/>
    <w:rsid w:val="00EF691A"/>
    <w:rsid w:val="00EF74B9"/>
    <w:rsid w:val="00F00614"/>
    <w:rsid w:val="00F03574"/>
    <w:rsid w:val="00F04B8E"/>
    <w:rsid w:val="00F06F68"/>
    <w:rsid w:val="00F11A8F"/>
    <w:rsid w:val="00F125D2"/>
    <w:rsid w:val="00F12B99"/>
    <w:rsid w:val="00F1546B"/>
    <w:rsid w:val="00F1554A"/>
    <w:rsid w:val="00F22DFB"/>
    <w:rsid w:val="00F26FFC"/>
    <w:rsid w:val="00F33C6A"/>
    <w:rsid w:val="00F36E01"/>
    <w:rsid w:val="00F4126C"/>
    <w:rsid w:val="00F41352"/>
    <w:rsid w:val="00F4601D"/>
    <w:rsid w:val="00F47B9C"/>
    <w:rsid w:val="00F5053A"/>
    <w:rsid w:val="00F53DBA"/>
    <w:rsid w:val="00F60D3D"/>
    <w:rsid w:val="00F61D10"/>
    <w:rsid w:val="00F64B22"/>
    <w:rsid w:val="00F66566"/>
    <w:rsid w:val="00F71BA7"/>
    <w:rsid w:val="00F8606E"/>
    <w:rsid w:val="00F8637B"/>
    <w:rsid w:val="00F93ED3"/>
    <w:rsid w:val="00F94CF1"/>
    <w:rsid w:val="00FA28FC"/>
    <w:rsid w:val="00FA7FAC"/>
    <w:rsid w:val="00FB58E2"/>
    <w:rsid w:val="00FC2EAE"/>
    <w:rsid w:val="00FC39F6"/>
    <w:rsid w:val="00FC4054"/>
    <w:rsid w:val="00FC5B18"/>
    <w:rsid w:val="00FD2644"/>
    <w:rsid w:val="00FD5C74"/>
    <w:rsid w:val="00FE2B78"/>
    <w:rsid w:val="00FE77A9"/>
    <w:rsid w:val="00FF54EA"/>
    <w:rsid w:val="00FF6A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FDA41C-1CAD-4EF9-9FAD-7398C6C9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22"/>
    <w:rPr>
      <w:sz w:val="24"/>
      <w:szCs w:val="24"/>
      <w:lang w:val="en-US" w:eastAsia="en-US"/>
    </w:rPr>
  </w:style>
  <w:style w:type="paragraph" w:styleId="Heading1">
    <w:name w:val="heading 1"/>
    <w:basedOn w:val="Normal"/>
    <w:next w:val="Normal"/>
    <w:qFormat/>
    <w:rsid w:val="009C6092"/>
    <w:pPr>
      <w:keepNext/>
      <w:jc w:val="both"/>
      <w:outlineLvl w:val="0"/>
    </w:pPr>
    <w:rPr>
      <w:rFonts w:ascii="Arial" w:hAnsi="Arial"/>
      <w:szCs w:val="20"/>
    </w:rPr>
  </w:style>
  <w:style w:type="paragraph" w:styleId="Heading2">
    <w:name w:val="heading 2"/>
    <w:basedOn w:val="Normal"/>
    <w:next w:val="Normal"/>
    <w:qFormat/>
    <w:rsid w:val="009C6092"/>
    <w:pPr>
      <w:keepNext/>
      <w:jc w:val="center"/>
      <w:outlineLvl w:val="1"/>
    </w:pPr>
    <w:rPr>
      <w:rFonts w:ascii="Arial" w:hAnsi="Arial"/>
      <w:b/>
      <w:sz w:val="32"/>
      <w:szCs w:val="20"/>
    </w:rPr>
  </w:style>
  <w:style w:type="paragraph" w:styleId="Heading3">
    <w:name w:val="heading 3"/>
    <w:basedOn w:val="Normal"/>
    <w:next w:val="Normal"/>
    <w:link w:val="Heading3Char"/>
    <w:semiHidden/>
    <w:unhideWhenUsed/>
    <w:qFormat/>
    <w:rsid w:val="0033668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44DE"/>
    <w:rPr>
      <w:rFonts w:ascii="Tahoma" w:hAnsi="Tahoma" w:cs="Tahoma"/>
      <w:sz w:val="16"/>
      <w:szCs w:val="16"/>
    </w:rPr>
  </w:style>
  <w:style w:type="character" w:customStyle="1" w:styleId="Heading3Char">
    <w:name w:val="Heading 3 Char"/>
    <w:link w:val="Heading3"/>
    <w:semiHidden/>
    <w:rsid w:val="00336681"/>
    <w:rPr>
      <w:rFonts w:ascii="Cambria" w:eastAsia="Times New Roman" w:hAnsi="Cambria" w:cs="Times New Roman"/>
      <w:b/>
      <w:bCs/>
      <w:sz w:val="26"/>
      <w:szCs w:val="26"/>
      <w:lang w:val="en-US" w:eastAsia="en-US"/>
    </w:rPr>
  </w:style>
  <w:style w:type="paragraph" w:styleId="ListParagraph">
    <w:name w:val="List Paragraph"/>
    <w:aliases w:val="Resume Title"/>
    <w:basedOn w:val="Normal"/>
    <w:link w:val="ListParagraphChar"/>
    <w:uiPriority w:val="34"/>
    <w:qFormat/>
    <w:rsid w:val="00784EF7"/>
    <w:pPr>
      <w:suppressAutoHyphens/>
    </w:pPr>
    <w:rPr>
      <w:sz w:val="20"/>
      <w:szCs w:val="20"/>
      <w:lang w:eastAsia="ar-SA"/>
    </w:rPr>
  </w:style>
  <w:style w:type="paragraph" w:styleId="NoSpacing">
    <w:name w:val="No Spacing"/>
    <w:uiPriority w:val="1"/>
    <w:qFormat/>
    <w:rsid w:val="00784EF7"/>
    <w:rPr>
      <w:rFonts w:ascii="Calibri" w:eastAsia="Calibri" w:hAnsi="Calibri"/>
      <w:sz w:val="22"/>
      <w:szCs w:val="22"/>
      <w:lang w:val="en-US" w:eastAsia="en-US"/>
    </w:rPr>
  </w:style>
  <w:style w:type="paragraph" w:styleId="Header">
    <w:name w:val="header"/>
    <w:basedOn w:val="Normal"/>
    <w:link w:val="HeaderChar"/>
    <w:rsid w:val="00861F70"/>
    <w:pPr>
      <w:tabs>
        <w:tab w:val="center" w:pos="4680"/>
        <w:tab w:val="right" w:pos="9360"/>
      </w:tabs>
    </w:pPr>
  </w:style>
  <w:style w:type="character" w:customStyle="1" w:styleId="HeaderChar">
    <w:name w:val="Header Char"/>
    <w:link w:val="Header"/>
    <w:rsid w:val="00861F70"/>
    <w:rPr>
      <w:sz w:val="24"/>
      <w:szCs w:val="24"/>
      <w:lang w:val="en-US" w:eastAsia="en-US"/>
    </w:rPr>
  </w:style>
  <w:style w:type="paragraph" w:styleId="Footer">
    <w:name w:val="footer"/>
    <w:basedOn w:val="Normal"/>
    <w:link w:val="FooterChar"/>
    <w:rsid w:val="00861F70"/>
    <w:pPr>
      <w:tabs>
        <w:tab w:val="center" w:pos="4680"/>
        <w:tab w:val="right" w:pos="9360"/>
      </w:tabs>
    </w:pPr>
  </w:style>
  <w:style w:type="character" w:customStyle="1" w:styleId="FooterChar">
    <w:name w:val="Footer Char"/>
    <w:link w:val="Footer"/>
    <w:rsid w:val="00861F70"/>
    <w:rPr>
      <w:sz w:val="24"/>
      <w:szCs w:val="24"/>
      <w:lang w:val="en-US" w:eastAsia="en-US"/>
    </w:rPr>
  </w:style>
  <w:style w:type="paragraph" w:styleId="Title">
    <w:name w:val="Title"/>
    <w:basedOn w:val="Normal"/>
    <w:link w:val="TitleChar"/>
    <w:qFormat/>
    <w:rsid w:val="001114AB"/>
    <w:pPr>
      <w:jc w:val="center"/>
    </w:pPr>
    <w:rPr>
      <w:b/>
      <w:sz w:val="28"/>
      <w:szCs w:val="20"/>
    </w:rPr>
  </w:style>
  <w:style w:type="character" w:customStyle="1" w:styleId="TitleChar">
    <w:name w:val="Title Char"/>
    <w:link w:val="Title"/>
    <w:rsid w:val="001114AB"/>
    <w:rPr>
      <w:b/>
      <w:sz w:val="28"/>
      <w:lang w:val="en-US" w:eastAsia="en-US"/>
    </w:rPr>
  </w:style>
  <w:style w:type="paragraph" w:styleId="BodyText">
    <w:name w:val="Body Text"/>
    <w:basedOn w:val="Normal"/>
    <w:link w:val="BodyTextChar"/>
    <w:rsid w:val="00357EFF"/>
    <w:pPr>
      <w:ind w:right="-108"/>
    </w:pPr>
    <w:rPr>
      <w:bCs/>
      <w:sz w:val="20"/>
    </w:rPr>
  </w:style>
  <w:style w:type="character" w:customStyle="1" w:styleId="BodyTextChar">
    <w:name w:val="Body Text Char"/>
    <w:link w:val="BodyText"/>
    <w:rsid w:val="00357EFF"/>
    <w:rPr>
      <w:bCs/>
      <w:szCs w:val="24"/>
      <w:lang w:val="en-US" w:eastAsia="en-US"/>
    </w:rPr>
  </w:style>
  <w:style w:type="character" w:styleId="Strong">
    <w:name w:val="Strong"/>
    <w:uiPriority w:val="22"/>
    <w:qFormat/>
    <w:rsid w:val="0005362D"/>
    <w:rPr>
      <w:b/>
      <w:bCs/>
    </w:rPr>
  </w:style>
  <w:style w:type="character" w:styleId="CommentReference">
    <w:name w:val="annotation reference"/>
    <w:rsid w:val="002D21A0"/>
    <w:rPr>
      <w:sz w:val="16"/>
      <w:szCs w:val="16"/>
    </w:rPr>
  </w:style>
  <w:style w:type="paragraph" w:styleId="CommentText">
    <w:name w:val="annotation text"/>
    <w:basedOn w:val="Normal"/>
    <w:link w:val="CommentTextChar"/>
    <w:rsid w:val="002D21A0"/>
    <w:pPr>
      <w:suppressAutoHyphens/>
    </w:pPr>
    <w:rPr>
      <w:sz w:val="20"/>
      <w:szCs w:val="20"/>
      <w:lang w:eastAsia="ar-SA"/>
    </w:rPr>
  </w:style>
  <w:style w:type="character" w:customStyle="1" w:styleId="CommentTextChar">
    <w:name w:val="Comment Text Char"/>
    <w:link w:val="CommentText"/>
    <w:rsid w:val="002D21A0"/>
    <w:rPr>
      <w:lang w:eastAsia="ar-SA"/>
    </w:rPr>
  </w:style>
  <w:style w:type="character" w:customStyle="1" w:styleId="ListParagraphChar">
    <w:name w:val="List Paragraph Char"/>
    <w:aliases w:val="Resume Title Char"/>
    <w:link w:val="ListParagraph"/>
    <w:uiPriority w:val="34"/>
    <w:rsid w:val="00C97379"/>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12EE-8001-4EF0-BC6F-F2FBD216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Transmittal letter</vt:lpstr>
    </vt:vector>
  </TitlesOfParts>
  <Company>coa</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COA-AFP Retirement and Separation Benefits System</dc:creator>
  <cp:keywords>Cluster 2 - CGS</cp:keywords>
  <cp:lastModifiedBy>GSIS</cp:lastModifiedBy>
  <cp:revision>69</cp:revision>
  <cp:lastPrinted>2020-08-19T01:15:00Z</cp:lastPrinted>
  <dcterms:created xsi:type="dcterms:W3CDTF">2020-04-03T05:32:00Z</dcterms:created>
  <dcterms:modified xsi:type="dcterms:W3CDTF">2020-08-20T08:15:00Z</dcterms:modified>
  <cp:category>Annual Audit Report</cp:category>
</cp:coreProperties>
</file>